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2D19EB">
      <w:pPr>
        <w:ind w:left="360"/>
        <w:jc w:val="center"/>
        <w:rPr>
          <w:rFonts w:ascii="Bradley Hand ITC" w:hAnsi="Bradley Hand ITC"/>
          <w:b/>
          <w:sz w:val="56"/>
          <w:szCs w:val="56"/>
          <w:lang w:val="en-GB"/>
        </w:rPr>
      </w:pPr>
    </w:p>
    <w:p w:rsidR="008C0C6D" w:rsidRDefault="000357EB" w:rsidP="008C0C6D">
      <w:pPr>
        <w:rPr>
          <w:rFonts w:ascii="Arial" w:hAnsi="Arial"/>
          <w:lang w:val="en-AU"/>
        </w:rPr>
      </w:pPr>
      <w:r>
        <w:rPr>
          <w:rFonts w:ascii="Arial" w:hAnsi="Arial"/>
          <w:noProof/>
          <w:lang w:val="en-AU" w:eastAsia="en-AU"/>
        </w:rPr>
        <w:pict>
          <v:shapetype id="_x0000_t202" coordsize="21600,21600" o:spt="202" path="m,l,21600r21600,l21600,xe">
            <v:stroke joinstyle="miter"/>
            <v:path gradientshapeok="t" o:connecttype="rect"/>
          </v:shapetype>
          <v:shape id="_x0000_s1252" type="#_x0000_t202" style="position:absolute;left:0;text-align:left;margin-left:323.95pt;margin-top:266.85pt;width:93.4pt;height:42pt;z-index:251667968" fillcolor="none" strokecolor="white [3212]">
            <v:fill r:id="rId9" o:title="5%" type="pattern"/>
            <v:textbox style="mso-next-textbox:#_x0000_s1252">
              <w:txbxContent>
                <w:p w:rsidR="00FB0788" w:rsidRDefault="00FB0788" w:rsidP="008C0C6D">
                  <w:pPr>
                    <w:rPr>
                      <w:rFonts w:ascii="Bwhebb" w:hAnsi="Bwhebb" w:cs="Bwhebb"/>
                      <w:sz w:val="36"/>
                      <w:szCs w:val="36"/>
                      <w:lang w:val="en-AU"/>
                    </w:rPr>
                  </w:pPr>
                  <w:proofErr w:type="spellStart"/>
                  <w:proofErr w:type="gramStart"/>
                  <w:r>
                    <w:rPr>
                      <w:rFonts w:ascii="Bwhebb" w:hAnsi="Bwhebb" w:cs="Bwhebb"/>
                      <w:sz w:val="36"/>
                      <w:szCs w:val="36"/>
                      <w:lang w:val="en-AU"/>
                    </w:rPr>
                    <w:t>x;</w:t>
                  </w:r>
                  <w:proofErr w:type="gramEnd"/>
                  <w:r>
                    <w:rPr>
                      <w:rFonts w:ascii="Bwhebb" w:hAnsi="Bwhebb" w:cs="Bwhebb"/>
                      <w:sz w:val="36"/>
                      <w:szCs w:val="36"/>
                      <w:lang w:val="en-AU"/>
                    </w:rPr>
                    <w:t>yvim</w:t>
                  </w:r>
                  <w:proofErr w:type="spellEnd"/>
                  <w:r>
                    <w:rPr>
                      <w:rFonts w:ascii="Bwhebb" w:hAnsi="Bwhebb" w:cs="Bwhebb"/>
                      <w:sz w:val="36"/>
                      <w:szCs w:val="36"/>
                      <w:lang w:val="en-AU"/>
                    </w:rPr>
                    <w:t xml:space="preserve">’ </w:t>
                  </w:r>
                </w:p>
                <w:p w:rsidR="00FB0788" w:rsidRDefault="00FB0788" w:rsidP="008C0C6D">
                  <w:pPr>
                    <w:rPr>
                      <w:rFonts w:ascii="Arial" w:hAnsi="Arial"/>
                      <w:lang w:val="en-AU"/>
                    </w:rPr>
                  </w:pPr>
                  <w:proofErr w:type="gramStart"/>
                  <w:r>
                    <w:rPr>
                      <w:rFonts w:ascii="Arial" w:hAnsi="Arial"/>
                      <w:lang w:val="en-AU"/>
                    </w:rPr>
                    <w:t>mashiyach</w:t>
                  </w:r>
                  <w:proofErr w:type="gramEnd"/>
                </w:p>
                <w:p w:rsidR="00FB0788" w:rsidRDefault="00FB0788" w:rsidP="008C0C6D"/>
              </w:txbxContent>
            </v:textbox>
          </v:shape>
        </w:pict>
      </w:r>
      <w:r>
        <w:rPr>
          <w:rFonts w:ascii="Arial" w:hAnsi="Arial"/>
          <w:noProof/>
          <w:lang w:val="en-AU" w:eastAsia="en-AU"/>
        </w:rPr>
        <w:pict>
          <v:shape id="_x0000_s1267" type="#_x0000_t202" style="position:absolute;left:0;text-align:left;margin-left:323.95pt;margin-top:179.1pt;width:45.5pt;height:40.65pt;z-index:251683328" fillcolor="none" strokecolor="white [3212]">
            <v:fill r:id="rId9" o:title="5%" type="pattern"/>
            <v:textbox style="mso-next-textbox:#_x0000_s1267">
              <w:txbxContent>
                <w:p w:rsidR="00FB0788" w:rsidRDefault="00FB0788" w:rsidP="008C0C6D">
                  <w:pPr>
                    <w:rPr>
                      <w:rFonts w:ascii="Bwhebb" w:hAnsi="Bwhebb" w:cs="Bwhebb"/>
                      <w:sz w:val="36"/>
                      <w:szCs w:val="36"/>
                      <w:lang w:val="en-AU"/>
                    </w:rPr>
                  </w:pPr>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p>
                <w:p w:rsidR="00FB0788" w:rsidRDefault="00FB0788" w:rsidP="008C0C6D">
                  <w:r>
                    <w:rPr>
                      <w:rFonts w:ascii="Arial" w:hAnsi="Arial"/>
                      <w:lang w:val="en-AU"/>
                    </w:rPr>
                    <w:t>‘</w:t>
                  </w:r>
                  <w:proofErr w:type="gramStart"/>
                  <w:r>
                    <w:rPr>
                      <w:rFonts w:ascii="Arial" w:hAnsi="Arial"/>
                      <w:lang w:val="en-AU"/>
                    </w:rPr>
                    <w:t>ach</w:t>
                  </w:r>
                  <w:proofErr w:type="gramEnd"/>
                  <w:r>
                    <w:rPr>
                      <w:rFonts w:ascii="Arial" w:hAnsi="Arial"/>
                      <w:lang w:val="en-AU"/>
                    </w:rPr>
                    <w:t xml:space="preserve"> </w:t>
                  </w:r>
                </w:p>
              </w:txbxContent>
            </v:textbox>
          </v:shape>
        </w:pict>
      </w:r>
      <w:r>
        <w:rPr>
          <w:rFonts w:ascii="Arial" w:hAnsi="Arial"/>
          <w:noProof/>
          <w:lang w:val="en-AU" w:eastAsia="en-A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69" type="#_x0000_t98" style="position:absolute;left:0;text-align:left;margin-left:26.9pt;margin-top:81.95pt;width:307.6pt;height:329.95pt;z-index:251685376"/>
        </w:pict>
      </w:r>
      <w:r>
        <w:rPr>
          <w:rFonts w:ascii="Arial" w:hAnsi="Arial"/>
          <w:noProof/>
          <w:lang w:val="en-AU" w:eastAsia="en-AU"/>
        </w:rPr>
        <w:pict>
          <v:shape id="_x0000_s1270" type="#_x0000_t202" style="position:absolute;left:0;text-align:left;margin-left:71.25pt;margin-top:135.6pt;width:258.4pt;height:225.75pt;z-index:251686400" strokecolor="white [3212]">
            <v:textbox style="mso-next-textbox:#_x0000_s1270">
              <w:txbxContent>
                <w:p w:rsidR="00FB0788" w:rsidRPr="00556161" w:rsidRDefault="00FB0788" w:rsidP="008C0C6D">
                  <w:pPr>
                    <w:jc w:val="center"/>
                    <w:rPr>
                      <w:b/>
                      <w:sz w:val="72"/>
                      <w:szCs w:val="72"/>
                    </w:rPr>
                  </w:pPr>
                  <w:r w:rsidRPr="00556161">
                    <w:rPr>
                      <w:rFonts w:ascii="Bradley Hand ITC" w:hAnsi="Bradley Hand ITC"/>
                      <w:b/>
                      <w:color w:val="0D0D0D" w:themeColor="text1" w:themeTint="F2"/>
                      <w:sz w:val="72"/>
                      <w:szCs w:val="72"/>
                    </w:rPr>
                    <w:t xml:space="preserve">The </w:t>
                  </w:r>
                  <w:r w:rsidRPr="00556161">
                    <w:rPr>
                      <w:rFonts w:ascii="Bradley Hand ITC" w:hAnsi="Bradley Hand ITC"/>
                      <w:b/>
                      <w:color w:val="0D0D0D" w:themeColor="text1" w:themeTint="F2"/>
                      <w:sz w:val="72"/>
                      <w:szCs w:val="72"/>
                      <w:lang w:val="en-GB"/>
                    </w:rPr>
                    <w:t>Christadelphian EJournal of Biblical Interpretation</w:t>
                  </w:r>
                </w:p>
              </w:txbxContent>
            </v:textbox>
          </v:shape>
        </w:pict>
      </w:r>
      <w:r>
        <w:rPr>
          <w:rFonts w:ascii="Arial" w:hAnsi="Arial"/>
          <w:noProof/>
          <w:lang w:val="en-AU" w:eastAsia="en-AU"/>
        </w:rPr>
        <w:pict>
          <v:shape id="_x0000_s1258" type="#_x0000_t202" style="position:absolute;left:0;text-align:left;margin-left:-3.95pt;margin-top:308.85pt;width:90.5pt;height:40.75pt;z-index:251674112" fillcolor="none" strokecolor="white [3212]">
            <v:fill r:id="rId9" o:title="5%" type="pattern"/>
            <v:textbox style="mso-next-textbox:#_x0000_s1258">
              <w:txbxContent>
                <w:p w:rsidR="00FB0788" w:rsidRPr="005C41A9" w:rsidRDefault="00FB0788" w:rsidP="008C0C6D">
                  <w:pPr>
                    <w:autoSpaceDE w:val="0"/>
                    <w:autoSpaceDN w:val="0"/>
                    <w:adjustRightInd w:val="0"/>
                    <w:rPr>
                      <w:rFonts w:ascii="Arial" w:hAnsi="Arial"/>
                      <w:lang w:val="en-AU"/>
                    </w:rPr>
                  </w:pPr>
                  <w:proofErr w:type="spellStart"/>
                  <w:r w:rsidRPr="005C41A9">
                    <w:rPr>
                      <w:rFonts w:ascii="Bwgrkl" w:hAnsi="Bwgrkl" w:cs="Bwgrkl"/>
                      <w:b/>
                      <w:bCs/>
                      <w:lang w:val="en-AU"/>
                    </w:rPr>
                    <w:t>Cristo</w:t>
                  </w:r>
                  <w:proofErr w:type="gramStart"/>
                  <w:r w:rsidRPr="005C41A9">
                    <w:rPr>
                      <w:rFonts w:ascii="Bwgrkl" w:hAnsi="Bwgrkl" w:cs="Bwgrkl"/>
                      <w:b/>
                      <w:bCs/>
                      <w:lang w:val="en-AU"/>
                    </w:rPr>
                    <w:t>,j</w:t>
                  </w:r>
                  <w:proofErr w:type="spellEnd"/>
                  <w:proofErr w:type="gramEnd"/>
                  <w:r w:rsidRPr="005C41A9">
                    <w:rPr>
                      <w:rFonts w:ascii="Bwgrkl" w:hAnsi="Bwgrkl" w:cs="Bwgrkl"/>
                      <w:b/>
                      <w:bCs/>
                      <w:lang w:val="en-AU"/>
                    </w:rPr>
                    <w:t xml:space="preserve"> </w:t>
                  </w:r>
                  <w:r>
                    <w:rPr>
                      <w:rFonts w:ascii="Bwgrkl" w:hAnsi="Bwgrkl" w:cs="Bwgrkl"/>
                      <w:b/>
                      <w:bCs/>
                      <w:lang w:val="en-AU"/>
                    </w:rPr>
                    <w:t xml:space="preserve">        </w:t>
                  </w:r>
                  <w:r w:rsidRPr="005C41A9">
                    <w:rPr>
                      <w:rFonts w:ascii="Arial" w:hAnsi="Arial"/>
                      <w:lang w:val="en-AU"/>
                    </w:rPr>
                    <w:t xml:space="preserve">Christos  </w:t>
                  </w:r>
                </w:p>
                <w:p w:rsidR="00FB0788" w:rsidRDefault="00FB0788" w:rsidP="008C0C6D"/>
              </w:txbxContent>
            </v:textbox>
          </v:shape>
        </w:pict>
      </w:r>
      <w:r>
        <w:rPr>
          <w:rFonts w:ascii="Times New Roman" w:hAnsi="Times New Roman" w:cs="Times New Roman"/>
          <w:noProof/>
          <w:lang w:val="en-AU" w:eastAsia="en-AU"/>
        </w:rPr>
        <w:pict>
          <v:shape id="_x0000_s1249" type="#_x0000_t202" style="position:absolute;left:0;text-align:left;margin-left:-12.05pt;margin-top:204.45pt;width:119.85pt;height:42.9pt;z-index:251664896" fillcolor="none" strokecolor="white [3212]">
            <v:fill r:id="rId9" o:title="5%" type="pattern"/>
            <v:textbox style="mso-next-textbox:#_x0000_s1249">
              <w:txbxContent>
                <w:p w:rsidR="00FB0788" w:rsidRPr="005C41A9" w:rsidRDefault="00FB0788" w:rsidP="008C0C6D">
                  <w:pPr>
                    <w:autoSpaceDE w:val="0"/>
                    <w:autoSpaceDN w:val="0"/>
                    <w:adjustRightInd w:val="0"/>
                    <w:rPr>
                      <w:rFonts w:ascii="Arial" w:hAnsi="Arial"/>
                      <w:lang w:val="en-AU"/>
                    </w:rPr>
                  </w:pPr>
                  <w:proofErr w:type="spellStart"/>
                  <w:proofErr w:type="gramStart"/>
                  <w:r w:rsidRPr="005C41A9">
                    <w:rPr>
                      <w:rFonts w:ascii="Bwgrkl" w:hAnsi="Bwgrkl" w:cs="Bwgrkl"/>
                      <w:b/>
                      <w:bCs/>
                      <w:lang w:val="en-AU"/>
                    </w:rPr>
                    <w:t>avdelfo,</w:t>
                  </w:r>
                  <w:proofErr w:type="gramEnd"/>
                  <w:r w:rsidRPr="005C41A9">
                    <w:rPr>
                      <w:rFonts w:ascii="Bwgrkl" w:hAnsi="Bwgrkl" w:cs="Bwgrkl"/>
                      <w:b/>
                      <w:bCs/>
                      <w:lang w:val="en-AU"/>
                    </w:rPr>
                    <w:t>j</w:t>
                  </w:r>
                  <w:proofErr w:type="spellEnd"/>
                  <w:r w:rsidRPr="005C41A9">
                    <w:rPr>
                      <w:rFonts w:ascii="Bwgrkl" w:hAnsi="Bwgrkl" w:cs="Bwgrkl"/>
                      <w:b/>
                      <w:bCs/>
                      <w:lang w:val="en-AU"/>
                    </w:rPr>
                    <w:t xml:space="preserve"> </w:t>
                  </w:r>
                  <w:proofErr w:type="spellStart"/>
                  <w:r w:rsidRPr="005C41A9">
                    <w:rPr>
                      <w:rFonts w:ascii="Arial" w:hAnsi="Arial"/>
                      <w:lang w:val="en-AU"/>
                    </w:rPr>
                    <w:t>adelphos</w:t>
                  </w:r>
                  <w:proofErr w:type="spellEnd"/>
                  <w:r w:rsidRPr="005C41A9">
                    <w:rPr>
                      <w:rFonts w:ascii="Arial" w:hAnsi="Arial"/>
                      <w:lang w:val="en-AU"/>
                    </w:rPr>
                    <w:t xml:space="preserve"> {ad-el-</w:t>
                  </w:r>
                  <w:proofErr w:type="spellStart"/>
                  <w:r w:rsidRPr="005C41A9">
                    <w:rPr>
                      <w:rFonts w:ascii="Arial" w:hAnsi="Arial"/>
                      <w:lang w:val="en-AU"/>
                    </w:rPr>
                    <w:t>fos</w:t>
                  </w:r>
                  <w:proofErr w:type="spellEnd"/>
                  <w:r>
                    <w:rPr>
                      <w:rFonts w:ascii="Arial" w:hAnsi="Arial"/>
                      <w:lang w:val="en-AU"/>
                    </w:rPr>
                    <w:t>’</w:t>
                  </w:r>
                  <w:r w:rsidRPr="005C41A9">
                    <w:rPr>
                      <w:rFonts w:ascii="Arial" w:hAnsi="Arial"/>
                      <w:lang w:val="en-AU"/>
                    </w:rPr>
                    <w:t xml:space="preserve">} </w:t>
                  </w:r>
                </w:p>
                <w:p w:rsidR="00FB0788" w:rsidRDefault="00FB0788" w:rsidP="008C0C6D"/>
              </w:txbxContent>
            </v:textbox>
          </v:shape>
        </w:pict>
      </w:r>
      <w:r>
        <w:rPr>
          <w:rFonts w:ascii="Arial" w:hAnsi="Arial"/>
          <w:noProof/>
          <w:lang w:val="en-AU" w:eastAsia="en-AU"/>
        </w:rPr>
        <w:pict>
          <v:shape id="_x0000_s1256" type="#_x0000_t202" style="position:absolute;left:0;text-align:left;margin-left:78pt;margin-top:6.6pt;width:60.75pt;height:47.85pt;z-index:251672064" fillcolor="none" strokecolor="white [3212]">
            <v:fill r:id="rId9" o:title="5%" type="pattern"/>
            <v:textbox style="mso-next-textbox:#_x0000_s1256">
              <w:txbxContent>
                <w:p w:rsidR="00FB0788" w:rsidRPr="005C41A9" w:rsidRDefault="00FB0788" w:rsidP="008C0C6D">
                  <w:pPr>
                    <w:autoSpaceDE w:val="0"/>
                    <w:autoSpaceDN w:val="0"/>
                    <w:adjustRightInd w:val="0"/>
                    <w:rPr>
                      <w:rFonts w:ascii="Arial" w:hAnsi="Arial"/>
                      <w:lang w:val="en-AU"/>
                    </w:rPr>
                  </w:pPr>
                  <w:proofErr w:type="spellStart"/>
                  <w:r w:rsidRPr="005C41A9">
                    <w:rPr>
                      <w:rFonts w:ascii="Bwgrkl" w:hAnsi="Bwgrkl" w:cs="Bwgrkl"/>
                      <w:b/>
                      <w:bCs/>
                      <w:lang w:val="en-AU"/>
                    </w:rPr>
                    <w:t>Cristo</w:t>
                  </w:r>
                  <w:proofErr w:type="gramStart"/>
                  <w:r w:rsidRPr="005C41A9">
                    <w:rPr>
                      <w:rFonts w:ascii="Bwgrkl" w:hAnsi="Bwgrkl" w:cs="Bwgrkl"/>
                      <w:b/>
                      <w:bCs/>
                      <w:lang w:val="en-AU"/>
                    </w:rPr>
                    <w:t>,j</w:t>
                  </w:r>
                  <w:proofErr w:type="spellEnd"/>
                  <w:proofErr w:type="gramEnd"/>
                  <w:r w:rsidRPr="005C41A9">
                    <w:rPr>
                      <w:rFonts w:ascii="Bwgrkl" w:hAnsi="Bwgrkl" w:cs="Bwgrkl"/>
                      <w:b/>
                      <w:bCs/>
                      <w:lang w:val="en-AU"/>
                    </w:rPr>
                    <w:t xml:space="preserve"> </w:t>
                  </w:r>
                  <w:r w:rsidRPr="005C41A9">
                    <w:rPr>
                      <w:rFonts w:ascii="Arial" w:hAnsi="Arial"/>
                      <w:lang w:val="en-AU"/>
                    </w:rPr>
                    <w:t xml:space="preserve">Christos  </w:t>
                  </w:r>
                </w:p>
                <w:p w:rsidR="00FB0788" w:rsidRDefault="00FB0788" w:rsidP="008C0C6D"/>
              </w:txbxContent>
            </v:textbox>
          </v:shape>
        </w:pict>
      </w:r>
      <w:r>
        <w:rPr>
          <w:rFonts w:ascii="Arial" w:hAnsi="Arial"/>
          <w:noProof/>
          <w:lang w:val="en-AU" w:eastAsia="en-AU"/>
        </w:rPr>
        <w:pict>
          <v:shape id="_x0000_s1266" type="#_x0000_t202" style="position:absolute;left:0;text-align:left;margin-left:13.15pt;margin-top:19.95pt;width:64.85pt;height:34.5pt;z-index:251682304" fillcolor="none" strokecolor="white [3212]">
            <v:fill r:id="rId9" o:title="5%" type="pattern"/>
            <v:textbox style="mso-next-textbox:#_x0000_s1266">
              <w:txbxContent>
                <w:p w:rsidR="00FB0788" w:rsidRDefault="00FB0788" w:rsidP="008C0C6D">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r>
                    <w:rPr>
                      <w:rFonts w:ascii="Arial" w:hAnsi="Arial"/>
                      <w:lang w:val="en-AU"/>
                    </w:rPr>
                    <w:t>‘ach</w:t>
                  </w:r>
                </w:p>
              </w:txbxContent>
            </v:textbox>
          </v:shape>
        </w:pict>
      </w:r>
      <w:r>
        <w:rPr>
          <w:rFonts w:ascii="Arial" w:hAnsi="Arial"/>
          <w:noProof/>
          <w:lang w:val="en-AU" w:eastAsia="en-AU"/>
        </w:rPr>
        <w:pict>
          <v:shape id="_x0000_s1263" type="#_x0000_t202" style="position:absolute;left:0;text-align:left;margin-left:-14.1pt;margin-top:152.1pt;width:112.2pt;height:31.5pt;z-index:251679232" fillcolor="none" strokecolor="white [3212]">
            <v:fill r:id="rId9" o:title="5%" type="pattern"/>
            <v:textbox style="mso-next-textbox:#_x0000_s1263">
              <w:txbxContent>
                <w:p w:rsidR="00FB0788" w:rsidRDefault="00FB0788" w:rsidP="008C0C6D">
                  <w:pPr>
                    <w:rPr>
                      <w:rFonts w:ascii="Arial" w:hAnsi="Arial"/>
                      <w:lang w:val="en-AU"/>
                    </w:rPr>
                  </w:pPr>
                  <w:proofErr w:type="spellStart"/>
                  <w:proofErr w:type="gramStart"/>
                  <w:r>
                    <w:rPr>
                      <w:rFonts w:ascii="Bwhebb" w:hAnsi="Bwhebb" w:cs="Bwhebb"/>
                      <w:sz w:val="36"/>
                      <w:szCs w:val="36"/>
                      <w:lang w:val="en-AU"/>
                    </w:rPr>
                    <w:t>x;</w:t>
                  </w:r>
                  <w:proofErr w:type="gramEnd"/>
                  <w:r>
                    <w:rPr>
                      <w:rFonts w:ascii="Bwhebb" w:hAnsi="Bwhebb" w:cs="Bwhebb"/>
                      <w:sz w:val="36"/>
                      <w:szCs w:val="36"/>
                      <w:lang w:val="en-AU"/>
                    </w:rPr>
                    <w:t>yvim</w:t>
                  </w:r>
                  <w:proofErr w:type="spellEnd"/>
                  <w:r>
                    <w:rPr>
                      <w:rFonts w:ascii="Bwhebb" w:hAnsi="Bwhebb" w:cs="Bwhebb"/>
                      <w:sz w:val="36"/>
                      <w:szCs w:val="36"/>
                      <w:lang w:val="en-AU"/>
                    </w:rPr>
                    <w:t xml:space="preserve">’ </w:t>
                  </w:r>
                  <w:r>
                    <w:rPr>
                      <w:rFonts w:ascii="Arial" w:hAnsi="Arial"/>
                      <w:lang w:val="en-AU"/>
                    </w:rPr>
                    <w:t>mashiyach</w:t>
                  </w:r>
                </w:p>
                <w:p w:rsidR="00FB0788" w:rsidRDefault="00FB0788" w:rsidP="008C0C6D"/>
              </w:txbxContent>
            </v:textbox>
          </v:shape>
        </w:pict>
      </w:r>
      <w:r>
        <w:rPr>
          <w:rFonts w:ascii="Arial" w:hAnsi="Arial"/>
          <w:noProof/>
          <w:lang w:val="en-AU" w:eastAsia="en-AU"/>
        </w:rPr>
        <w:pict>
          <v:shape id="_x0000_s1260" type="#_x0000_t202" style="position:absolute;left:0;text-align:left;margin-left:-7.85pt;margin-top:442.75pt;width:115.65pt;height:30.75pt;z-index:251676160" fillcolor="none" strokecolor="white [3212]">
            <v:fill r:id="rId9" o:title="5%" type="pattern"/>
            <v:textbox style="mso-next-textbox:#_x0000_s1260">
              <w:txbxContent>
                <w:p w:rsidR="00FB0788" w:rsidRDefault="00FB0788" w:rsidP="008C0C6D">
                  <w:pPr>
                    <w:rPr>
                      <w:rFonts w:ascii="Arial" w:hAnsi="Arial"/>
                      <w:lang w:val="en-AU"/>
                    </w:rPr>
                  </w:pPr>
                  <w:proofErr w:type="spellStart"/>
                  <w:proofErr w:type="gramStart"/>
                  <w:r>
                    <w:rPr>
                      <w:rFonts w:ascii="Bwhebb" w:hAnsi="Bwhebb" w:cs="Bwhebb"/>
                      <w:sz w:val="36"/>
                      <w:szCs w:val="36"/>
                      <w:lang w:val="en-AU"/>
                    </w:rPr>
                    <w:t>x;</w:t>
                  </w:r>
                  <w:proofErr w:type="gramEnd"/>
                  <w:r>
                    <w:rPr>
                      <w:rFonts w:ascii="Bwhebb" w:hAnsi="Bwhebb" w:cs="Bwhebb"/>
                      <w:sz w:val="36"/>
                      <w:szCs w:val="36"/>
                      <w:lang w:val="en-AU"/>
                    </w:rPr>
                    <w:t>yvim</w:t>
                  </w:r>
                  <w:proofErr w:type="spellEnd"/>
                  <w:r>
                    <w:rPr>
                      <w:rFonts w:ascii="Bwhebb" w:hAnsi="Bwhebb" w:cs="Bwhebb"/>
                      <w:sz w:val="36"/>
                      <w:szCs w:val="36"/>
                      <w:lang w:val="en-AU"/>
                    </w:rPr>
                    <w:t xml:space="preserve">’ </w:t>
                  </w:r>
                  <w:r>
                    <w:rPr>
                      <w:rFonts w:ascii="Arial" w:hAnsi="Arial"/>
                      <w:lang w:val="en-AU"/>
                    </w:rPr>
                    <w:t>mashiyach</w:t>
                  </w:r>
                </w:p>
                <w:p w:rsidR="00FB0788" w:rsidRDefault="00FB0788" w:rsidP="008C0C6D"/>
              </w:txbxContent>
            </v:textbox>
          </v:shape>
        </w:pict>
      </w:r>
      <w:r>
        <w:rPr>
          <w:rFonts w:ascii="Arial" w:hAnsi="Arial"/>
          <w:noProof/>
          <w:lang w:val="en-AU" w:eastAsia="en-AU"/>
        </w:rPr>
        <w:pict>
          <v:shape id="_x0000_s1274" type="#_x0000_t202" style="position:absolute;left:0;text-align:left;margin-left:-3.1pt;margin-top:407.2pt;width:64.25pt;height:24pt;z-index:251690496" fillcolor="none" strokecolor="white [3212]">
            <v:fill r:id="rId9" o:title="5%" type="pattern"/>
            <v:textbox style="mso-next-textbox:#_x0000_s1274">
              <w:txbxContent>
                <w:p w:rsidR="00FB0788" w:rsidRDefault="00FB0788" w:rsidP="008C0C6D">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r>
                    <w:rPr>
                      <w:rFonts w:ascii="Arial" w:hAnsi="Arial"/>
                      <w:lang w:val="en-AU"/>
                    </w:rPr>
                    <w:t>‘ach</w:t>
                  </w:r>
                </w:p>
              </w:txbxContent>
            </v:textbox>
          </v:shape>
        </w:pict>
      </w:r>
      <w:r>
        <w:rPr>
          <w:rFonts w:ascii="Arial" w:hAnsi="Arial"/>
          <w:noProof/>
          <w:lang w:val="en-AU" w:eastAsia="en-AU"/>
        </w:rPr>
        <w:pict>
          <v:shape id="_x0000_s1254" type="#_x0000_t202" style="position:absolute;left:0;text-align:left;margin-left:255.45pt;margin-top:399.1pt;width:114pt;height:27.5pt;z-index:251670016" fillcolor="none" strokecolor="white [3212]">
            <v:fill r:id="rId9" o:title="5%" type="pattern"/>
            <v:textbox style="mso-next-textbox:#_x0000_s1254">
              <w:txbxContent>
                <w:p w:rsidR="00FB0788" w:rsidRPr="005C41A9" w:rsidRDefault="00FB0788" w:rsidP="008C0C6D">
                  <w:pPr>
                    <w:autoSpaceDE w:val="0"/>
                    <w:autoSpaceDN w:val="0"/>
                    <w:adjustRightInd w:val="0"/>
                    <w:rPr>
                      <w:rFonts w:ascii="Arial" w:hAnsi="Arial"/>
                      <w:lang w:val="en-AU"/>
                    </w:rPr>
                  </w:pPr>
                  <w:proofErr w:type="spellStart"/>
                  <w:proofErr w:type="gramStart"/>
                  <w:r w:rsidRPr="005C41A9">
                    <w:rPr>
                      <w:rFonts w:ascii="Bwgrkl" w:hAnsi="Bwgrkl" w:cs="Bwgrkl"/>
                      <w:b/>
                      <w:bCs/>
                      <w:lang w:val="en-AU"/>
                    </w:rPr>
                    <w:t>avdelfo,</w:t>
                  </w:r>
                  <w:proofErr w:type="gramEnd"/>
                  <w:r w:rsidRPr="005C41A9">
                    <w:rPr>
                      <w:rFonts w:ascii="Bwgrkl" w:hAnsi="Bwgrkl" w:cs="Bwgrkl"/>
                      <w:b/>
                      <w:bCs/>
                      <w:lang w:val="en-AU"/>
                    </w:rPr>
                    <w:t>j</w:t>
                  </w:r>
                  <w:proofErr w:type="spellEnd"/>
                  <w:r w:rsidRPr="005C41A9">
                    <w:rPr>
                      <w:rFonts w:ascii="Bwgrkl" w:hAnsi="Bwgrkl" w:cs="Bwgrkl"/>
                      <w:b/>
                      <w:bCs/>
                      <w:lang w:val="en-AU"/>
                    </w:rPr>
                    <w:t xml:space="preserve"> </w:t>
                  </w:r>
                  <w:proofErr w:type="spellStart"/>
                  <w:r w:rsidRPr="005C41A9">
                    <w:rPr>
                      <w:rFonts w:ascii="Arial" w:hAnsi="Arial"/>
                      <w:lang w:val="en-AU"/>
                    </w:rPr>
                    <w:t>adelphos</w:t>
                  </w:r>
                  <w:proofErr w:type="spellEnd"/>
                  <w:r w:rsidRPr="005C41A9">
                    <w:rPr>
                      <w:rFonts w:ascii="Arial" w:hAnsi="Arial"/>
                      <w:lang w:val="en-AU"/>
                    </w:rPr>
                    <w:t xml:space="preserve">  </w:t>
                  </w:r>
                </w:p>
                <w:p w:rsidR="00FB0788" w:rsidRDefault="00FB0788" w:rsidP="008C0C6D"/>
              </w:txbxContent>
            </v:textbox>
          </v:shape>
        </w:pict>
      </w:r>
      <w:r>
        <w:rPr>
          <w:rFonts w:ascii="Arial" w:hAnsi="Arial"/>
          <w:noProof/>
          <w:lang w:val="en-AU" w:eastAsia="en-AU"/>
        </w:rPr>
        <w:pict>
          <v:shape id="_x0000_s1264" type="#_x0000_t202" style="position:absolute;left:0;text-align:left;margin-left:107.8pt;margin-top:407.2pt;width:112pt;height:29.25pt;z-index:251680256" fillcolor="none" strokecolor="white [3212]">
            <v:fill r:id="rId9" o:title="5%" type="pattern"/>
            <v:textbox style="mso-next-textbox:#_x0000_s1264">
              <w:txbxContent>
                <w:p w:rsidR="00FB0788" w:rsidRDefault="00FB0788" w:rsidP="008C0C6D">
                  <w:pPr>
                    <w:rPr>
                      <w:rFonts w:ascii="Arial" w:hAnsi="Arial"/>
                      <w:lang w:val="en-AU"/>
                    </w:rPr>
                  </w:pPr>
                  <w:proofErr w:type="spellStart"/>
                  <w:proofErr w:type="gramStart"/>
                  <w:r>
                    <w:rPr>
                      <w:rFonts w:ascii="Bwhebb" w:hAnsi="Bwhebb" w:cs="Bwhebb"/>
                      <w:sz w:val="36"/>
                      <w:szCs w:val="36"/>
                      <w:lang w:val="en-AU"/>
                    </w:rPr>
                    <w:t>x;</w:t>
                  </w:r>
                  <w:proofErr w:type="gramEnd"/>
                  <w:r>
                    <w:rPr>
                      <w:rFonts w:ascii="Bwhebb" w:hAnsi="Bwhebb" w:cs="Bwhebb"/>
                      <w:sz w:val="36"/>
                      <w:szCs w:val="36"/>
                      <w:lang w:val="en-AU"/>
                    </w:rPr>
                    <w:t>yvim</w:t>
                  </w:r>
                  <w:proofErr w:type="spellEnd"/>
                  <w:r>
                    <w:rPr>
                      <w:rFonts w:ascii="Bwhebb" w:hAnsi="Bwhebb" w:cs="Bwhebb"/>
                      <w:sz w:val="36"/>
                      <w:szCs w:val="36"/>
                      <w:lang w:val="en-AU"/>
                    </w:rPr>
                    <w:t xml:space="preserve">’ </w:t>
                  </w:r>
                  <w:r>
                    <w:rPr>
                      <w:rFonts w:ascii="Arial" w:hAnsi="Arial"/>
                      <w:lang w:val="en-AU"/>
                    </w:rPr>
                    <w:t>mashiyach</w:t>
                  </w:r>
                </w:p>
                <w:p w:rsidR="00FB0788" w:rsidRDefault="00FB0788" w:rsidP="008C0C6D"/>
              </w:txbxContent>
            </v:textbox>
          </v:shape>
        </w:pict>
      </w:r>
      <w:r>
        <w:rPr>
          <w:rFonts w:ascii="Bwgrkl" w:hAnsi="Bwgrkl" w:cs="Bwgrkl"/>
          <w:b/>
          <w:bCs/>
          <w:noProof/>
          <w:lang w:val="en-AU" w:eastAsia="en-AU"/>
        </w:rPr>
        <w:pict>
          <v:shape id="_x0000_s1257" type="#_x0000_t202" style="position:absolute;left:0;text-align:left;margin-left:26.9pt;margin-top:365.95pt;width:111.85pt;height:33.15pt;z-index:251673088" fillcolor="none" strokecolor="white [3212]">
            <v:fill r:id="rId9" o:title="5%" type="pattern"/>
            <v:textbox style="mso-next-textbox:#_x0000_s1257">
              <w:txbxContent>
                <w:p w:rsidR="00FB0788" w:rsidRPr="005C41A9" w:rsidRDefault="00FB0788" w:rsidP="008C0C6D">
                  <w:pPr>
                    <w:autoSpaceDE w:val="0"/>
                    <w:autoSpaceDN w:val="0"/>
                    <w:adjustRightInd w:val="0"/>
                    <w:rPr>
                      <w:rFonts w:ascii="Arial" w:hAnsi="Arial"/>
                      <w:lang w:val="en-AU"/>
                    </w:rPr>
                  </w:pPr>
                  <w:proofErr w:type="spellStart"/>
                  <w:r w:rsidRPr="005C41A9">
                    <w:rPr>
                      <w:rFonts w:ascii="Bwgrkl" w:hAnsi="Bwgrkl" w:cs="Bwgrkl"/>
                      <w:b/>
                      <w:bCs/>
                      <w:lang w:val="en-AU"/>
                    </w:rPr>
                    <w:t>Cristo</w:t>
                  </w:r>
                  <w:proofErr w:type="gramStart"/>
                  <w:r w:rsidRPr="005C41A9">
                    <w:rPr>
                      <w:rFonts w:ascii="Bwgrkl" w:hAnsi="Bwgrkl" w:cs="Bwgrkl"/>
                      <w:b/>
                      <w:bCs/>
                      <w:lang w:val="en-AU"/>
                    </w:rPr>
                    <w:t>,j</w:t>
                  </w:r>
                  <w:proofErr w:type="spellEnd"/>
                  <w:proofErr w:type="gramEnd"/>
                  <w:r w:rsidRPr="005C41A9">
                    <w:rPr>
                      <w:rFonts w:ascii="Bwgrkl" w:hAnsi="Bwgrkl" w:cs="Bwgrkl"/>
                      <w:b/>
                      <w:bCs/>
                      <w:lang w:val="en-AU"/>
                    </w:rPr>
                    <w:t xml:space="preserve"> </w:t>
                  </w:r>
                  <w:r w:rsidRPr="005C41A9">
                    <w:rPr>
                      <w:rFonts w:ascii="Arial" w:hAnsi="Arial"/>
                      <w:lang w:val="en-AU"/>
                    </w:rPr>
                    <w:t xml:space="preserve">Christos  </w:t>
                  </w:r>
                </w:p>
                <w:p w:rsidR="00FB0788" w:rsidRDefault="00FB0788" w:rsidP="008C0C6D"/>
              </w:txbxContent>
            </v:textbox>
          </v:shape>
        </w:pict>
      </w:r>
      <w:r>
        <w:rPr>
          <w:rFonts w:ascii="Arial" w:hAnsi="Arial"/>
          <w:noProof/>
          <w:lang w:val="en-AU" w:eastAsia="en-AU"/>
        </w:rPr>
        <w:pict>
          <v:shape id="_x0000_s1261" type="#_x0000_t202" style="position:absolute;left:0;text-align:left;margin-left:211.75pt;margin-top:349.6pt;width:143.75pt;height:57.6pt;z-index:251677184" fillcolor="none" strokecolor="white [3212]">
            <v:fill r:id="rId9" o:title="5%" type="pattern"/>
            <v:textbox style="mso-next-textbox:#_x0000_s1261">
              <w:txbxContent>
                <w:p w:rsidR="00FB0788" w:rsidRDefault="00FB0788" w:rsidP="008C0C6D">
                  <w:pPr>
                    <w:rPr>
                      <w:rFonts w:ascii="Bwhebb" w:hAnsi="Bwhebb" w:cs="Bwhebb"/>
                      <w:sz w:val="36"/>
                      <w:szCs w:val="36"/>
                      <w:lang w:val="en-AU"/>
                    </w:rPr>
                  </w:pPr>
                </w:p>
                <w:p w:rsidR="00FB0788" w:rsidRDefault="00FB0788" w:rsidP="008C0C6D">
                  <w:pPr>
                    <w:rPr>
                      <w:rFonts w:ascii="Arial" w:hAnsi="Arial"/>
                      <w:lang w:val="en-AU"/>
                    </w:rPr>
                  </w:pPr>
                  <w:proofErr w:type="spellStart"/>
                  <w:proofErr w:type="gramStart"/>
                  <w:r>
                    <w:rPr>
                      <w:rFonts w:ascii="Bwhebb" w:hAnsi="Bwhebb" w:cs="Bwhebb"/>
                      <w:sz w:val="36"/>
                      <w:szCs w:val="36"/>
                      <w:lang w:val="en-AU"/>
                    </w:rPr>
                    <w:t>x;</w:t>
                  </w:r>
                  <w:proofErr w:type="gramEnd"/>
                  <w:r>
                    <w:rPr>
                      <w:rFonts w:ascii="Bwhebb" w:hAnsi="Bwhebb" w:cs="Bwhebb"/>
                      <w:sz w:val="36"/>
                      <w:szCs w:val="36"/>
                      <w:lang w:val="en-AU"/>
                    </w:rPr>
                    <w:t>yvim</w:t>
                  </w:r>
                  <w:proofErr w:type="spellEnd"/>
                  <w:r>
                    <w:rPr>
                      <w:rFonts w:ascii="Bwhebb" w:hAnsi="Bwhebb" w:cs="Bwhebb"/>
                      <w:sz w:val="36"/>
                      <w:szCs w:val="36"/>
                      <w:lang w:val="en-AU"/>
                    </w:rPr>
                    <w:t xml:space="preserve">’ </w:t>
                  </w:r>
                  <w:r>
                    <w:rPr>
                      <w:rFonts w:ascii="Arial" w:hAnsi="Arial"/>
                      <w:lang w:val="en-AU"/>
                    </w:rPr>
                    <w:t>mashiyach</w:t>
                  </w:r>
                </w:p>
                <w:p w:rsidR="00FB0788" w:rsidRDefault="00FB0788" w:rsidP="008C0C6D"/>
              </w:txbxContent>
            </v:textbox>
          </v:shape>
        </w:pict>
      </w:r>
      <w:r>
        <w:rPr>
          <w:rFonts w:ascii="Arial" w:hAnsi="Arial"/>
          <w:noProof/>
          <w:lang w:val="en-AU" w:eastAsia="en-AU"/>
        </w:rPr>
        <w:pict>
          <v:shape id="_x0000_s1275" type="#_x0000_t202" style="position:absolute;left:0;text-align:left;margin-left:19.8pt;margin-top:473.5pt;width:227.7pt;height:46.5pt;z-index:251691520" fillcolor="none" strokecolor="white [3212]">
            <v:fill r:id="rId9" o:title="5%" type="pattern"/>
            <v:textbox style="mso-next-textbox:#_x0000_s1275">
              <w:txbxContent>
                <w:p w:rsidR="00FB0788" w:rsidRPr="005C41A9" w:rsidRDefault="00FB0788" w:rsidP="008C0C6D">
                  <w:pPr>
                    <w:autoSpaceDE w:val="0"/>
                    <w:autoSpaceDN w:val="0"/>
                    <w:adjustRightInd w:val="0"/>
                    <w:rPr>
                      <w:rFonts w:ascii="Arial" w:hAnsi="Arial"/>
                      <w:sz w:val="56"/>
                      <w:szCs w:val="56"/>
                      <w:lang w:val="en-AU"/>
                    </w:rPr>
                  </w:pPr>
                  <w:proofErr w:type="spellStart"/>
                  <w:r w:rsidRPr="005C41A9">
                    <w:rPr>
                      <w:rFonts w:ascii="Bwgrkl" w:hAnsi="Bwgrkl" w:cs="Bwgrkl"/>
                      <w:b/>
                      <w:bCs/>
                      <w:sz w:val="56"/>
                      <w:szCs w:val="56"/>
                      <w:lang w:val="en-AU"/>
                    </w:rPr>
                    <w:t>Cristo</w:t>
                  </w:r>
                  <w:proofErr w:type="gramStart"/>
                  <w:r w:rsidRPr="005C41A9">
                    <w:rPr>
                      <w:rFonts w:ascii="Bwgrkl" w:hAnsi="Bwgrkl" w:cs="Bwgrkl"/>
                      <w:b/>
                      <w:bCs/>
                      <w:sz w:val="56"/>
                      <w:szCs w:val="56"/>
                      <w:lang w:val="en-AU"/>
                    </w:rPr>
                    <w:t>,j</w:t>
                  </w:r>
                  <w:proofErr w:type="spellEnd"/>
                  <w:proofErr w:type="gramEnd"/>
                  <w:r w:rsidRPr="005C41A9">
                    <w:rPr>
                      <w:rFonts w:ascii="Bwgrkl" w:hAnsi="Bwgrkl" w:cs="Bwgrkl"/>
                      <w:b/>
                      <w:bCs/>
                      <w:sz w:val="56"/>
                      <w:szCs w:val="56"/>
                      <w:lang w:val="en-AU"/>
                    </w:rPr>
                    <w:t xml:space="preserve"> </w:t>
                  </w:r>
                  <w:r w:rsidRPr="005C41A9">
                    <w:rPr>
                      <w:rFonts w:ascii="Arial" w:hAnsi="Arial"/>
                      <w:sz w:val="56"/>
                      <w:szCs w:val="56"/>
                      <w:lang w:val="en-AU"/>
                    </w:rPr>
                    <w:t xml:space="preserve">Christos  </w:t>
                  </w:r>
                </w:p>
                <w:p w:rsidR="00FB0788" w:rsidRDefault="00FB0788" w:rsidP="008C0C6D"/>
              </w:txbxContent>
            </v:textbox>
          </v:shape>
        </w:pict>
      </w:r>
      <w:r>
        <w:rPr>
          <w:rFonts w:ascii="Arial" w:hAnsi="Arial"/>
          <w:noProof/>
          <w:lang w:val="en-AU" w:eastAsia="en-AU"/>
        </w:rPr>
        <w:pict>
          <v:shape id="_x0000_s1268" type="#_x0000_t202" style="position:absolute;left:0;text-align:left;margin-left:243.7pt;margin-top:473.5pt;width:108.05pt;height:46.5pt;z-index:251684352" fillcolor="none" strokecolor="white [3212]">
            <v:fill r:id="rId9" o:title="5%" type="pattern"/>
            <v:textbox style="mso-next-textbox:#_x0000_s1268">
              <w:txbxContent>
                <w:p w:rsidR="00FB0788" w:rsidRDefault="00FB0788" w:rsidP="008C0C6D">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r>
                    <w:rPr>
                      <w:rFonts w:ascii="Arial" w:hAnsi="Arial"/>
                      <w:lang w:val="en-AU"/>
                    </w:rPr>
                    <w:t>‘ach</w:t>
                  </w:r>
                </w:p>
              </w:txbxContent>
            </v:textbox>
          </v:shape>
        </w:pict>
      </w:r>
      <w:r>
        <w:rPr>
          <w:rFonts w:ascii="Arial" w:hAnsi="Arial"/>
          <w:noProof/>
          <w:lang w:val="en-AU" w:eastAsia="en-AU"/>
        </w:rPr>
        <w:pict>
          <v:shape id="_x0000_s1265" type="#_x0000_t202" style="position:absolute;left:0;text-align:left;margin-left:-3.95pt;margin-top:260.35pt;width:64.95pt;height:48.5pt;z-index:251681280" fillcolor="none" strokecolor="white [3212]">
            <v:fill r:id="rId9" o:title="5%" type="pattern"/>
            <v:textbox style="mso-next-textbox:#_x0000_s1265">
              <w:txbxContent>
                <w:p w:rsidR="00FB0788" w:rsidRDefault="00FB0788" w:rsidP="008C0C6D">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r>
                    <w:rPr>
                      <w:rFonts w:ascii="Arial" w:hAnsi="Arial"/>
                      <w:lang w:val="en-AU"/>
                    </w:rPr>
                    <w:t xml:space="preserve">‘ach </w:t>
                  </w:r>
                </w:p>
              </w:txbxContent>
            </v:textbox>
          </v:shape>
        </w:pict>
      </w:r>
      <w:r>
        <w:rPr>
          <w:rFonts w:ascii="Arial" w:hAnsi="Arial"/>
          <w:noProof/>
          <w:lang w:val="en-AU" w:eastAsia="en-AU"/>
        </w:rPr>
        <w:pict>
          <v:shape id="_x0000_s1271" type="#_x0000_t202" style="position:absolute;left:0;text-align:left;margin-left:117.9pt;margin-top:431.2pt;width:247.05pt;height:42.3pt;z-index:251687424" fillcolor="none" strokecolor="white [3212]">
            <v:fill r:id="rId9" o:title="5%" type="pattern"/>
            <v:textbox style="mso-next-textbox:#_x0000_s1271">
              <w:txbxContent>
                <w:p w:rsidR="00FB0788" w:rsidRPr="005C41A9" w:rsidRDefault="00FB0788" w:rsidP="008C0C6D">
                  <w:pPr>
                    <w:autoSpaceDE w:val="0"/>
                    <w:autoSpaceDN w:val="0"/>
                    <w:adjustRightInd w:val="0"/>
                    <w:rPr>
                      <w:rFonts w:ascii="Arial" w:hAnsi="Arial"/>
                      <w:sz w:val="56"/>
                      <w:szCs w:val="56"/>
                      <w:lang w:val="en-AU"/>
                    </w:rPr>
                  </w:pPr>
                  <w:proofErr w:type="spellStart"/>
                  <w:proofErr w:type="gramStart"/>
                  <w:r w:rsidRPr="005C41A9">
                    <w:rPr>
                      <w:rFonts w:ascii="Bwgrkl" w:hAnsi="Bwgrkl" w:cs="Bwgrkl"/>
                      <w:b/>
                      <w:bCs/>
                      <w:sz w:val="56"/>
                      <w:szCs w:val="56"/>
                      <w:lang w:val="en-AU"/>
                    </w:rPr>
                    <w:t>avdelfo,</w:t>
                  </w:r>
                  <w:proofErr w:type="gramEnd"/>
                  <w:r w:rsidRPr="005C41A9">
                    <w:rPr>
                      <w:rFonts w:ascii="Bwgrkl" w:hAnsi="Bwgrkl" w:cs="Bwgrkl"/>
                      <w:b/>
                      <w:bCs/>
                      <w:sz w:val="56"/>
                      <w:szCs w:val="56"/>
                      <w:lang w:val="en-AU"/>
                    </w:rPr>
                    <w:t>j</w:t>
                  </w:r>
                  <w:proofErr w:type="spellEnd"/>
                  <w:r w:rsidRPr="005C41A9">
                    <w:rPr>
                      <w:rFonts w:ascii="Bwgrkl" w:hAnsi="Bwgrkl" w:cs="Bwgrkl"/>
                      <w:b/>
                      <w:bCs/>
                      <w:sz w:val="56"/>
                      <w:szCs w:val="56"/>
                      <w:lang w:val="en-AU"/>
                    </w:rPr>
                    <w:t xml:space="preserve"> </w:t>
                  </w:r>
                  <w:proofErr w:type="spellStart"/>
                  <w:r w:rsidRPr="005C41A9">
                    <w:rPr>
                      <w:rFonts w:ascii="Arial" w:hAnsi="Arial"/>
                      <w:sz w:val="56"/>
                      <w:szCs w:val="56"/>
                      <w:lang w:val="en-AU"/>
                    </w:rPr>
                    <w:t>adelphos</w:t>
                  </w:r>
                  <w:proofErr w:type="spellEnd"/>
                  <w:r w:rsidRPr="005C41A9">
                    <w:rPr>
                      <w:rFonts w:ascii="Arial" w:hAnsi="Arial"/>
                      <w:sz w:val="56"/>
                      <w:szCs w:val="56"/>
                      <w:lang w:val="en-AU"/>
                    </w:rPr>
                    <w:t xml:space="preserve">  </w:t>
                  </w:r>
                </w:p>
                <w:p w:rsidR="00FB0788" w:rsidRDefault="00FB0788" w:rsidP="008C0C6D"/>
              </w:txbxContent>
            </v:textbox>
          </v:shape>
        </w:pict>
      </w:r>
      <w:r>
        <w:rPr>
          <w:rFonts w:ascii="Arial" w:hAnsi="Arial"/>
          <w:noProof/>
          <w:lang w:val="en-AU" w:eastAsia="en-AU"/>
        </w:rPr>
        <w:pict>
          <v:shape id="_x0000_s1273" type="#_x0000_t202" style="position:absolute;left:0;text-align:left;margin-left:138.75pt;margin-top:365.95pt;width:73pt;height:41.25pt;z-index:251689472" fillcolor="none" strokecolor="white [3212]">
            <v:fill r:id="rId9" o:title="5%" type="pattern"/>
            <v:textbox style="mso-next-textbox:#_x0000_s1273">
              <w:txbxContent>
                <w:p w:rsidR="00FB0788" w:rsidRDefault="00FB0788" w:rsidP="008C0C6D">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r>
                    <w:rPr>
                      <w:rFonts w:ascii="Arial" w:hAnsi="Arial"/>
                      <w:lang w:val="en-AU"/>
                    </w:rPr>
                    <w:t>‘ach</w:t>
                  </w:r>
                </w:p>
              </w:txbxContent>
            </v:textbox>
          </v:shape>
        </w:pict>
      </w:r>
      <w:r>
        <w:rPr>
          <w:rFonts w:ascii="Arial" w:hAnsi="Arial"/>
          <w:noProof/>
          <w:lang w:val="en-AU" w:eastAsia="en-AU"/>
        </w:rPr>
        <w:pict>
          <v:shape id="_x0000_s1262" type="#_x0000_t202" style="position:absolute;left:0;text-align:left;margin-left:138.75pt;margin-top:40.8pt;width:241.45pt;height:45.75pt;z-index:251678208" fillcolor="none" strokecolor="white [3212]">
            <v:fill r:id="rId9" o:title="5%" type="pattern"/>
            <v:textbox style="mso-next-textbox:#_x0000_s1262">
              <w:txbxContent>
                <w:p w:rsidR="00FB0788" w:rsidRPr="0025375C" w:rsidRDefault="00FB0788" w:rsidP="008C0C6D">
                  <w:pPr>
                    <w:rPr>
                      <w:rFonts w:ascii="Arial" w:hAnsi="Arial"/>
                      <w:sz w:val="56"/>
                      <w:szCs w:val="56"/>
                      <w:lang w:val="en-AU"/>
                    </w:rPr>
                  </w:pPr>
                  <w:proofErr w:type="spellStart"/>
                  <w:proofErr w:type="gramStart"/>
                  <w:r w:rsidRPr="0025375C">
                    <w:rPr>
                      <w:rFonts w:ascii="Bwhebb" w:hAnsi="Bwhebb" w:cs="Bwhebb"/>
                      <w:sz w:val="56"/>
                      <w:szCs w:val="56"/>
                      <w:lang w:val="en-AU"/>
                    </w:rPr>
                    <w:t>x;</w:t>
                  </w:r>
                  <w:proofErr w:type="gramEnd"/>
                  <w:r w:rsidRPr="0025375C">
                    <w:rPr>
                      <w:rFonts w:ascii="Bwhebb" w:hAnsi="Bwhebb" w:cs="Bwhebb"/>
                      <w:sz w:val="56"/>
                      <w:szCs w:val="56"/>
                      <w:lang w:val="en-AU"/>
                    </w:rPr>
                    <w:t>yvim</w:t>
                  </w:r>
                  <w:proofErr w:type="spellEnd"/>
                  <w:r>
                    <w:rPr>
                      <w:rFonts w:ascii="Bwhebb" w:hAnsi="Bwhebb" w:cs="Bwhebb"/>
                      <w:sz w:val="56"/>
                      <w:szCs w:val="56"/>
                      <w:lang w:val="en-AU"/>
                    </w:rPr>
                    <w:t>’</w:t>
                  </w:r>
                  <w:r w:rsidRPr="0025375C">
                    <w:rPr>
                      <w:rFonts w:ascii="Bwhebb" w:hAnsi="Bwhebb" w:cs="Bwhebb"/>
                      <w:sz w:val="56"/>
                      <w:szCs w:val="56"/>
                      <w:lang w:val="en-AU"/>
                    </w:rPr>
                    <w:t xml:space="preserve"> </w:t>
                  </w:r>
                  <w:r w:rsidRPr="0025375C">
                    <w:rPr>
                      <w:rFonts w:ascii="Arial" w:hAnsi="Arial"/>
                      <w:sz w:val="56"/>
                      <w:szCs w:val="56"/>
                      <w:lang w:val="en-AU"/>
                    </w:rPr>
                    <w:t>mashiyach</w:t>
                  </w:r>
                </w:p>
                <w:p w:rsidR="00FB0788" w:rsidRDefault="00FB0788" w:rsidP="008C0C6D"/>
              </w:txbxContent>
            </v:textbox>
          </v:shape>
        </w:pict>
      </w:r>
      <w:r>
        <w:rPr>
          <w:rFonts w:ascii="Bwhebb" w:hAnsi="Bwhebb" w:cs="Bwhebb"/>
          <w:noProof/>
          <w:sz w:val="36"/>
          <w:szCs w:val="36"/>
          <w:lang w:val="en-AU" w:eastAsia="en-AU"/>
        </w:rPr>
        <w:pict>
          <v:shape id="_x0000_s1251" type="#_x0000_t202" style="position:absolute;left:0;text-align:left;margin-left:243.7pt;margin-top:6.6pt;width:85.95pt;height:34.2pt;z-index:251666944" fillcolor="none" strokecolor="white [3212]">
            <v:fill r:id="rId9" o:title="5%" type="pattern"/>
            <v:textbox style="mso-next-textbox:#_x0000_s1251">
              <w:txbxContent>
                <w:p w:rsidR="00FB0788" w:rsidRDefault="00FB0788" w:rsidP="008C0C6D">
                  <w:proofErr w:type="spellStart"/>
                  <w:proofErr w:type="gramStart"/>
                  <w:r>
                    <w:rPr>
                      <w:rFonts w:ascii="Bwhebb" w:hAnsi="Bwhebb" w:cs="Bwhebb"/>
                      <w:sz w:val="36"/>
                      <w:szCs w:val="36"/>
                      <w:lang w:val="en-AU"/>
                    </w:rPr>
                    <w:t>xa</w:t>
                  </w:r>
                  <w:proofErr w:type="spellEnd"/>
                  <w:proofErr w:type="gramEnd"/>
                  <w:r>
                    <w:rPr>
                      <w:rFonts w:ascii="Bwhebb" w:hAnsi="Bwhebb" w:cs="Bwhebb"/>
                      <w:sz w:val="36"/>
                      <w:szCs w:val="36"/>
                      <w:lang w:val="en-AU"/>
                    </w:rPr>
                    <w:t xml:space="preserve">’ </w:t>
                  </w:r>
                  <w:r>
                    <w:rPr>
                      <w:rFonts w:ascii="Arial" w:hAnsi="Arial"/>
                      <w:lang w:val="en-AU"/>
                    </w:rPr>
                    <w:t xml:space="preserve">‘ach </w:t>
                  </w:r>
                </w:p>
              </w:txbxContent>
            </v:textbox>
          </v:shape>
        </w:pict>
      </w:r>
      <w:r>
        <w:rPr>
          <w:rFonts w:ascii="Arial" w:hAnsi="Arial"/>
          <w:noProof/>
          <w:lang w:val="en-AU" w:eastAsia="en-AU"/>
        </w:rPr>
        <w:pict>
          <v:shape id="_x0000_s1253" type="#_x0000_t202" style="position:absolute;left:0;text-align:left;margin-left:261.4pt;margin-top:81.95pt;width:125.9pt;height:34.75pt;z-index:251668992" fillcolor="white [3212]" strokecolor="white [3212]">
            <v:fill r:id="rId9" o:title="5%" type="pattern"/>
            <v:textbox style="mso-next-textbox:#_x0000_s1253">
              <w:txbxContent>
                <w:p w:rsidR="00FB0788" w:rsidRPr="005C41A9" w:rsidRDefault="00FB0788" w:rsidP="008C0C6D">
                  <w:pPr>
                    <w:autoSpaceDE w:val="0"/>
                    <w:autoSpaceDN w:val="0"/>
                    <w:adjustRightInd w:val="0"/>
                    <w:rPr>
                      <w:rFonts w:ascii="Arial" w:hAnsi="Arial"/>
                      <w:lang w:val="en-AU"/>
                    </w:rPr>
                  </w:pPr>
                  <w:proofErr w:type="spellStart"/>
                  <w:proofErr w:type="gramStart"/>
                  <w:r w:rsidRPr="005C41A9">
                    <w:rPr>
                      <w:rFonts w:ascii="Bwgrkl" w:hAnsi="Bwgrkl" w:cs="Bwgrkl"/>
                      <w:b/>
                      <w:bCs/>
                      <w:lang w:val="en-AU"/>
                    </w:rPr>
                    <w:t>avdelfo,</w:t>
                  </w:r>
                  <w:proofErr w:type="gramEnd"/>
                  <w:r w:rsidRPr="005C41A9">
                    <w:rPr>
                      <w:rFonts w:ascii="Bwgrkl" w:hAnsi="Bwgrkl" w:cs="Bwgrkl"/>
                      <w:b/>
                      <w:bCs/>
                      <w:lang w:val="en-AU"/>
                    </w:rPr>
                    <w:t>j</w:t>
                  </w:r>
                  <w:proofErr w:type="spellEnd"/>
                  <w:r w:rsidRPr="005C41A9">
                    <w:rPr>
                      <w:rFonts w:ascii="Bwgrkl" w:hAnsi="Bwgrkl" w:cs="Bwgrkl"/>
                      <w:b/>
                      <w:bCs/>
                      <w:lang w:val="en-AU"/>
                    </w:rPr>
                    <w:t xml:space="preserve"> </w:t>
                  </w:r>
                  <w:proofErr w:type="spellStart"/>
                  <w:r w:rsidRPr="005C41A9">
                    <w:rPr>
                      <w:rFonts w:ascii="Arial" w:hAnsi="Arial"/>
                      <w:lang w:val="en-AU"/>
                    </w:rPr>
                    <w:t>adelphos</w:t>
                  </w:r>
                  <w:proofErr w:type="spellEnd"/>
                  <w:r w:rsidRPr="005C41A9">
                    <w:rPr>
                      <w:rFonts w:ascii="Arial" w:hAnsi="Arial"/>
                      <w:lang w:val="en-AU"/>
                    </w:rPr>
                    <w:t xml:space="preserve"> </w:t>
                  </w:r>
                </w:p>
                <w:p w:rsidR="00FB0788" w:rsidRDefault="00FB0788" w:rsidP="008C0C6D"/>
              </w:txbxContent>
            </v:textbox>
          </v:shape>
        </w:pict>
      </w:r>
      <w:r>
        <w:rPr>
          <w:rFonts w:ascii="Bwgrkl" w:hAnsi="Bwgrkl" w:cs="Bwgrkl"/>
          <w:b/>
          <w:bCs/>
          <w:noProof/>
          <w:lang w:val="en-AU" w:eastAsia="en-AU"/>
        </w:rPr>
        <w:pict>
          <v:shape id="_x0000_s1250" type="#_x0000_t202" style="position:absolute;left:0;text-align:left;margin-left:6.4pt;margin-top:93.1pt;width:123.75pt;height:23.6pt;z-index:251665920" fillcolor="none" strokecolor="white [3212]">
            <v:fill r:id="rId9" o:title="5%" type="pattern"/>
            <v:textbox style="mso-next-textbox:#_x0000_s1250">
              <w:txbxContent>
                <w:p w:rsidR="00FB0788" w:rsidRPr="005C41A9" w:rsidRDefault="00FB0788" w:rsidP="008C0C6D">
                  <w:pPr>
                    <w:autoSpaceDE w:val="0"/>
                    <w:autoSpaceDN w:val="0"/>
                    <w:adjustRightInd w:val="0"/>
                    <w:rPr>
                      <w:rFonts w:ascii="Arial" w:hAnsi="Arial"/>
                      <w:lang w:val="en-AU"/>
                    </w:rPr>
                  </w:pPr>
                  <w:proofErr w:type="spellStart"/>
                  <w:r w:rsidRPr="005C41A9">
                    <w:rPr>
                      <w:rFonts w:ascii="Bwgrkl" w:hAnsi="Bwgrkl" w:cs="Bwgrkl"/>
                      <w:b/>
                      <w:bCs/>
                      <w:lang w:val="en-AU"/>
                    </w:rPr>
                    <w:t>Cristo</w:t>
                  </w:r>
                  <w:proofErr w:type="gramStart"/>
                  <w:r w:rsidRPr="005C41A9">
                    <w:rPr>
                      <w:rFonts w:ascii="Bwgrkl" w:hAnsi="Bwgrkl" w:cs="Bwgrkl"/>
                      <w:b/>
                      <w:bCs/>
                      <w:lang w:val="en-AU"/>
                    </w:rPr>
                    <w:t>,j</w:t>
                  </w:r>
                  <w:proofErr w:type="spellEnd"/>
                  <w:proofErr w:type="gramEnd"/>
                  <w:r w:rsidRPr="005C41A9">
                    <w:rPr>
                      <w:rFonts w:ascii="Bwgrkl" w:hAnsi="Bwgrkl" w:cs="Bwgrkl"/>
                      <w:b/>
                      <w:bCs/>
                      <w:lang w:val="en-AU"/>
                    </w:rPr>
                    <w:t xml:space="preserve"> </w:t>
                  </w:r>
                  <w:r w:rsidRPr="005C41A9">
                    <w:rPr>
                      <w:rFonts w:ascii="Arial" w:hAnsi="Arial"/>
                      <w:lang w:val="en-AU"/>
                    </w:rPr>
                    <w:t xml:space="preserve">Christos  </w:t>
                  </w:r>
                </w:p>
                <w:p w:rsidR="00FB0788" w:rsidRDefault="00FB0788" w:rsidP="008C0C6D"/>
              </w:txbxContent>
            </v:textbox>
          </v:shape>
        </w:pict>
      </w:r>
      <w:r>
        <w:rPr>
          <w:rFonts w:ascii="Arial" w:hAnsi="Arial"/>
          <w:noProof/>
          <w:lang w:val="en-AU" w:eastAsia="en-AU"/>
        </w:rPr>
        <w:pict>
          <v:shape id="_x0000_s1272" type="#_x0000_t202" style="position:absolute;left:0;text-align:left;margin-left:24.75pt;margin-top:54.45pt;width:114pt;height:38.65pt;z-index:251688448" fillcolor="none" strokecolor="white [3212]">
            <v:fill r:id="rId9" o:title="5%" type="pattern"/>
            <v:textbox style="mso-next-textbox:#_x0000_s1272">
              <w:txbxContent>
                <w:p w:rsidR="00FB0788" w:rsidRPr="005C41A9" w:rsidRDefault="00FB0788" w:rsidP="008C0C6D">
                  <w:pPr>
                    <w:autoSpaceDE w:val="0"/>
                    <w:autoSpaceDN w:val="0"/>
                    <w:adjustRightInd w:val="0"/>
                    <w:rPr>
                      <w:rFonts w:ascii="Arial" w:hAnsi="Arial"/>
                      <w:lang w:val="en-AU"/>
                    </w:rPr>
                  </w:pPr>
                  <w:proofErr w:type="spellStart"/>
                  <w:proofErr w:type="gramStart"/>
                  <w:r w:rsidRPr="005C41A9">
                    <w:rPr>
                      <w:rFonts w:ascii="Bwgrkl" w:hAnsi="Bwgrkl" w:cs="Bwgrkl"/>
                      <w:b/>
                      <w:bCs/>
                      <w:lang w:val="en-AU"/>
                    </w:rPr>
                    <w:t>avdelfo,</w:t>
                  </w:r>
                  <w:proofErr w:type="gramEnd"/>
                  <w:r w:rsidRPr="005C41A9">
                    <w:rPr>
                      <w:rFonts w:ascii="Bwgrkl" w:hAnsi="Bwgrkl" w:cs="Bwgrkl"/>
                      <w:b/>
                      <w:bCs/>
                      <w:lang w:val="en-AU"/>
                    </w:rPr>
                    <w:t>j</w:t>
                  </w:r>
                  <w:proofErr w:type="spellEnd"/>
                  <w:r w:rsidRPr="005C41A9">
                    <w:rPr>
                      <w:rFonts w:ascii="Bwgrkl" w:hAnsi="Bwgrkl" w:cs="Bwgrkl"/>
                      <w:b/>
                      <w:bCs/>
                      <w:lang w:val="en-AU"/>
                    </w:rPr>
                    <w:t xml:space="preserve"> </w:t>
                  </w:r>
                  <w:proofErr w:type="spellStart"/>
                  <w:r w:rsidRPr="005C41A9">
                    <w:rPr>
                      <w:rFonts w:ascii="Arial" w:hAnsi="Arial"/>
                      <w:lang w:val="en-AU"/>
                    </w:rPr>
                    <w:t>adelphos</w:t>
                  </w:r>
                  <w:proofErr w:type="spellEnd"/>
                  <w:r w:rsidRPr="005C41A9">
                    <w:rPr>
                      <w:rFonts w:ascii="Arial" w:hAnsi="Arial"/>
                      <w:lang w:val="en-AU"/>
                    </w:rPr>
                    <w:t xml:space="preserve">  </w:t>
                  </w:r>
                </w:p>
                <w:p w:rsidR="00FB0788" w:rsidRDefault="00FB0788" w:rsidP="008C0C6D"/>
              </w:txbxContent>
            </v:textbox>
          </v:shape>
        </w:pict>
      </w:r>
      <w:r>
        <w:rPr>
          <w:rFonts w:ascii="Arial" w:hAnsi="Arial"/>
          <w:noProof/>
          <w:lang w:val="en-AU" w:eastAsia="en-AU"/>
        </w:rPr>
        <w:pict>
          <v:shape id="_x0000_s1259" type="#_x0000_t202" style="position:absolute;left:0;text-align:left;margin-left:137.6pt;margin-top:13.95pt;width:106.1pt;height:30pt;z-index:251675136" fillcolor="none" strokecolor="white [3212]">
            <v:fill r:id="rId9" o:title="5%" type="pattern"/>
            <v:textbox style="mso-next-textbox:#_x0000_s1259">
              <w:txbxContent>
                <w:p w:rsidR="00FB0788" w:rsidRPr="005C41A9" w:rsidRDefault="00FB0788" w:rsidP="008C0C6D">
                  <w:pPr>
                    <w:autoSpaceDE w:val="0"/>
                    <w:autoSpaceDN w:val="0"/>
                    <w:adjustRightInd w:val="0"/>
                    <w:rPr>
                      <w:rFonts w:ascii="Arial" w:hAnsi="Arial"/>
                      <w:lang w:val="en-AU"/>
                    </w:rPr>
                  </w:pPr>
                  <w:proofErr w:type="spellStart"/>
                  <w:r w:rsidRPr="005C41A9">
                    <w:rPr>
                      <w:rFonts w:ascii="Bwgrkl" w:hAnsi="Bwgrkl" w:cs="Bwgrkl"/>
                      <w:b/>
                      <w:bCs/>
                      <w:lang w:val="en-AU"/>
                    </w:rPr>
                    <w:t>Cristo</w:t>
                  </w:r>
                  <w:proofErr w:type="gramStart"/>
                  <w:r w:rsidRPr="005C41A9">
                    <w:rPr>
                      <w:rFonts w:ascii="Bwgrkl" w:hAnsi="Bwgrkl" w:cs="Bwgrkl"/>
                      <w:b/>
                      <w:bCs/>
                      <w:lang w:val="en-AU"/>
                    </w:rPr>
                    <w:t>,j</w:t>
                  </w:r>
                  <w:proofErr w:type="spellEnd"/>
                  <w:proofErr w:type="gramEnd"/>
                  <w:r w:rsidRPr="005C41A9">
                    <w:rPr>
                      <w:rFonts w:ascii="Bwgrkl" w:hAnsi="Bwgrkl" w:cs="Bwgrkl"/>
                      <w:b/>
                      <w:bCs/>
                      <w:lang w:val="en-AU"/>
                    </w:rPr>
                    <w:t xml:space="preserve"> </w:t>
                  </w:r>
                  <w:r w:rsidRPr="005C41A9">
                    <w:rPr>
                      <w:rFonts w:ascii="Arial" w:hAnsi="Arial"/>
                      <w:lang w:val="en-AU"/>
                    </w:rPr>
                    <w:t xml:space="preserve">Christos  </w:t>
                  </w:r>
                </w:p>
                <w:p w:rsidR="00FB0788" w:rsidRDefault="00FB0788" w:rsidP="008C0C6D"/>
              </w:txbxContent>
            </v:textbox>
          </v:shape>
        </w:pict>
      </w:r>
      <w:r>
        <w:rPr>
          <w:rFonts w:ascii="Arial" w:hAnsi="Arial"/>
          <w:noProof/>
          <w:lang w:val="en-AU" w:eastAsia="en-AU"/>
        </w:rPr>
        <w:pict>
          <v:shape id="_x0000_s1255" type="#_x0000_t202" style="position:absolute;left:0;text-align:left;margin-left:130.15pt;margin-top:73.95pt;width:131.25pt;height:42.75pt;z-index:251671040" fillcolor="none" strokecolor="white [3212]">
            <v:fill r:id="rId9" o:title="5%" type="pattern"/>
            <v:textbox style="mso-next-textbox:#_x0000_s1255">
              <w:txbxContent>
                <w:p w:rsidR="00FB0788" w:rsidRPr="0025375C" w:rsidRDefault="00FB0788" w:rsidP="008C0C6D">
                  <w:pPr>
                    <w:rPr>
                      <w:sz w:val="56"/>
                      <w:szCs w:val="56"/>
                    </w:rPr>
                  </w:pPr>
                  <w:proofErr w:type="spellStart"/>
                  <w:proofErr w:type="gramStart"/>
                  <w:r w:rsidRPr="0025375C">
                    <w:rPr>
                      <w:rFonts w:ascii="Bwhebb" w:hAnsi="Bwhebb" w:cs="Bwhebb"/>
                      <w:sz w:val="56"/>
                      <w:szCs w:val="56"/>
                      <w:lang w:val="en-AU"/>
                    </w:rPr>
                    <w:t>xa</w:t>
                  </w:r>
                  <w:proofErr w:type="spellEnd"/>
                  <w:proofErr w:type="gramEnd"/>
                  <w:r>
                    <w:rPr>
                      <w:rFonts w:ascii="Bwhebb" w:hAnsi="Bwhebb" w:cs="Bwhebb"/>
                      <w:sz w:val="56"/>
                      <w:szCs w:val="56"/>
                      <w:lang w:val="en-AU"/>
                    </w:rPr>
                    <w:t>’</w:t>
                  </w:r>
                  <w:r w:rsidRPr="0025375C">
                    <w:rPr>
                      <w:rFonts w:ascii="Bwhebb" w:hAnsi="Bwhebb" w:cs="Bwhebb"/>
                      <w:sz w:val="56"/>
                      <w:szCs w:val="56"/>
                      <w:lang w:val="en-AU"/>
                    </w:rPr>
                    <w:t xml:space="preserve"> </w:t>
                  </w:r>
                  <w:r>
                    <w:rPr>
                      <w:rFonts w:ascii="Arial" w:hAnsi="Arial"/>
                      <w:sz w:val="56"/>
                      <w:szCs w:val="56"/>
                      <w:lang w:val="en-AU"/>
                    </w:rPr>
                    <w:t>‘</w:t>
                  </w:r>
                  <w:r w:rsidRPr="0025375C">
                    <w:rPr>
                      <w:rFonts w:ascii="Arial" w:hAnsi="Arial"/>
                      <w:sz w:val="56"/>
                      <w:szCs w:val="56"/>
                      <w:lang w:val="en-AU"/>
                    </w:rPr>
                    <w:t xml:space="preserve">ach </w:t>
                  </w:r>
                </w:p>
              </w:txbxContent>
            </v:textbox>
          </v:shape>
        </w:pict>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r w:rsidR="008C0C6D">
        <w:rPr>
          <w:rFonts w:ascii="Arial" w:hAnsi="Arial"/>
          <w:lang w:val="en-AU"/>
        </w:rPr>
        <w:tab/>
      </w:r>
    </w:p>
    <w:p w:rsidR="002D19EB" w:rsidRPr="000E2B5A" w:rsidRDefault="003A63D9" w:rsidP="007B077D">
      <w:pPr>
        <w:ind w:right="-171"/>
        <w:jc w:val="center"/>
        <w:rPr>
          <w:rFonts w:ascii="Bradley Hand ITC" w:hAnsi="Bradley Hand ITC"/>
          <w:b/>
          <w:sz w:val="56"/>
          <w:szCs w:val="56"/>
          <w:lang w:val="en-GB"/>
        </w:rPr>
      </w:pPr>
      <w:r w:rsidRPr="000E2B5A">
        <w:rPr>
          <w:rFonts w:ascii="Bradley Hand ITC" w:hAnsi="Bradley Hand ITC"/>
          <w:b/>
          <w:sz w:val="56"/>
          <w:szCs w:val="56"/>
          <w:lang w:val="en-GB"/>
        </w:rPr>
        <w:br w:type="page"/>
      </w:r>
      <w:r w:rsidR="002D19EB" w:rsidRPr="000E2B5A">
        <w:rPr>
          <w:rFonts w:ascii="Bradley Hand ITC" w:hAnsi="Bradley Hand ITC"/>
          <w:b/>
          <w:sz w:val="56"/>
          <w:szCs w:val="56"/>
          <w:lang w:val="en-GB"/>
        </w:rPr>
        <w:lastRenderedPageBreak/>
        <w:t>Contents</w:t>
      </w:r>
    </w:p>
    <w:p w:rsidR="003A63D9" w:rsidRPr="000E2B5A" w:rsidRDefault="003A63D9" w:rsidP="002D19EB">
      <w:pPr>
        <w:ind w:left="360"/>
        <w:jc w:val="center"/>
        <w:rPr>
          <w:rFonts w:ascii="Bradley Hand ITC" w:hAnsi="Bradley Hand ITC"/>
          <w:b/>
          <w:sz w:val="56"/>
          <w:szCs w:val="56"/>
          <w:lang w:val="en-GB"/>
        </w:rPr>
      </w:pPr>
    </w:p>
    <w:p w:rsidR="002D19EB" w:rsidRPr="000E2B5A" w:rsidRDefault="003A63D9" w:rsidP="00936DFC">
      <w:pPr>
        <w:pStyle w:val="ListParagraph"/>
        <w:numPr>
          <w:ilvl w:val="0"/>
          <w:numId w:val="1"/>
        </w:numPr>
        <w:ind w:left="1080"/>
        <w:rPr>
          <w:rFonts w:ascii="Bradley Hand ITC" w:hAnsi="Bradley Hand ITC"/>
          <w:b/>
        </w:rPr>
      </w:pPr>
      <w:r w:rsidRPr="000E2B5A">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0E2B5A">
        <w:rPr>
          <w:rFonts w:ascii="Bradley Hand ITC" w:hAnsi="Bradley Hand ITC"/>
          <w:b/>
        </w:rPr>
        <w:t>Editorial</w:t>
      </w:r>
    </w:p>
    <w:p w:rsidR="002D19EB" w:rsidRPr="000E2B5A" w:rsidRDefault="00B54646" w:rsidP="00936DFC">
      <w:pPr>
        <w:pStyle w:val="ListParagraph"/>
        <w:numPr>
          <w:ilvl w:val="0"/>
          <w:numId w:val="1"/>
        </w:numPr>
        <w:ind w:left="1080"/>
        <w:rPr>
          <w:rFonts w:ascii="Bradley Hand ITC" w:hAnsi="Bradley Hand ITC"/>
          <w:b/>
        </w:rPr>
      </w:pPr>
      <w:r>
        <w:rPr>
          <w:rFonts w:ascii="Bradley Hand ITC" w:hAnsi="Bradley Hand ITC"/>
          <w:b/>
        </w:rPr>
        <w:t>Exhortation: Oil</w:t>
      </w:r>
    </w:p>
    <w:p w:rsidR="00D8409A" w:rsidRPr="000E2B5A" w:rsidRDefault="005B1F31" w:rsidP="00936DFC">
      <w:pPr>
        <w:pStyle w:val="ListParagraph"/>
        <w:numPr>
          <w:ilvl w:val="0"/>
          <w:numId w:val="1"/>
        </w:numPr>
        <w:ind w:left="1080"/>
        <w:rPr>
          <w:rFonts w:ascii="Bradley Hand ITC" w:hAnsi="Bradley Hand ITC"/>
          <w:b/>
        </w:rPr>
      </w:pPr>
      <w:r>
        <w:rPr>
          <w:rFonts w:ascii="Bradley Hand ITC" w:hAnsi="Bradley Hand ITC"/>
          <w:b/>
        </w:rPr>
        <w:t>Seventy Weeks (2)</w:t>
      </w:r>
    </w:p>
    <w:p w:rsidR="00D3182B" w:rsidRPr="000E2B5A" w:rsidRDefault="009049DC" w:rsidP="00936DFC">
      <w:pPr>
        <w:pStyle w:val="ListParagraph"/>
        <w:numPr>
          <w:ilvl w:val="0"/>
          <w:numId w:val="1"/>
        </w:numPr>
        <w:ind w:left="1080"/>
        <w:rPr>
          <w:rFonts w:ascii="Bradley Hand ITC" w:hAnsi="Bradley Hand ITC"/>
          <w:b/>
        </w:rPr>
      </w:pPr>
      <w:r>
        <w:rPr>
          <w:rFonts w:ascii="Bradley Hand ITC" w:hAnsi="Bradley Hand ITC"/>
          <w:b/>
        </w:rPr>
        <w:t>Kosmokrator</w:t>
      </w:r>
    </w:p>
    <w:p w:rsidR="007D3CE9" w:rsidRPr="000E2B5A" w:rsidRDefault="00E41A3C" w:rsidP="00936DFC">
      <w:pPr>
        <w:pStyle w:val="ListParagraph"/>
        <w:numPr>
          <w:ilvl w:val="0"/>
          <w:numId w:val="1"/>
        </w:numPr>
        <w:ind w:left="1080"/>
        <w:rPr>
          <w:rFonts w:ascii="Bradley Hand ITC" w:hAnsi="Bradley Hand ITC"/>
          <w:b/>
        </w:rPr>
      </w:pPr>
      <w:r>
        <w:rPr>
          <w:rFonts w:ascii="Bradley Hand ITC" w:hAnsi="Bradley Hand ITC"/>
          <w:b/>
        </w:rPr>
        <w:t>The Unknown God</w:t>
      </w:r>
    </w:p>
    <w:p w:rsidR="007D3CE9" w:rsidRPr="000E2B5A" w:rsidRDefault="00504B8B" w:rsidP="00936DFC">
      <w:pPr>
        <w:pStyle w:val="ListParagraph"/>
        <w:numPr>
          <w:ilvl w:val="0"/>
          <w:numId w:val="1"/>
        </w:numPr>
        <w:ind w:left="1080"/>
        <w:rPr>
          <w:rFonts w:ascii="Bradley Hand ITC" w:hAnsi="Bradley Hand ITC"/>
          <w:b/>
        </w:rPr>
      </w:pPr>
      <w:r>
        <w:rPr>
          <w:rFonts w:ascii="Bradley Hand ITC" w:hAnsi="Bradley Hand ITC"/>
          <w:b/>
        </w:rPr>
        <w:t>Psalm 72</w:t>
      </w:r>
    </w:p>
    <w:p w:rsidR="00FE2A32" w:rsidRPr="000E2B5A" w:rsidRDefault="00FE2A32" w:rsidP="00936DFC">
      <w:pPr>
        <w:pStyle w:val="ListParagraph"/>
        <w:numPr>
          <w:ilvl w:val="0"/>
          <w:numId w:val="1"/>
        </w:numPr>
        <w:ind w:left="1080"/>
        <w:rPr>
          <w:rFonts w:ascii="Bradley Hand ITC" w:hAnsi="Bradley Hand ITC"/>
          <w:b/>
        </w:rPr>
      </w:pPr>
      <w:r>
        <w:rPr>
          <w:rFonts w:ascii="Bradley Hand ITC" w:hAnsi="Bradley Hand ITC"/>
          <w:b/>
        </w:rPr>
        <w:t>Arius (2)</w:t>
      </w:r>
    </w:p>
    <w:p w:rsidR="003C58FA" w:rsidRPr="000E2B5A" w:rsidRDefault="007B5262" w:rsidP="00936DFC">
      <w:pPr>
        <w:pStyle w:val="ListParagraph"/>
        <w:numPr>
          <w:ilvl w:val="0"/>
          <w:numId w:val="1"/>
        </w:numPr>
        <w:ind w:left="1080"/>
        <w:rPr>
          <w:rFonts w:ascii="Bradley Hand ITC" w:hAnsi="Bradley Hand ITC"/>
          <w:b/>
        </w:rPr>
      </w:pPr>
      <w:r>
        <w:rPr>
          <w:rFonts w:ascii="Bradley Hand ITC" w:hAnsi="Bradley Hand ITC"/>
          <w:b/>
        </w:rPr>
        <w:t>Principles of Interpretation</w:t>
      </w:r>
    </w:p>
    <w:p w:rsidR="00F81179" w:rsidRPr="000E2B5A" w:rsidRDefault="00814E77" w:rsidP="00936DFC">
      <w:pPr>
        <w:pStyle w:val="ListParagraph"/>
        <w:numPr>
          <w:ilvl w:val="0"/>
          <w:numId w:val="1"/>
        </w:numPr>
        <w:ind w:left="1080"/>
        <w:rPr>
          <w:rFonts w:ascii="Bradley Hand ITC" w:hAnsi="Bradley Hand ITC"/>
          <w:b/>
        </w:rPr>
      </w:pPr>
      <w:r>
        <w:rPr>
          <w:rFonts w:ascii="Bradley Hand ITC" w:hAnsi="Bradley Hand ITC"/>
          <w:b/>
        </w:rPr>
        <w:t>Who is Immanuel?</w:t>
      </w:r>
    </w:p>
    <w:p w:rsidR="00D3182B" w:rsidRDefault="00B63313" w:rsidP="00936DFC">
      <w:pPr>
        <w:pStyle w:val="ListParagraph"/>
        <w:numPr>
          <w:ilvl w:val="0"/>
          <w:numId w:val="1"/>
        </w:numPr>
        <w:ind w:left="1080"/>
        <w:rPr>
          <w:rFonts w:ascii="Bradley Hand ITC" w:hAnsi="Bradley Hand ITC"/>
          <w:b/>
        </w:rPr>
      </w:pPr>
      <w:r>
        <w:rPr>
          <w:rFonts w:ascii="Bradley Hand ITC" w:hAnsi="Bradley Hand ITC"/>
          <w:b/>
        </w:rPr>
        <w:t xml:space="preserve">New Book </w:t>
      </w:r>
    </w:p>
    <w:p w:rsidR="00FB0788" w:rsidRPr="000E2B5A" w:rsidRDefault="00FB0788" w:rsidP="00936DFC">
      <w:pPr>
        <w:pStyle w:val="ListParagraph"/>
        <w:numPr>
          <w:ilvl w:val="0"/>
          <w:numId w:val="1"/>
        </w:numPr>
        <w:ind w:left="1080"/>
        <w:rPr>
          <w:rFonts w:ascii="Bradley Hand ITC" w:hAnsi="Bradley Hand ITC"/>
          <w:b/>
        </w:rPr>
      </w:pPr>
      <w:r>
        <w:rPr>
          <w:rFonts w:ascii="Bradley Hand ITC" w:hAnsi="Bradley Hand ITC"/>
          <w:b/>
        </w:rPr>
        <w:t>News: EJournal Columnists</w:t>
      </w:r>
    </w:p>
    <w:p w:rsidR="00F81179" w:rsidRPr="000E2B5A" w:rsidRDefault="00D730D8" w:rsidP="00936DFC">
      <w:pPr>
        <w:pStyle w:val="ListParagraph"/>
        <w:numPr>
          <w:ilvl w:val="0"/>
          <w:numId w:val="1"/>
        </w:numPr>
        <w:ind w:left="1080"/>
        <w:rPr>
          <w:rFonts w:ascii="Bradley Hand ITC" w:hAnsi="Bradley Hand ITC"/>
          <w:b/>
        </w:rPr>
      </w:pPr>
      <w:r w:rsidRPr="000E2B5A">
        <w:rPr>
          <w:rFonts w:ascii="Bradley Hand ITC" w:hAnsi="Bradley Hand ITC"/>
          <w:b/>
        </w:rPr>
        <w:t>Postscript</w:t>
      </w:r>
    </w:p>
    <w:p w:rsidR="002D19EB" w:rsidRDefault="002D19EB" w:rsidP="00631665">
      <w:pPr>
        <w:ind w:left="1080"/>
        <w:rPr>
          <w:rFonts w:ascii="Bradley Hand ITC" w:hAnsi="Bradley Hand ITC"/>
          <w:b/>
          <w:lang w:val="en-GB"/>
        </w:rPr>
      </w:pPr>
    </w:p>
    <w:p w:rsidR="00A462BD" w:rsidRPr="000E2B5A" w:rsidRDefault="00A462BD" w:rsidP="00631665">
      <w:pPr>
        <w:ind w:left="1080"/>
        <w:rPr>
          <w:rFonts w:ascii="Bradley Hand ITC" w:hAnsi="Bradley Hand ITC"/>
          <w:b/>
          <w:lang w:val="en-GB"/>
        </w:rPr>
      </w:pPr>
    </w:p>
    <w:p w:rsidR="000B5A00" w:rsidRPr="000E2B5A" w:rsidRDefault="000B5A00" w:rsidP="00631665">
      <w:pPr>
        <w:ind w:left="1080"/>
        <w:rPr>
          <w:rFonts w:ascii="Bradley Hand ITC" w:hAnsi="Bradley Hand ITC"/>
          <w:b/>
          <w:lang w:val="en-GB"/>
        </w:rPr>
      </w:pPr>
    </w:p>
    <w:p w:rsidR="003A63D9" w:rsidRPr="000E2B5A" w:rsidRDefault="003A63D9" w:rsidP="002D19EB">
      <w:pPr>
        <w:rPr>
          <w:rFonts w:ascii="Bradley Hand ITC" w:hAnsi="Bradley Hand ITC"/>
          <w:sz w:val="28"/>
          <w:szCs w:val="28"/>
          <w:lang w:val="en-GB"/>
        </w:rPr>
      </w:pPr>
    </w:p>
    <w:p w:rsidR="003A63D9" w:rsidRPr="000E2B5A" w:rsidRDefault="000357EB" w:rsidP="002D19EB">
      <w:pPr>
        <w:rPr>
          <w:rFonts w:ascii="Bradley Hand ITC" w:hAnsi="Bradley Hand ITC"/>
          <w:sz w:val="28"/>
          <w:szCs w:val="28"/>
          <w:lang w:val="en-GB"/>
        </w:rPr>
      </w:pPr>
      <w:r>
        <w:rPr>
          <w:noProof/>
          <w:lang w:val="en-GB" w:eastAsia="en-GB"/>
        </w:rPr>
        <w:pict>
          <v:shape id="_x0000_s1088" type="#_x0000_t202" style="position:absolute;left:0;text-align:left;margin-left:-10.3pt;margin-top:14.95pt;width:390.5pt;height:108.4pt;z-index:251657728" filled="f" stroked="f">
            <v:textbox style="mso-next-textbox:#_x0000_s1088">
              <w:txbxContent>
                <w:p w:rsidR="00FB0788" w:rsidRPr="00397D99" w:rsidRDefault="00FB0788" w:rsidP="002D19EB">
                  <w:pPr>
                    <w:rPr>
                      <w:rFonts w:ascii="Bradley Hand ITC" w:hAnsi="Bradley Hand ITC"/>
                      <w:b/>
                      <w:szCs w:val="28"/>
                      <w:lang w:val="en-GB"/>
                    </w:rPr>
                  </w:pPr>
                  <w:r>
                    <w:rPr>
                      <w:rFonts w:ascii="Bradley Hand ITC" w:hAnsi="Bradley Hand ITC"/>
                      <w:b/>
                      <w:szCs w:val="28"/>
                      <w:lang w:val="en-GB"/>
                    </w:rPr>
                    <w:t>Eds:</w:t>
                  </w:r>
                  <w:r>
                    <w:rPr>
                      <w:rFonts w:ascii="Bradley Hand ITC" w:hAnsi="Bradley Hand ITC"/>
                      <w:b/>
                      <w:szCs w:val="28"/>
                      <w:lang w:val="en-GB"/>
                    </w:rPr>
                    <w:tab/>
                  </w:r>
                  <w:r w:rsidRPr="00397D99">
                    <w:rPr>
                      <w:rFonts w:ascii="Bradley Hand ITC" w:hAnsi="Bradley Hand ITC"/>
                      <w:b/>
                      <w:szCs w:val="28"/>
                      <w:lang w:val="en-GB"/>
                    </w:rPr>
                    <w:t>Andrew.Perry@christadelphian-ejbi.org</w:t>
                  </w:r>
                </w:p>
                <w:p w:rsidR="00FB0788" w:rsidRPr="00397D99" w:rsidRDefault="00FB0788" w:rsidP="00D730D8">
                  <w:pPr>
                    <w:ind w:left="720"/>
                    <w:rPr>
                      <w:rFonts w:ascii="Bradley Hand ITC" w:hAnsi="Bradley Hand ITC"/>
                      <w:b/>
                      <w:szCs w:val="28"/>
                      <w:lang w:val="en-GB"/>
                    </w:rPr>
                  </w:pPr>
                  <w:r w:rsidRPr="00397D99">
                    <w:rPr>
                      <w:rFonts w:ascii="Bradley Hand ITC" w:hAnsi="Bradley Hand ITC"/>
                      <w:b/>
                      <w:szCs w:val="28"/>
                      <w:lang w:val="en-GB"/>
                    </w:rPr>
                    <w:t>Paul.wyns@christadelphian-ejbi.org</w:t>
                  </w:r>
                </w:p>
                <w:p w:rsidR="00FB0788" w:rsidRPr="00397D99" w:rsidRDefault="00FB0788" w:rsidP="002D19EB">
                  <w:pPr>
                    <w:rPr>
                      <w:rFonts w:ascii="Bradley Hand ITC" w:hAnsi="Bradley Hand ITC"/>
                      <w:b/>
                      <w:lang w:val="en-GB"/>
                    </w:rPr>
                  </w:pPr>
                  <w:r w:rsidRPr="00397D99">
                    <w:rPr>
                      <w:sz w:val="22"/>
                      <w:lang w:val="en-GB"/>
                    </w:rPr>
                    <w:tab/>
                  </w:r>
                  <w:r w:rsidRPr="00397D99">
                    <w:rPr>
                      <w:rFonts w:ascii="Bradley Hand ITC" w:hAnsi="Bradley Hand ITC"/>
                      <w:b/>
                      <w:lang w:val="en-GB"/>
                    </w:rPr>
                    <w:t>T.Gaston@christadelphian-ejbi.org (Church history)</w:t>
                  </w:r>
                </w:p>
                <w:p w:rsidR="00FB0788" w:rsidRDefault="00FB0788" w:rsidP="00D730D8">
                  <w:pPr>
                    <w:rPr>
                      <w:rFonts w:ascii="Bradley Hand ITC" w:hAnsi="Bradley Hand ITC"/>
                      <w:b/>
                      <w:lang w:val="en-GB"/>
                    </w:rPr>
                  </w:pPr>
                  <w:r>
                    <w:rPr>
                      <w:rFonts w:ascii="Bradley Hand ITC" w:hAnsi="Bradley Hand ITC"/>
                      <w:b/>
                      <w:lang w:val="en-GB"/>
                    </w:rPr>
                    <w:tab/>
                    <w:t>J</w:t>
                  </w:r>
                  <w:r w:rsidRPr="001F60BC">
                    <w:rPr>
                      <w:rFonts w:ascii="Bradley Hand ITC" w:hAnsi="Bradley Hand ITC"/>
                      <w:b/>
                      <w:lang w:val="en-GB"/>
                    </w:rPr>
                    <w:t>.Adey@christadelphian-ejbi.org</w:t>
                  </w:r>
                  <w:r>
                    <w:rPr>
                      <w:rFonts w:ascii="Bradley Hand ITC" w:hAnsi="Bradley Hand ITC"/>
                      <w:b/>
                      <w:lang w:val="en-GB"/>
                    </w:rPr>
                    <w:t xml:space="preserve"> (Text and Language)</w:t>
                  </w:r>
                </w:p>
                <w:p w:rsidR="00FB0788" w:rsidRPr="00397D99" w:rsidRDefault="00FB0788" w:rsidP="00D730D8">
                  <w:pPr>
                    <w:ind w:left="720"/>
                    <w:rPr>
                      <w:rFonts w:ascii="Bradley Hand ITC" w:hAnsi="Bradley Hand ITC"/>
                      <w:b/>
                      <w:sz w:val="22"/>
                      <w:lang w:val="en-GB"/>
                    </w:rPr>
                  </w:pPr>
                  <w:r w:rsidRPr="00D730D8">
                    <w:rPr>
                      <w:rFonts w:ascii="Bradley Hand ITC" w:hAnsi="Bradley Hand ITC"/>
                      <w:b/>
                      <w:lang w:val="en-GB"/>
                    </w:rPr>
                    <w:t>D.Burke@christadelphian-ejbi.org</w:t>
                  </w:r>
                  <w:r>
                    <w:rPr>
                      <w:rFonts w:ascii="Bradley Hand ITC" w:hAnsi="Bradley Hand ITC"/>
                      <w:b/>
                      <w:lang w:val="en-GB"/>
                    </w:rPr>
                    <w:t xml:space="preserve"> (Theology and Apologetics)</w:t>
                  </w:r>
                </w:p>
                <w:p w:rsidR="00FB0788" w:rsidRDefault="00FB0788" w:rsidP="00AA4796">
                  <w:pPr>
                    <w:rPr>
                      <w:sz w:val="22"/>
                      <w:lang w:val="en-GB"/>
                    </w:rPr>
                  </w:pPr>
                </w:p>
                <w:p w:rsidR="00FB0788" w:rsidRPr="005F4BA0" w:rsidRDefault="00FB0788" w:rsidP="002D19EB">
                  <w:pPr>
                    <w:rPr>
                      <w:rFonts w:ascii="Bradley Hand ITC" w:hAnsi="Bradley Hand ITC"/>
                      <w:b/>
                      <w:lang w:val="en-GB"/>
                    </w:rPr>
                  </w:pPr>
                </w:p>
              </w:txbxContent>
            </v:textbox>
          </v:shape>
        </w:pict>
      </w:r>
    </w:p>
    <w:p w:rsidR="003A63D9" w:rsidRPr="000E2B5A" w:rsidRDefault="003A63D9" w:rsidP="002D19EB">
      <w:pPr>
        <w:rPr>
          <w:rFonts w:ascii="Bradley Hand ITC" w:hAnsi="Bradley Hand ITC"/>
          <w:sz w:val="28"/>
          <w:szCs w:val="28"/>
          <w:lang w:val="en-GB"/>
        </w:rPr>
      </w:pPr>
    </w:p>
    <w:p w:rsidR="00D730D8" w:rsidRPr="000E2B5A" w:rsidRDefault="00D730D8" w:rsidP="002D19EB">
      <w:pPr>
        <w:rPr>
          <w:rFonts w:ascii="Bradley Hand ITC" w:hAnsi="Bradley Hand ITC"/>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3A63D9" w:rsidP="002D19EB">
      <w:pPr>
        <w:jc w:val="center"/>
        <w:rPr>
          <w:rFonts w:ascii="Bradley Hand ITC" w:hAnsi="Bradley Hand ITC"/>
          <w:b/>
          <w:sz w:val="48"/>
          <w:szCs w:val="56"/>
          <w:lang w:val="en-GB"/>
        </w:rPr>
      </w:pPr>
      <w:r w:rsidRPr="000E2B5A">
        <w:rPr>
          <w:rFonts w:ascii="Bradley Hand ITC" w:hAnsi="Bradley Hand ITC"/>
          <w:b/>
          <w:sz w:val="48"/>
          <w:szCs w:val="56"/>
          <w:lang w:val="en-GB"/>
        </w:rPr>
        <w:br w:type="page"/>
      </w:r>
      <w:r w:rsidR="002D19EB" w:rsidRPr="000E2B5A">
        <w:rPr>
          <w:rFonts w:ascii="Bradley Hand ITC" w:hAnsi="Bradley Hand ITC"/>
          <w:b/>
          <w:sz w:val="48"/>
          <w:szCs w:val="56"/>
          <w:lang w:val="en-GB"/>
        </w:rPr>
        <w:lastRenderedPageBreak/>
        <w:t>Editorial</w:t>
      </w:r>
    </w:p>
    <w:p w:rsidR="00AA4796" w:rsidRDefault="00AA4796" w:rsidP="002D19EB">
      <w:pPr>
        <w:rPr>
          <w:sz w:val="22"/>
          <w:lang w:val="en-GB"/>
        </w:rPr>
      </w:pPr>
    </w:p>
    <w:p w:rsidR="00C21261" w:rsidRDefault="00C21261" w:rsidP="00B91E61">
      <w:pPr>
        <w:rPr>
          <w:lang w:val="en-GB"/>
        </w:rPr>
      </w:pPr>
      <w:r>
        <w:rPr>
          <w:lang w:val="en-GB"/>
        </w:rPr>
        <w:t xml:space="preserve">Theology was traditionally called the </w:t>
      </w:r>
      <w:r w:rsidR="000E2CE6">
        <w:rPr>
          <w:lang w:val="en-GB"/>
        </w:rPr>
        <w:t>“</w:t>
      </w:r>
      <w:r>
        <w:rPr>
          <w:lang w:val="en-GB"/>
        </w:rPr>
        <w:t>Queen of the Sciences</w:t>
      </w:r>
      <w:r w:rsidR="000E2CE6">
        <w:rPr>
          <w:lang w:val="en-GB"/>
        </w:rPr>
        <w:t>”</w:t>
      </w:r>
      <w:r>
        <w:rPr>
          <w:lang w:val="en-GB"/>
        </w:rPr>
        <w:t>. It is arguably the most challenging of the degree disciplines in a university. The argument is that it is a broad subject with many disparate skills and knowledge-bases</w:t>
      </w:r>
      <w:r w:rsidR="004E66BE">
        <w:rPr>
          <w:lang w:val="en-GB"/>
        </w:rPr>
        <w:t xml:space="preserve"> (unlike other degrees)</w:t>
      </w:r>
      <w:r>
        <w:rPr>
          <w:lang w:val="en-GB"/>
        </w:rPr>
        <w:t xml:space="preserve">. A theologian might specialize in one of many areas in the subject, but a generalist will require expertise in ancient languages, linguistics, grammar, text and manuscript evaluation, historical methodology and history, theology narrowly conceived as the development of doctrine, philosophy, sociology of religion, literary theory and exegesis, homiletics, and a myriad of other subject areas such as missiology and mission, </w:t>
      </w:r>
      <w:r w:rsidR="00B91E61">
        <w:rPr>
          <w:lang w:val="en-GB"/>
        </w:rPr>
        <w:t xml:space="preserve">social and pastoral care in the community, </w:t>
      </w:r>
      <w:r>
        <w:rPr>
          <w:lang w:val="en-GB"/>
        </w:rPr>
        <w:t xml:space="preserve">archaeology of the Near East, anthropology and comparative religion, psychology of religion, </w:t>
      </w:r>
      <w:r w:rsidRPr="00C21261">
        <w:rPr>
          <w:i/>
          <w:lang w:val="en-GB"/>
        </w:rPr>
        <w:t>and so on</w:t>
      </w:r>
      <w:r>
        <w:rPr>
          <w:lang w:val="en-GB"/>
        </w:rPr>
        <w:t>. Quite a few of these areas and others not mentioned will be advertised as available modules in Theology degrees</w:t>
      </w:r>
      <w:r w:rsidR="00B91E61">
        <w:rPr>
          <w:lang w:val="en-GB"/>
        </w:rPr>
        <w:t>; a</w:t>
      </w:r>
      <w:r>
        <w:rPr>
          <w:lang w:val="en-GB"/>
        </w:rPr>
        <w:t xml:space="preserve"> generalist is likely to be a jack of all trades and a master of none.</w:t>
      </w:r>
    </w:p>
    <w:p w:rsidR="00B91E61" w:rsidRDefault="00B91E61" w:rsidP="00B91E61">
      <w:pPr>
        <w:rPr>
          <w:lang w:val="en-GB"/>
        </w:rPr>
      </w:pPr>
    </w:p>
    <w:p w:rsidR="00B91E61" w:rsidRDefault="00B91E61" w:rsidP="00B91E61">
      <w:pPr>
        <w:rPr>
          <w:lang w:val="en-GB"/>
        </w:rPr>
      </w:pPr>
      <w:r>
        <w:rPr>
          <w:lang w:val="en-GB"/>
        </w:rPr>
        <w:t>Minds are good at some things and not others. A person who has a talent for languages</w:t>
      </w:r>
      <w:r w:rsidR="002A178D">
        <w:rPr>
          <w:lang w:val="en-GB"/>
        </w:rPr>
        <w:t>, say,</w:t>
      </w:r>
      <w:r>
        <w:rPr>
          <w:lang w:val="en-GB"/>
        </w:rPr>
        <w:t xml:space="preserve"> may not be too hot with history</w:t>
      </w:r>
      <w:r w:rsidR="000F1348">
        <w:rPr>
          <w:lang w:val="en-GB"/>
        </w:rPr>
        <w:t>,</w:t>
      </w:r>
      <w:r>
        <w:rPr>
          <w:lang w:val="en-GB"/>
        </w:rPr>
        <w:t xml:space="preserve"> and the person who is good at mission, pastoral care or homiletics, may not be good at philosophy</w:t>
      </w:r>
      <w:r w:rsidR="00B36F5F">
        <w:rPr>
          <w:lang w:val="en-GB"/>
        </w:rPr>
        <w:t xml:space="preserve">, </w:t>
      </w:r>
      <w:r w:rsidR="00B36F5F" w:rsidRPr="00B36F5F">
        <w:rPr>
          <w:i/>
          <w:lang w:val="en-GB"/>
        </w:rPr>
        <w:t>and so on</w:t>
      </w:r>
      <w:r>
        <w:rPr>
          <w:lang w:val="en-GB"/>
        </w:rPr>
        <w:t xml:space="preserve">. Minds can usually have a go at most things with differing qualitative outcomes, but a mind that is good at one thing may be reluctant to acknowledge weakness in another </w:t>
      </w:r>
      <w:r w:rsidR="00D21E0B">
        <w:rPr>
          <w:lang w:val="en-GB"/>
        </w:rPr>
        <w:t>area</w:t>
      </w:r>
      <w:r>
        <w:rPr>
          <w:lang w:val="en-GB"/>
        </w:rPr>
        <w:t xml:space="preserve">. This reluctance is a manifestation of the pride of life, and it is a particular problem for those who are actually very good in some things. In 1 Corinthians this point comes out </w:t>
      </w:r>
      <w:r w:rsidR="004E66BE">
        <w:rPr>
          <w:lang w:val="en-GB"/>
        </w:rPr>
        <w:t>i</w:t>
      </w:r>
      <w:r>
        <w:rPr>
          <w:lang w:val="en-GB"/>
        </w:rPr>
        <w:t xml:space="preserve">n the </w:t>
      </w:r>
      <w:r w:rsidR="000E2CE6">
        <w:rPr>
          <w:lang w:val="en-GB"/>
        </w:rPr>
        <w:t>“</w:t>
      </w:r>
      <w:r>
        <w:rPr>
          <w:lang w:val="en-GB"/>
        </w:rPr>
        <w:t>body has many parts</w:t>
      </w:r>
      <w:r w:rsidR="000E2CE6">
        <w:rPr>
          <w:lang w:val="en-GB"/>
        </w:rPr>
        <w:t>”</w:t>
      </w:r>
      <w:r>
        <w:rPr>
          <w:lang w:val="en-GB"/>
        </w:rPr>
        <w:t xml:space="preserve"> simile</w:t>
      </w:r>
      <w:r w:rsidR="004E66BE">
        <w:rPr>
          <w:lang w:val="en-GB"/>
        </w:rPr>
        <w:t>. The wisdom here is to accept what we can do well and accept what others can do better and be content with the complementary nature of human society.</w:t>
      </w:r>
      <w:r w:rsidR="00E3772C">
        <w:rPr>
          <w:lang w:val="en-GB"/>
        </w:rPr>
        <w:t xml:space="preserve"> But is there anything wrong in having those who may be less able at something actually taking on the task?</w:t>
      </w:r>
    </w:p>
    <w:p w:rsidR="00D21E0B" w:rsidRDefault="00D21E0B" w:rsidP="00B91E61">
      <w:pPr>
        <w:rPr>
          <w:lang w:val="en-GB"/>
        </w:rPr>
      </w:pPr>
    </w:p>
    <w:p w:rsidR="00D21E0B" w:rsidRDefault="00D21E0B" w:rsidP="00B91E61">
      <w:pPr>
        <w:rPr>
          <w:lang w:val="en-GB"/>
        </w:rPr>
      </w:pPr>
      <w:r>
        <w:rPr>
          <w:lang w:val="en-GB"/>
        </w:rPr>
        <w:t xml:space="preserve">The society in view here is comprised of believers in an ecclesia and/or in the ecclesias as a whole. </w:t>
      </w:r>
      <w:r w:rsidR="00C843AF">
        <w:rPr>
          <w:lang w:val="en-GB"/>
        </w:rPr>
        <w:t xml:space="preserve">John the Baptist illustrated the Christian virtue when, as a great prophet, he said of Jesus, </w:t>
      </w:r>
      <w:r w:rsidR="000E2CE6">
        <w:rPr>
          <w:lang w:val="en-GB"/>
        </w:rPr>
        <w:t>“</w:t>
      </w:r>
      <w:r w:rsidR="00C843AF">
        <w:rPr>
          <w:lang w:val="en-GB"/>
        </w:rPr>
        <w:t>He must increase, and I must decrease</w:t>
      </w:r>
      <w:r w:rsidR="000E2CE6">
        <w:rPr>
          <w:lang w:val="en-GB"/>
        </w:rPr>
        <w:t>”</w:t>
      </w:r>
      <w:r w:rsidR="00C843AF">
        <w:rPr>
          <w:lang w:val="en-GB"/>
        </w:rPr>
        <w:t xml:space="preserve">. </w:t>
      </w:r>
      <w:r w:rsidR="00E3772C">
        <w:rPr>
          <w:lang w:val="en-GB"/>
        </w:rPr>
        <w:t>The point here is not that Jesus was the lesser but that John was happy to be the lesser</w:t>
      </w:r>
      <w:r w:rsidR="00450A3C">
        <w:rPr>
          <w:lang w:val="en-GB"/>
        </w:rPr>
        <w:t xml:space="preserve"> even though he was great</w:t>
      </w:r>
      <w:r w:rsidR="00E3772C">
        <w:rPr>
          <w:lang w:val="en-GB"/>
        </w:rPr>
        <w:t xml:space="preserve">. </w:t>
      </w:r>
      <w:r w:rsidR="00C843AF">
        <w:rPr>
          <w:lang w:val="en-GB"/>
        </w:rPr>
        <w:t xml:space="preserve">Those who look to have the upper hand in all things, and who may be multi-talented, have not learnt the greater value of </w:t>
      </w:r>
      <w:r w:rsidR="000E2CE6">
        <w:rPr>
          <w:lang w:val="en-GB"/>
        </w:rPr>
        <w:t>“</w:t>
      </w:r>
      <w:r w:rsidR="00C843AF">
        <w:rPr>
          <w:lang w:val="en-GB"/>
        </w:rPr>
        <w:t>deferring to one another</w:t>
      </w:r>
      <w:r w:rsidR="000E2CE6">
        <w:rPr>
          <w:lang w:val="en-GB"/>
        </w:rPr>
        <w:t>”</w:t>
      </w:r>
      <w:r w:rsidR="00C843AF">
        <w:rPr>
          <w:lang w:val="en-GB"/>
        </w:rPr>
        <w:t xml:space="preserve"> and letting the other person do </w:t>
      </w:r>
      <w:r w:rsidR="00C843AF">
        <w:rPr>
          <w:lang w:val="en-GB"/>
        </w:rPr>
        <w:lastRenderedPageBreak/>
        <w:t xml:space="preserve">the doing. This is </w:t>
      </w:r>
      <w:r w:rsidR="00450A3C">
        <w:rPr>
          <w:lang w:val="en-GB"/>
        </w:rPr>
        <w:t>a different</w:t>
      </w:r>
      <w:r w:rsidR="00C843AF">
        <w:rPr>
          <w:lang w:val="en-GB"/>
        </w:rPr>
        <w:t xml:space="preserve"> failure </w:t>
      </w:r>
      <w:r w:rsidR="00B36F5F">
        <w:rPr>
          <w:lang w:val="en-GB"/>
        </w:rPr>
        <w:t>of not acknowledging</w:t>
      </w:r>
      <w:r w:rsidR="00C843AF">
        <w:rPr>
          <w:lang w:val="en-GB"/>
        </w:rPr>
        <w:t xml:space="preserve"> the complementary nature of the ecclesia and the ecclesias. There is beauty of character in letting the lesser do what is needful rather than keeping the task to yourself because you are the greater</w:t>
      </w:r>
      <w:r w:rsidR="00E3772C">
        <w:rPr>
          <w:lang w:val="en-GB"/>
        </w:rPr>
        <w:t xml:space="preserve"> at the time. When only the few are doing a job in the ecclesia or in the ecclesias, there is a two-way failure</w:t>
      </w:r>
      <w:r w:rsidR="002A178D">
        <w:rPr>
          <w:rStyle w:val="FootnoteReference"/>
          <w:lang w:val="en-GB"/>
        </w:rPr>
        <w:footnoteReference w:id="1"/>
      </w:r>
      <w:r w:rsidR="00E3772C">
        <w:rPr>
          <w:lang w:val="en-GB"/>
        </w:rPr>
        <w:t xml:space="preserve"> in giving and in the building up the body as a </w:t>
      </w:r>
      <w:r w:rsidR="000E2CE6">
        <w:rPr>
          <w:lang w:val="en-GB"/>
        </w:rPr>
        <w:t>“</w:t>
      </w:r>
      <w:r w:rsidR="00E3772C">
        <w:rPr>
          <w:lang w:val="en-GB"/>
        </w:rPr>
        <w:t>one another</w:t>
      </w:r>
      <w:r w:rsidR="000E2CE6">
        <w:rPr>
          <w:lang w:val="en-GB"/>
        </w:rPr>
        <w:t>”</w:t>
      </w:r>
      <w:r w:rsidR="00E3772C">
        <w:rPr>
          <w:lang w:val="en-GB"/>
        </w:rPr>
        <w:t xml:space="preserve"> body. </w:t>
      </w:r>
      <w:r w:rsidR="00C843AF">
        <w:rPr>
          <w:lang w:val="en-GB"/>
        </w:rPr>
        <w:t xml:space="preserve">  </w:t>
      </w:r>
    </w:p>
    <w:p w:rsidR="00B54646" w:rsidRDefault="00B54646" w:rsidP="00B91E61">
      <w:pPr>
        <w:rPr>
          <w:lang w:val="en-GB"/>
        </w:rPr>
      </w:pPr>
    </w:p>
    <w:p w:rsidR="00450A3C" w:rsidRDefault="00450A3C" w:rsidP="00B91E61">
      <w:pPr>
        <w:rPr>
          <w:lang w:val="en-GB"/>
        </w:rPr>
      </w:pPr>
      <w:r>
        <w:rPr>
          <w:lang w:val="en-GB"/>
        </w:rPr>
        <w:t xml:space="preserve">These two failures think of the ecclesia and the ecclesias in </w:t>
      </w:r>
      <w:r w:rsidR="002A178D">
        <w:rPr>
          <w:lang w:val="en-GB"/>
        </w:rPr>
        <w:t>different</w:t>
      </w:r>
      <w:r>
        <w:rPr>
          <w:lang w:val="en-GB"/>
        </w:rPr>
        <w:t xml:space="preserve"> ways. In the model of the ecclesia as a body, the parts have their distinct roles and if you are good at something, then that is your part in the body. If you want to be another part in the body, you cannot, and those who are that part will say </w:t>
      </w:r>
      <w:r w:rsidR="002A178D">
        <w:rPr>
          <w:lang w:val="en-GB"/>
        </w:rPr>
        <w:t xml:space="preserve">(in effect) </w:t>
      </w:r>
      <w:r>
        <w:rPr>
          <w:lang w:val="en-GB"/>
        </w:rPr>
        <w:t xml:space="preserve">that they have no need of you. In the model of the ecclesia as a family, those who are the older </w:t>
      </w:r>
      <w:r w:rsidR="00E656CC">
        <w:rPr>
          <w:lang w:val="en-GB"/>
        </w:rPr>
        <w:t>son or daughter (or</w:t>
      </w:r>
      <w:r w:rsidR="0090792D">
        <w:rPr>
          <w:lang w:val="en-GB"/>
        </w:rPr>
        <w:t xml:space="preserve"> father or mother) </w:t>
      </w:r>
      <w:r>
        <w:rPr>
          <w:lang w:val="en-GB"/>
        </w:rPr>
        <w:t xml:space="preserve">bring on the younger </w:t>
      </w:r>
      <w:r w:rsidR="0090792D">
        <w:rPr>
          <w:lang w:val="en-GB"/>
        </w:rPr>
        <w:t>sons and daughters</w:t>
      </w:r>
      <w:r w:rsidR="00DD57D1">
        <w:rPr>
          <w:lang w:val="en-GB"/>
        </w:rPr>
        <w:t xml:space="preserve"> (i.e. they give way to the lesser)</w:t>
      </w:r>
      <w:r w:rsidR="0090792D">
        <w:rPr>
          <w:lang w:val="en-GB"/>
        </w:rPr>
        <w:t xml:space="preserve">. Insofar as the ecclesia or the ecclesias is/are a </w:t>
      </w:r>
      <w:r w:rsidR="002A178D">
        <w:rPr>
          <w:lang w:val="en-GB"/>
        </w:rPr>
        <w:t xml:space="preserve">spiritual </w:t>
      </w:r>
      <w:r w:rsidR="0090792D">
        <w:rPr>
          <w:lang w:val="en-GB"/>
        </w:rPr>
        <w:t xml:space="preserve">family, believers </w:t>
      </w:r>
      <w:r w:rsidR="002A178D" w:rsidRPr="00B36F5F">
        <w:rPr>
          <w:i/>
          <w:lang w:val="en-GB"/>
        </w:rPr>
        <w:t>can</w:t>
      </w:r>
      <w:r w:rsidR="0090792D">
        <w:rPr>
          <w:lang w:val="en-GB"/>
        </w:rPr>
        <w:t xml:space="preserve"> </w:t>
      </w:r>
      <w:r w:rsidR="005A4289">
        <w:rPr>
          <w:lang w:val="en-GB"/>
        </w:rPr>
        <w:t xml:space="preserve">(and ought to) </w:t>
      </w:r>
      <w:r w:rsidR="0090792D">
        <w:rPr>
          <w:lang w:val="en-GB"/>
        </w:rPr>
        <w:t xml:space="preserve">be </w:t>
      </w:r>
      <w:r>
        <w:rPr>
          <w:lang w:val="en-GB"/>
        </w:rPr>
        <w:t xml:space="preserve">giving way to </w:t>
      </w:r>
      <w:r w:rsidR="0090792D">
        <w:rPr>
          <w:lang w:val="en-GB"/>
        </w:rPr>
        <w:t>one another. The two models are in tension, but the question is: Which one is dominant in the community</w:t>
      </w:r>
      <w:r w:rsidR="00B36F5F">
        <w:rPr>
          <w:lang w:val="en-GB"/>
        </w:rPr>
        <w:t xml:space="preserve"> and is she in need of a different balance</w:t>
      </w:r>
      <w:r w:rsidR="0090792D">
        <w:rPr>
          <w:lang w:val="en-GB"/>
        </w:rPr>
        <w:t>?</w:t>
      </w:r>
    </w:p>
    <w:p w:rsidR="00450A3C" w:rsidRPr="005A4289" w:rsidRDefault="00450A3C" w:rsidP="005A4289">
      <w:pPr>
        <w:rPr>
          <w:sz w:val="16"/>
          <w:lang w:val="en-GB"/>
        </w:rPr>
      </w:pPr>
    </w:p>
    <w:p w:rsidR="00D831A6" w:rsidRPr="005A4289" w:rsidRDefault="00D831A6" w:rsidP="005A4289">
      <w:pPr>
        <w:jc w:val="center"/>
        <w:rPr>
          <w:sz w:val="16"/>
        </w:rPr>
      </w:pPr>
      <w:r w:rsidRPr="005A4289">
        <w:rPr>
          <w:sz w:val="16"/>
          <w:lang w:val="en-GB"/>
        </w:rPr>
        <w:t>----------------</w:t>
      </w:r>
    </w:p>
    <w:p w:rsidR="00D831A6" w:rsidRPr="005A4289" w:rsidRDefault="00D831A6" w:rsidP="005A4289">
      <w:pPr>
        <w:rPr>
          <w:sz w:val="16"/>
          <w:lang w:val="en-GB"/>
        </w:rPr>
      </w:pPr>
    </w:p>
    <w:p w:rsidR="00D831A6" w:rsidRDefault="00D831A6" w:rsidP="00B91E61">
      <w:pPr>
        <w:rPr>
          <w:lang w:val="en-GB"/>
        </w:rPr>
      </w:pPr>
      <w:r>
        <w:rPr>
          <w:lang w:val="en-GB"/>
        </w:rPr>
        <w:t xml:space="preserve">In this issue, we have included an exhortation and this will </w:t>
      </w:r>
      <w:r w:rsidR="00BE12C7">
        <w:rPr>
          <w:lang w:val="en-GB"/>
        </w:rPr>
        <w:t xml:space="preserve">now </w:t>
      </w:r>
      <w:r>
        <w:rPr>
          <w:lang w:val="en-GB"/>
        </w:rPr>
        <w:t xml:space="preserve">be a regular feature of the EJournal. In the article, </w:t>
      </w:r>
      <w:r w:rsidR="000E2CE6">
        <w:rPr>
          <w:lang w:val="en-GB"/>
        </w:rPr>
        <w:t>“</w:t>
      </w:r>
      <w:r>
        <w:rPr>
          <w:lang w:val="en-GB"/>
        </w:rPr>
        <w:t>Devotional Exposition</w:t>
      </w:r>
      <w:r w:rsidR="000E2CE6">
        <w:rPr>
          <w:lang w:val="en-GB"/>
        </w:rPr>
        <w:t>”</w:t>
      </w:r>
      <w:r>
        <w:rPr>
          <w:lang w:val="en-GB"/>
        </w:rPr>
        <w:t xml:space="preserve">, in the last issue, it was explained that one model of exhortation (in the NT) is </w:t>
      </w:r>
      <w:r w:rsidRPr="005A4289">
        <w:rPr>
          <w:b/>
          <w:lang w:val="en-GB"/>
        </w:rPr>
        <w:t>devotional exposition</w:t>
      </w:r>
      <w:r>
        <w:rPr>
          <w:lang w:val="en-GB"/>
        </w:rPr>
        <w:t xml:space="preserve">, and it is this kind of exhortation </w:t>
      </w:r>
      <w:r w:rsidR="00E41A3C">
        <w:rPr>
          <w:lang w:val="en-GB"/>
        </w:rPr>
        <w:t xml:space="preserve">(rather than sentiment) </w:t>
      </w:r>
      <w:r>
        <w:rPr>
          <w:lang w:val="en-GB"/>
        </w:rPr>
        <w:t xml:space="preserve">that the EJournal will publish.  </w:t>
      </w:r>
    </w:p>
    <w:p w:rsidR="00D831A6" w:rsidRDefault="00D831A6" w:rsidP="00B91E61">
      <w:pPr>
        <w:rPr>
          <w:lang w:val="en-GB"/>
        </w:rPr>
      </w:pPr>
    </w:p>
    <w:p w:rsidR="00B54646" w:rsidRDefault="00B54646" w:rsidP="00B54646">
      <w:pPr>
        <w:jc w:val="center"/>
        <w:rPr>
          <w:rFonts w:ascii="Bradley Hand ITC" w:hAnsi="Bradley Hand ITC"/>
          <w:b/>
          <w:sz w:val="28"/>
          <w:lang w:val="en-GB"/>
        </w:rPr>
      </w:pPr>
      <w:r w:rsidRPr="00B54646">
        <w:rPr>
          <w:rFonts w:ascii="Bradley Hand ITC" w:hAnsi="Bradley Hand ITC"/>
          <w:b/>
          <w:sz w:val="28"/>
          <w:lang w:val="en-GB"/>
        </w:rPr>
        <w:t>Exhortation: Oil</w:t>
      </w:r>
    </w:p>
    <w:p w:rsidR="00B54646" w:rsidRPr="00B54646" w:rsidRDefault="00B54646" w:rsidP="00B54646">
      <w:pPr>
        <w:jc w:val="center"/>
        <w:rPr>
          <w:rFonts w:ascii="Bradley Hand ITC" w:hAnsi="Bradley Hand ITC"/>
          <w:b/>
          <w:sz w:val="28"/>
          <w:lang w:val="en-GB"/>
        </w:rPr>
      </w:pPr>
      <w:r>
        <w:rPr>
          <w:rFonts w:ascii="Bradley Hand ITC" w:hAnsi="Bradley Hand ITC"/>
          <w:b/>
          <w:sz w:val="28"/>
          <w:lang w:val="en-GB"/>
        </w:rPr>
        <w:t>J. Davies</w:t>
      </w:r>
    </w:p>
    <w:p w:rsidR="00B54646" w:rsidRDefault="00B54646" w:rsidP="00B91E61">
      <w:pPr>
        <w:rPr>
          <w:lang w:val="en-GB"/>
        </w:rPr>
      </w:pPr>
    </w:p>
    <w:p w:rsidR="00B54646" w:rsidRPr="00B54646" w:rsidRDefault="00B54646" w:rsidP="00B54646">
      <w:pPr>
        <w:rPr>
          <w:rFonts w:ascii="Bradley Hand ITC" w:hAnsi="Bradley Hand ITC"/>
          <w:b/>
          <w:sz w:val="28"/>
        </w:rPr>
      </w:pPr>
      <w:r w:rsidRPr="00B54646">
        <w:rPr>
          <w:rFonts w:ascii="Bradley Hand ITC" w:hAnsi="Bradley Hand ITC"/>
          <w:b/>
          <w:sz w:val="28"/>
        </w:rPr>
        <w:t xml:space="preserve">Introduction </w:t>
      </w:r>
    </w:p>
    <w:p w:rsidR="00B54646" w:rsidRDefault="00B54646" w:rsidP="00B54646">
      <w:r>
        <w:t>We read in Ephesians:</w:t>
      </w:r>
    </w:p>
    <w:p w:rsidR="00B54646" w:rsidRDefault="00B54646" w:rsidP="00B54646">
      <w:pPr>
        <w:autoSpaceDE w:val="0"/>
        <w:autoSpaceDN w:val="0"/>
        <w:adjustRightInd w:val="0"/>
        <w:jc w:val="center"/>
        <w:rPr>
          <w:rFonts w:cstheme="minorHAnsi"/>
          <w:i/>
          <w:sz w:val="20"/>
          <w:szCs w:val="20"/>
        </w:rPr>
      </w:pPr>
    </w:p>
    <w:p w:rsidR="00B54646" w:rsidRPr="00DD57D1" w:rsidRDefault="00B54646" w:rsidP="003E4383">
      <w:pPr>
        <w:pStyle w:val="Quote"/>
      </w:pPr>
      <w:r w:rsidRPr="00DD57D1">
        <w:rPr>
          <w:szCs w:val="20"/>
        </w:rPr>
        <w:t xml:space="preserve">Awake thou that sleepest, and arise from the </w:t>
      </w:r>
      <w:proofErr w:type="gramStart"/>
      <w:r w:rsidRPr="00DD57D1">
        <w:rPr>
          <w:szCs w:val="20"/>
        </w:rPr>
        <w:t>dead,</w:t>
      </w:r>
      <w:proofErr w:type="gramEnd"/>
      <w:r w:rsidRPr="00DD57D1">
        <w:rPr>
          <w:szCs w:val="20"/>
        </w:rPr>
        <w:t xml:space="preserve"> and Christ shall give thee light.</w:t>
      </w:r>
      <w:r w:rsidRPr="00DD57D1">
        <w:t xml:space="preserve"> See then that ye walk circumspectly, not as fools, but as wise, </w:t>
      </w:r>
      <w:r w:rsidR="00E41A3C" w:rsidRPr="00DD57D1">
        <w:t>redeeming</w:t>
      </w:r>
      <w:r w:rsidRPr="00DD57D1">
        <w:t xml:space="preserve"> the time, because the days are evil. Wherefore be ye </w:t>
      </w:r>
      <w:r w:rsidRPr="00DD57D1">
        <w:lastRenderedPageBreak/>
        <w:t>not unwise, but understanding what the will of the Lord [is].</w:t>
      </w:r>
      <w:r w:rsidR="00071351">
        <w:t xml:space="preserve"> Eph 5:14-17 (KJV)</w:t>
      </w:r>
    </w:p>
    <w:p w:rsidR="00B54646" w:rsidRPr="00071351" w:rsidRDefault="00B54646" w:rsidP="00B54646">
      <w:pPr>
        <w:rPr>
          <w:rFonts w:cs="Calibri"/>
        </w:rPr>
      </w:pPr>
    </w:p>
    <w:p w:rsidR="00B54646" w:rsidRPr="00071351" w:rsidRDefault="00B54646" w:rsidP="00B54646">
      <w:pPr>
        <w:rPr>
          <w:rFonts w:cs="Calibri"/>
        </w:rPr>
      </w:pPr>
      <w:r w:rsidRPr="00071351">
        <w:rPr>
          <w:rFonts w:cs="Calibri"/>
        </w:rPr>
        <w:t xml:space="preserve">For our exhortation, we would like to consider the enigmatic </w:t>
      </w:r>
      <w:r w:rsidR="000E2CE6">
        <w:rPr>
          <w:rFonts w:cs="Calibri"/>
        </w:rPr>
        <w:t>‘</w:t>
      </w:r>
      <w:r w:rsidRPr="00071351">
        <w:rPr>
          <w:rFonts w:cs="Calibri"/>
        </w:rPr>
        <w:t>oil</w:t>
      </w:r>
      <w:r w:rsidR="000E2CE6">
        <w:rPr>
          <w:rFonts w:cs="Calibri"/>
        </w:rPr>
        <w:t>’</w:t>
      </w:r>
      <w:r w:rsidRPr="00071351">
        <w:rPr>
          <w:rFonts w:cs="Calibri"/>
        </w:rPr>
        <w:t xml:space="preserve"> of the parable of the virgins, and what it represents to see the powerful exhortation that it teaches us. </w:t>
      </w:r>
    </w:p>
    <w:p w:rsidR="00B54646" w:rsidRPr="00071351" w:rsidRDefault="00B54646" w:rsidP="00B54646">
      <w:pPr>
        <w:rPr>
          <w:rFonts w:cs="Calibri"/>
        </w:rPr>
      </w:pPr>
    </w:p>
    <w:p w:rsidR="00B54646" w:rsidRDefault="00B54646" w:rsidP="00B54646">
      <w:pPr>
        <w:rPr>
          <w:rFonts w:cs="Calibri"/>
        </w:rPr>
      </w:pPr>
      <w:r w:rsidRPr="00071351">
        <w:rPr>
          <w:rFonts w:cs="Calibri"/>
        </w:rPr>
        <w:t>We will:</w:t>
      </w:r>
    </w:p>
    <w:p w:rsidR="008B09B3" w:rsidRPr="00071351" w:rsidRDefault="008B09B3" w:rsidP="00B54646">
      <w:pPr>
        <w:rPr>
          <w:rFonts w:cs="Calibri"/>
        </w:rPr>
      </w:pPr>
    </w:p>
    <w:p w:rsidR="00B54646" w:rsidRPr="00071351" w:rsidRDefault="00B54646" w:rsidP="00936DFC">
      <w:pPr>
        <w:pStyle w:val="ListParagraph"/>
        <w:numPr>
          <w:ilvl w:val="0"/>
          <w:numId w:val="3"/>
        </w:numPr>
        <w:spacing w:after="0"/>
        <w:rPr>
          <w:rFonts w:cs="Calibri"/>
          <w:szCs w:val="24"/>
        </w:rPr>
      </w:pPr>
      <w:r w:rsidRPr="00071351">
        <w:rPr>
          <w:rFonts w:cs="Calibri"/>
          <w:szCs w:val="24"/>
        </w:rPr>
        <w:t>Consider the lamps and the oil in the parable (Matt</w:t>
      </w:r>
      <w:r w:rsidR="00071351">
        <w:rPr>
          <w:rFonts w:cs="Calibri"/>
          <w:szCs w:val="24"/>
        </w:rPr>
        <w:t>hew</w:t>
      </w:r>
      <w:r w:rsidRPr="00071351">
        <w:rPr>
          <w:rFonts w:cs="Calibri"/>
          <w:szCs w:val="24"/>
        </w:rPr>
        <w:t xml:space="preserve"> 25)</w:t>
      </w:r>
    </w:p>
    <w:p w:rsidR="00B54646" w:rsidRPr="00071351" w:rsidRDefault="00B54646" w:rsidP="00936DFC">
      <w:pPr>
        <w:pStyle w:val="ListParagraph"/>
        <w:numPr>
          <w:ilvl w:val="0"/>
          <w:numId w:val="3"/>
        </w:numPr>
        <w:spacing w:after="0"/>
        <w:rPr>
          <w:rFonts w:cs="Calibri"/>
          <w:szCs w:val="24"/>
        </w:rPr>
      </w:pPr>
      <w:r w:rsidRPr="00071351">
        <w:rPr>
          <w:rFonts w:cs="Calibri"/>
          <w:szCs w:val="24"/>
        </w:rPr>
        <w:t>Establish the OT context in the Law of Moses (Exodus 27)</w:t>
      </w:r>
    </w:p>
    <w:p w:rsidR="00B54646" w:rsidRPr="00071351" w:rsidRDefault="00B54646" w:rsidP="00936DFC">
      <w:pPr>
        <w:pStyle w:val="ListParagraph"/>
        <w:numPr>
          <w:ilvl w:val="0"/>
          <w:numId w:val="3"/>
        </w:numPr>
        <w:spacing w:after="0"/>
        <w:rPr>
          <w:rFonts w:cs="Calibri"/>
          <w:szCs w:val="24"/>
        </w:rPr>
      </w:pPr>
      <w:r w:rsidRPr="00071351">
        <w:rPr>
          <w:rFonts w:cs="Calibri"/>
          <w:szCs w:val="24"/>
        </w:rPr>
        <w:t xml:space="preserve">Consider the relevance of the </w:t>
      </w:r>
      <w:r w:rsidR="000E2CE6">
        <w:rPr>
          <w:rFonts w:cs="Calibri"/>
          <w:szCs w:val="24"/>
        </w:rPr>
        <w:t>‘</w:t>
      </w:r>
      <w:r w:rsidRPr="00071351">
        <w:rPr>
          <w:rFonts w:cs="Calibri"/>
          <w:szCs w:val="24"/>
        </w:rPr>
        <w:t>oil</w:t>
      </w:r>
      <w:r w:rsidR="000E2CE6">
        <w:rPr>
          <w:rFonts w:cs="Calibri"/>
          <w:szCs w:val="24"/>
        </w:rPr>
        <w:t>’</w:t>
      </w:r>
      <w:r w:rsidRPr="00071351">
        <w:rPr>
          <w:rFonts w:cs="Calibri"/>
          <w:szCs w:val="24"/>
        </w:rPr>
        <w:t xml:space="preserve"> (Ephesians 5)</w:t>
      </w:r>
    </w:p>
    <w:p w:rsidR="00B54646" w:rsidRPr="00071351" w:rsidRDefault="00B54646" w:rsidP="00B54646">
      <w:pPr>
        <w:rPr>
          <w:rFonts w:cs="Calibri"/>
        </w:rPr>
      </w:pPr>
    </w:p>
    <w:p w:rsidR="00B54646" w:rsidRPr="00071351" w:rsidRDefault="00B54646" w:rsidP="00B54646">
      <w:pPr>
        <w:rPr>
          <w:rFonts w:cs="Calibri"/>
        </w:rPr>
      </w:pPr>
      <w:r w:rsidRPr="00071351">
        <w:rPr>
          <w:rFonts w:cs="Calibri"/>
        </w:rPr>
        <w:t>Finally, we will look to Christ, the Word made flesh.</w:t>
      </w:r>
    </w:p>
    <w:p w:rsidR="00B54646" w:rsidRPr="00071351" w:rsidRDefault="00B54646" w:rsidP="00B54646">
      <w:pPr>
        <w:rPr>
          <w:rFonts w:cs="Calibri"/>
        </w:rPr>
      </w:pPr>
    </w:p>
    <w:p w:rsidR="00B54646" w:rsidRPr="00DD57D1" w:rsidRDefault="00B54646" w:rsidP="00B54646">
      <w:pPr>
        <w:rPr>
          <w:rFonts w:ascii="Bradley Hand ITC" w:hAnsi="Bradley Hand ITC" w:cs="Calibri"/>
          <w:b/>
          <w:sz w:val="28"/>
        </w:rPr>
      </w:pPr>
      <w:r w:rsidRPr="00DD57D1">
        <w:rPr>
          <w:rFonts w:ascii="Bradley Hand ITC" w:hAnsi="Bradley Hand ITC" w:cs="Calibri"/>
          <w:b/>
          <w:sz w:val="28"/>
        </w:rPr>
        <w:t>Oil in the Parable of the Ten Virgins</w:t>
      </w:r>
    </w:p>
    <w:p w:rsidR="00B54646" w:rsidRPr="00071351" w:rsidRDefault="00B54646" w:rsidP="00B54646">
      <w:pPr>
        <w:rPr>
          <w:rFonts w:cs="Calibri"/>
        </w:rPr>
      </w:pPr>
      <w:r w:rsidRPr="00071351">
        <w:rPr>
          <w:rFonts w:cs="Calibri"/>
        </w:rPr>
        <w:t>We can build up the following details regarding the lamps and the oil in the parable:</w:t>
      </w:r>
    </w:p>
    <w:p w:rsidR="00B54646" w:rsidRPr="00071351" w:rsidRDefault="00B54646" w:rsidP="00B54646">
      <w:pPr>
        <w:rPr>
          <w:rFonts w:cs="Calibri"/>
        </w:rPr>
      </w:pPr>
    </w:p>
    <w:p w:rsidR="00B54646" w:rsidRPr="00071351" w:rsidRDefault="00B54646" w:rsidP="00936DFC">
      <w:pPr>
        <w:pStyle w:val="ListParagraph"/>
        <w:numPr>
          <w:ilvl w:val="0"/>
          <w:numId w:val="4"/>
        </w:numPr>
        <w:spacing w:after="0"/>
        <w:rPr>
          <w:rFonts w:cs="Calibri"/>
          <w:szCs w:val="24"/>
        </w:rPr>
      </w:pPr>
      <w:r w:rsidRPr="00071351">
        <w:rPr>
          <w:rFonts w:cs="Calibri"/>
          <w:szCs w:val="24"/>
        </w:rPr>
        <w:t>All virgins have a lamp (v. 1)</w:t>
      </w:r>
    </w:p>
    <w:p w:rsidR="00B54646" w:rsidRPr="00071351" w:rsidRDefault="00B54646" w:rsidP="00936DFC">
      <w:pPr>
        <w:pStyle w:val="ListParagraph"/>
        <w:numPr>
          <w:ilvl w:val="0"/>
          <w:numId w:val="4"/>
        </w:numPr>
        <w:spacing w:after="0"/>
        <w:rPr>
          <w:rFonts w:cs="Calibri"/>
          <w:szCs w:val="24"/>
        </w:rPr>
      </w:pPr>
      <w:r w:rsidRPr="00071351">
        <w:rPr>
          <w:rFonts w:cs="Calibri"/>
          <w:szCs w:val="24"/>
        </w:rPr>
        <w:t>The foolish took no oil (v. 3)</w:t>
      </w:r>
    </w:p>
    <w:p w:rsidR="00B54646" w:rsidRDefault="00B54646" w:rsidP="00936DFC">
      <w:pPr>
        <w:pStyle w:val="ListParagraph"/>
        <w:numPr>
          <w:ilvl w:val="0"/>
          <w:numId w:val="4"/>
        </w:numPr>
        <w:spacing w:after="0"/>
        <w:rPr>
          <w:rFonts w:cs="Calibri"/>
          <w:szCs w:val="24"/>
        </w:rPr>
      </w:pPr>
      <w:r w:rsidRPr="00071351">
        <w:rPr>
          <w:rFonts w:cs="Calibri"/>
          <w:szCs w:val="24"/>
        </w:rPr>
        <w:t xml:space="preserve">The wise took oil in their vessels (v. 4) </w:t>
      </w:r>
    </w:p>
    <w:p w:rsidR="00071351" w:rsidRPr="00071351" w:rsidRDefault="00071351" w:rsidP="00936DFC">
      <w:pPr>
        <w:pStyle w:val="ListParagraph"/>
        <w:numPr>
          <w:ilvl w:val="0"/>
          <w:numId w:val="4"/>
        </w:numPr>
        <w:spacing w:after="0"/>
        <w:rPr>
          <w:rFonts w:cs="Calibri"/>
          <w:szCs w:val="24"/>
        </w:rPr>
      </w:pPr>
      <w:r>
        <w:rPr>
          <w:rFonts w:cs="Calibri"/>
          <w:szCs w:val="24"/>
        </w:rPr>
        <w:t>All sleep and wake up (vv. 5-6)</w:t>
      </w:r>
    </w:p>
    <w:p w:rsidR="00B54646" w:rsidRPr="00071351" w:rsidRDefault="00B54646" w:rsidP="00936DFC">
      <w:pPr>
        <w:pStyle w:val="ListParagraph"/>
        <w:numPr>
          <w:ilvl w:val="0"/>
          <w:numId w:val="4"/>
        </w:numPr>
        <w:spacing w:after="0"/>
        <w:rPr>
          <w:rFonts w:cs="Calibri"/>
          <w:szCs w:val="24"/>
        </w:rPr>
      </w:pPr>
      <w:r w:rsidRPr="00071351">
        <w:rPr>
          <w:rFonts w:cs="Calibri"/>
          <w:szCs w:val="24"/>
        </w:rPr>
        <w:t>When the bridegroom comes, the wise use up their oil (v. 7)</w:t>
      </w:r>
    </w:p>
    <w:p w:rsidR="00B54646" w:rsidRPr="00071351" w:rsidRDefault="00B54646" w:rsidP="00936DFC">
      <w:pPr>
        <w:pStyle w:val="ListParagraph"/>
        <w:numPr>
          <w:ilvl w:val="0"/>
          <w:numId w:val="4"/>
        </w:numPr>
        <w:spacing w:after="0"/>
        <w:rPr>
          <w:rFonts w:cs="Calibri"/>
          <w:szCs w:val="24"/>
        </w:rPr>
      </w:pPr>
      <w:r w:rsidRPr="00071351">
        <w:rPr>
          <w:rFonts w:cs="Calibri"/>
          <w:szCs w:val="24"/>
        </w:rPr>
        <w:t xml:space="preserve">The foolish have no oil spare and their lamps are </w:t>
      </w:r>
      <w:r w:rsidR="000E2CE6">
        <w:rPr>
          <w:rFonts w:cs="Calibri"/>
          <w:szCs w:val="24"/>
        </w:rPr>
        <w:t>‘</w:t>
      </w:r>
      <w:r w:rsidRPr="00071351">
        <w:rPr>
          <w:rFonts w:cs="Calibri"/>
          <w:szCs w:val="24"/>
        </w:rPr>
        <w:t>going out</w:t>
      </w:r>
      <w:r w:rsidR="000E2CE6">
        <w:rPr>
          <w:rFonts w:cs="Calibri"/>
          <w:szCs w:val="24"/>
        </w:rPr>
        <w:t>’</w:t>
      </w:r>
      <w:r w:rsidRPr="00071351">
        <w:rPr>
          <w:rFonts w:cs="Calibri"/>
          <w:szCs w:val="24"/>
        </w:rPr>
        <w:t xml:space="preserve"> (vs. 8)</w:t>
      </w:r>
    </w:p>
    <w:p w:rsidR="00B54646" w:rsidRPr="00071351" w:rsidRDefault="00B54646" w:rsidP="00936DFC">
      <w:pPr>
        <w:pStyle w:val="ListParagraph"/>
        <w:numPr>
          <w:ilvl w:val="0"/>
          <w:numId w:val="4"/>
        </w:numPr>
        <w:spacing w:after="0"/>
        <w:rPr>
          <w:rFonts w:cs="Calibri"/>
          <w:szCs w:val="24"/>
        </w:rPr>
      </w:pPr>
      <w:r w:rsidRPr="00071351">
        <w:rPr>
          <w:rFonts w:cs="Calibri"/>
          <w:szCs w:val="24"/>
        </w:rPr>
        <w:t>The oil is not transferable (v. 9)</w:t>
      </w:r>
    </w:p>
    <w:p w:rsidR="00B54646" w:rsidRPr="00071351" w:rsidRDefault="00B54646" w:rsidP="00B54646">
      <w:pPr>
        <w:rPr>
          <w:rFonts w:cs="Calibri"/>
        </w:rPr>
      </w:pPr>
    </w:p>
    <w:p w:rsidR="00B54646" w:rsidRDefault="00B54646" w:rsidP="00B54646">
      <w:r>
        <w:t xml:space="preserve">The parable is constructed by the Lord so that we notice the distinction between the wise and the foolish. Put simply, </w:t>
      </w:r>
      <w:r w:rsidRPr="00071351">
        <w:rPr>
          <w:b/>
        </w:rPr>
        <w:t xml:space="preserve">the distinction is </w:t>
      </w:r>
      <w:r w:rsidR="000E2CE6">
        <w:rPr>
          <w:b/>
        </w:rPr>
        <w:t>‘</w:t>
      </w:r>
      <w:r w:rsidRPr="00071351">
        <w:rPr>
          <w:b/>
        </w:rPr>
        <w:t>oil</w:t>
      </w:r>
      <w:r w:rsidR="000E2CE6">
        <w:rPr>
          <w:b/>
        </w:rPr>
        <w:t>’</w:t>
      </w:r>
      <w:r>
        <w:t xml:space="preserve">. It is therefore of </w:t>
      </w:r>
      <w:r w:rsidR="00071351">
        <w:t>primary</w:t>
      </w:r>
      <w:r>
        <w:t xml:space="preserve"> importance for us to appreciate what is meant by the oil of the parable, so that we are </w:t>
      </w:r>
      <w:r w:rsidR="000E2CE6">
        <w:t>‘</w:t>
      </w:r>
      <w:r>
        <w:t>wise</w:t>
      </w:r>
      <w:r w:rsidR="000E2CE6">
        <w:t>’</w:t>
      </w:r>
      <w:r>
        <w:t xml:space="preserve"> and not foolish. </w:t>
      </w:r>
    </w:p>
    <w:p w:rsidR="00B54646" w:rsidRPr="00071351" w:rsidRDefault="00B54646" w:rsidP="00B54646">
      <w:pPr>
        <w:rPr>
          <w:rFonts w:cs="Calibri"/>
        </w:rPr>
      </w:pPr>
    </w:p>
    <w:p w:rsidR="00B54646" w:rsidRPr="00071351" w:rsidRDefault="00B54646" w:rsidP="00B54646">
      <w:pPr>
        <w:rPr>
          <w:rFonts w:cs="Calibri"/>
          <w:b/>
          <w:i/>
        </w:rPr>
      </w:pPr>
      <w:r w:rsidRPr="00071351">
        <w:rPr>
          <w:rFonts w:cs="Calibri"/>
          <w:b/>
          <w:i/>
        </w:rPr>
        <w:t>Verse 1</w:t>
      </w:r>
    </w:p>
    <w:p w:rsidR="00B54646" w:rsidRDefault="00161B0D" w:rsidP="00B54646">
      <w:r>
        <w:t>Jesus</w:t>
      </w:r>
      <w:r w:rsidR="00EE5148">
        <w:t xml:space="preserve"> </w:t>
      </w:r>
      <w:r>
        <w:t xml:space="preserve">uses Prov 6:20f. The virgins take their lamps. </w:t>
      </w:r>
      <w:r w:rsidR="00B54646">
        <w:t>God</w:t>
      </w:r>
      <w:r w:rsidR="000E2CE6">
        <w:t>’</w:t>
      </w:r>
      <w:r w:rsidR="00B54646">
        <w:t xml:space="preserve">s commandment is a </w:t>
      </w:r>
      <w:r w:rsidR="00B54646" w:rsidRPr="000F6DBC">
        <w:rPr>
          <w:b/>
        </w:rPr>
        <w:t>lamp</w:t>
      </w:r>
      <w:r w:rsidRPr="00161B0D">
        <w:t xml:space="preserve"> (Prov 6:23)</w:t>
      </w:r>
      <w:r w:rsidR="00B54646" w:rsidRPr="00161B0D">
        <w:t xml:space="preserve">. </w:t>
      </w:r>
      <w:r w:rsidR="00B54646">
        <w:t xml:space="preserve">It protects the son from the wiles of evil women. It </w:t>
      </w:r>
      <w:r w:rsidR="00B54646">
        <w:lastRenderedPageBreak/>
        <w:t>enables him to remain chaste – to remain a virgin</w:t>
      </w:r>
      <w:r w:rsidR="00071351">
        <w:t xml:space="preserve"> (Prov 6:24)</w:t>
      </w:r>
      <w:r w:rsidR="00B54646">
        <w:t>. A passage from the psalms further establishes this:</w:t>
      </w:r>
    </w:p>
    <w:p w:rsidR="008B09B3" w:rsidRDefault="008B09B3" w:rsidP="00B54646"/>
    <w:p w:rsidR="00B54646" w:rsidRDefault="00B54646" w:rsidP="003E4383">
      <w:pPr>
        <w:pStyle w:val="Quote"/>
      </w:pPr>
      <w:r w:rsidRPr="00071351">
        <w:t xml:space="preserve">Thy </w:t>
      </w:r>
      <w:r w:rsidRPr="00071351">
        <w:rPr>
          <w:b/>
        </w:rPr>
        <w:t>word</w:t>
      </w:r>
      <w:r w:rsidRPr="00071351">
        <w:t xml:space="preserve"> </w:t>
      </w:r>
      <w:r w:rsidRPr="003E4383">
        <w:t>[</w:t>
      </w:r>
      <w:r w:rsidRPr="003E4383">
        <w:rPr>
          <w:iCs/>
        </w:rPr>
        <w:t>is</w:t>
      </w:r>
      <w:r w:rsidRPr="003E4383">
        <w:t>]</w:t>
      </w:r>
      <w:r w:rsidRPr="00071351">
        <w:t xml:space="preserve"> </w:t>
      </w:r>
      <w:r w:rsidRPr="00071351">
        <w:rPr>
          <w:u w:val="single"/>
        </w:rPr>
        <w:t>a lamp</w:t>
      </w:r>
      <w:r w:rsidRPr="00071351">
        <w:t xml:space="preserve"> unto my </w:t>
      </w:r>
      <w:r w:rsidR="00071351">
        <w:t>feet, and a light unto my path.</w:t>
      </w:r>
      <w:r w:rsidRPr="00071351">
        <w:t xml:space="preserve"> Ps 119</w:t>
      </w:r>
      <w:r w:rsidR="00071351">
        <w:t>:</w:t>
      </w:r>
      <w:r w:rsidRPr="00071351">
        <w:t>105</w:t>
      </w:r>
    </w:p>
    <w:p w:rsidR="00161B0D" w:rsidRPr="00161B0D" w:rsidRDefault="00161B0D" w:rsidP="00161B0D">
      <w:pPr>
        <w:rPr>
          <w:lang w:val="en-GB" w:bidi="he-IL"/>
        </w:rPr>
      </w:pPr>
    </w:p>
    <w:p w:rsidR="00B54646" w:rsidRDefault="00161B0D" w:rsidP="00161B0D">
      <w:r>
        <w:t xml:space="preserve">Proverbs 6:22 tells us that when </w:t>
      </w:r>
      <w:r w:rsidRPr="009961B7">
        <w:rPr>
          <w:b/>
        </w:rPr>
        <w:t>awoken</w:t>
      </w:r>
      <w:r>
        <w:t xml:space="preserve"> the commandments talk with the son (cp. Matt 25:7).</w:t>
      </w:r>
    </w:p>
    <w:p w:rsidR="00161B0D" w:rsidRPr="00071351" w:rsidRDefault="00161B0D" w:rsidP="00161B0D">
      <w:pPr>
        <w:rPr>
          <w:rFonts w:ascii="Calibri" w:hAnsi="Calibri" w:cs="Calibri"/>
          <w:sz w:val="28"/>
        </w:rPr>
      </w:pPr>
    </w:p>
    <w:p w:rsidR="00B54646" w:rsidRDefault="003E4383" w:rsidP="00B54646">
      <w:pPr>
        <w:rPr>
          <w:b/>
          <w:i/>
        </w:rPr>
      </w:pPr>
      <w:r>
        <w:rPr>
          <w:b/>
          <w:i/>
        </w:rPr>
        <w:t>Verse 3-</w:t>
      </w:r>
      <w:r w:rsidR="00B54646">
        <w:rPr>
          <w:b/>
          <w:i/>
        </w:rPr>
        <w:t>4</w:t>
      </w:r>
    </w:p>
    <w:p w:rsidR="00EE5148" w:rsidRDefault="00B54646" w:rsidP="00B54646">
      <w:r>
        <w:t xml:space="preserve">The language employed by the Lord </w:t>
      </w:r>
      <w:r w:rsidR="00EE5148">
        <w:t>also goes</w:t>
      </w:r>
      <w:r>
        <w:t xml:space="preserve"> back to Proverbs 21. </w:t>
      </w:r>
    </w:p>
    <w:p w:rsidR="00EE5148" w:rsidRDefault="00EE5148" w:rsidP="00B54646"/>
    <w:p w:rsidR="00EE5148" w:rsidRDefault="00EE5148" w:rsidP="003E4383">
      <w:pPr>
        <w:pStyle w:val="Quote"/>
      </w:pPr>
      <w:r>
        <w:rPr>
          <w:i/>
          <w:iCs/>
        </w:rPr>
        <w:t xml:space="preserve">There is </w:t>
      </w:r>
      <w:r>
        <w:t>treasure to be desired and oil in the dwelling of the wise; but a foolish man spendeth it up. Prov 21:20 (KJV)</w:t>
      </w:r>
    </w:p>
    <w:p w:rsidR="00EE5148" w:rsidRDefault="00EE5148" w:rsidP="00B54646"/>
    <w:p w:rsidR="00B54646" w:rsidRDefault="00B54646" w:rsidP="00B54646">
      <w:r>
        <w:t xml:space="preserve">Notice the similarity of language; </w:t>
      </w:r>
      <w:r w:rsidR="000E2CE6">
        <w:t>‘</w:t>
      </w:r>
      <w:r>
        <w:t>oil</w:t>
      </w:r>
      <w:r w:rsidR="000E2CE6">
        <w:t>’</w:t>
      </w:r>
      <w:r>
        <w:t xml:space="preserve">, </w:t>
      </w:r>
      <w:r w:rsidR="000E2CE6">
        <w:t>‘</w:t>
      </w:r>
      <w:r>
        <w:t>wise</w:t>
      </w:r>
      <w:r w:rsidR="000E2CE6">
        <w:t>’</w:t>
      </w:r>
      <w:r>
        <w:t xml:space="preserve"> and </w:t>
      </w:r>
      <w:r w:rsidR="000E2CE6">
        <w:t>‘</w:t>
      </w:r>
      <w:r>
        <w:t>foolish</w:t>
      </w:r>
      <w:r w:rsidR="000E2CE6">
        <w:t>’</w:t>
      </w:r>
      <w:r>
        <w:t>. The proverb is teaching us that the oil is treasured by the wise so much that it is worth holding on to.</w:t>
      </w:r>
    </w:p>
    <w:p w:rsidR="00B54646" w:rsidRDefault="00B54646" w:rsidP="00B54646">
      <w:pPr>
        <w:rPr>
          <w:rFonts w:ascii="Calibri" w:hAnsi="Calibri" w:cs="Calibri"/>
        </w:rPr>
      </w:pPr>
    </w:p>
    <w:p w:rsidR="00B54646" w:rsidRPr="00FB6190" w:rsidRDefault="00B54646" w:rsidP="00B54646">
      <w:r>
        <w:t xml:space="preserve">The wise are notable, by contrast to the foolish, because they take </w:t>
      </w:r>
      <w:r w:rsidR="000E2CE6">
        <w:t>‘</w:t>
      </w:r>
      <w:r>
        <w:t>oil in their vessels</w:t>
      </w:r>
      <w:r>
        <w:rPr>
          <w:rStyle w:val="FootnoteReference"/>
        </w:rPr>
        <w:footnoteReference w:id="2"/>
      </w:r>
      <w:r>
        <w:t xml:space="preserve"> with their lamps</w:t>
      </w:r>
      <w:r w:rsidR="000E2CE6">
        <w:t>’</w:t>
      </w:r>
      <w:r>
        <w:t>.</w:t>
      </w:r>
    </w:p>
    <w:p w:rsidR="00B54646" w:rsidRDefault="00B54646" w:rsidP="00B54646">
      <w:pPr>
        <w:rPr>
          <w:rFonts w:ascii="Calibri" w:hAnsi="Calibri" w:cs="Calibri"/>
        </w:rPr>
      </w:pPr>
    </w:p>
    <w:p w:rsidR="00B54646" w:rsidRPr="00EE5148" w:rsidRDefault="00B54646" w:rsidP="00B54646">
      <w:pPr>
        <w:rPr>
          <w:rFonts w:ascii="Bradley Hand ITC" w:hAnsi="Bradley Hand ITC" w:cs="Calibri"/>
          <w:b/>
          <w:sz w:val="28"/>
        </w:rPr>
      </w:pPr>
      <w:r w:rsidRPr="00EE5148">
        <w:rPr>
          <w:rFonts w:ascii="Bradley Hand ITC" w:hAnsi="Bradley Hand ITC" w:cs="Calibri"/>
          <w:b/>
          <w:sz w:val="28"/>
        </w:rPr>
        <w:t xml:space="preserve">Exodus 27 – </w:t>
      </w:r>
      <w:r w:rsidR="000E2CE6">
        <w:rPr>
          <w:rFonts w:ascii="Bradley Hand ITC" w:hAnsi="Bradley Hand ITC" w:cs="Calibri"/>
          <w:b/>
          <w:sz w:val="28"/>
        </w:rPr>
        <w:t>‘</w:t>
      </w:r>
      <w:r w:rsidRPr="00EE5148">
        <w:rPr>
          <w:rFonts w:ascii="Bradley Hand ITC" w:hAnsi="Bradley Hand ITC" w:cs="Calibri"/>
          <w:b/>
          <w:sz w:val="28"/>
        </w:rPr>
        <w:t>bring thee pure oil olive</w:t>
      </w:r>
      <w:r w:rsidR="000E2CE6">
        <w:rPr>
          <w:rFonts w:ascii="Bradley Hand ITC" w:hAnsi="Bradley Hand ITC" w:cs="Calibri"/>
          <w:b/>
          <w:sz w:val="28"/>
        </w:rPr>
        <w:t>’</w:t>
      </w:r>
    </w:p>
    <w:p w:rsidR="00D831A6" w:rsidRDefault="00D831A6" w:rsidP="00B54646">
      <w:pPr>
        <w:rPr>
          <w:rFonts w:cs="Calibri"/>
        </w:rPr>
      </w:pPr>
      <w:r>
        <w:rPr>
          <w:rFonts w:cs="Calibri"/>
        </w:rPr>
        <w:t>Jesus</w:t>
      </w:r>
      <w:r w:rsidR="000E2CE6">
        <w:rPr>
          <w:rFonts w:cs="Calibri"/>
        </w:rPr>
        <w:t>’</w:t>
      </w:r>
      <w:r>
        <w:rPr>
          <w:rFonts w:cs="Calibri"/>
        </w:rPr>
        <w:t xml:space="preserve"> use of </w:t>
      </w:r>
      <w:r w:rsidR="000E2CE6">
        <w:rPr>
          <w:rFonts w:cs="Calibri"/>
        </w:rPr>
        <w:t>‘</w:t>
      </w:r>
      <w:r>
        <w:rPr>
          <w:rFonts w:cs="Calibri"/>
        </w:rPr>
        <w:t>took</w:t>
      </w:r>
      <w:r w:rsidR="000E2CE6">
        <w:rPr>
          <w:rFonts w:cs="Calibri"/>
        </w:rPr>
        <w:t>’</w:t>
      </w:r>
      <w:r>
        <w:rPr>
          <w:rFonts w:cs="Calibri"/>
        </w:rPr>
        <w:t xml:space="preserve"> in </w:t>
      </w:r>
      <w:r w:rsidR="000E2CE6">
        <w:rPr>
          <w:rFonts w:cs="Calibri"/>
        </w:rPr>
        <w:t>‘</w:t>
      </w:r>
      <w:r>
        <w:rPr>
          <w:rFonts w:cs="Calibri"/>
        </w:rPr>
        <w:t>took no oil</w:t>
      </w:r>
      <w:r w:rsidR="000E2CE6">
        <w:rPr>
          <w:rFonts w:cs="Calibri"/>
        </w:rPr>
        <w:t>’</w:t>
      </w:r>
      <w:r>
        <w:rPr>
          <w:rFonts w:cs="Calibri"/>
        </w:rPr>
        <w:t xml:space="preserve"> echoes the </w:t>
      </w:r>
      <w:r w:rsidRPr="00EE5148">
        <w:rPr>
          <w:rFonts w:cs="Calibri"/>
        </w:rPr>
        <w:t xml:space="preserve">command given to the children of Israel regarding </w:t>
      </w:r>
      <w:r>
        <w:rPr>
          <w:rFonts w:cs="Calibri"/>
        </w:rPr>
        <w:t xml:space="preserve">olive </w:t>
      </w:r>
      <w:r w:rsidRPr="00EE5148">
        <w:rPr>
          <w:rFonts w:cs="Calibri"/>
        </w:rPr>
        <w:t xml:space="preserve">oil. </w:t>
      </w:r>
    </w:p>
    <w:p w:rsidR="00D831A6" w:rsidRDefault="00D831A6" w:rsidP="00B54646">
      <w:pPr>
        <w:rPr>
          <w:rFonts w:cs="Calibri"/>
        </w:rPr>
      </w:pPr>
    </w:p>
    <w:p w:rsidR="00D831A6" w:rsidRPr="003E4383" w:rsidRDefault="00D831A6" w:rsidP="003E4383">
      <w:pPr>
        <w:pStyle w:val="Quote"/>
      </w:pPr>
      <w:r w:rsidRPr="003E4383">
        <w:t>And thou shalt command the children of Israel, that they bring thee pure oil olive beaten for the light, to cause the lamp to burn always. Exod 27:20 (KJV)</w:t>
      </w:r>
    </w:p>
    <w:p w:rsidR="00D831A6" w:rsidRDefault="00D831A6" w:rsidP="00B54646">
      <w:pPr>
        <w:rPr>
          <w:rFonts w:cs="Calibri"/>
        </w:rPr>
      </w:pPr>
    </w:p>
    <w:p w:rsidR="00B54646" w:rsidRDefault="00D831A6" w:rsidP="00B54646">
      <w:pPr>
        <w:rPr>
          <w:rFonts w:cs="Calibri"/>
        </w:rPr>
      </w:pPr>
      <w:r>
        <w:rPr>
          <w:rFonts w:cs="Calibri"/>
        </w:rPr>
        <w:t xml:space="preserve">This command is part of </w:t>
      </w:r>
      <w:r w:rsidR="00B54646" w:rsidRPr="00EE5148">
        <w:rPr>
          <w:rFonts w:cs="Calibri"/>
        </w:rPr>
        <w:t>the narrative explaining to Moses exactly what is required to construct the tabernacle</w:t>
      </w:r>
      <w:r>
        <w:rPr>
          <w:rFonts w:cs="Calibri"/>
        </w:rPr>
        <w:t xml:space="preserve"> (Exod 24:18)</w:t>
      </w:r>
      <w:r w:rsidR="00B54646" w:rsidRPr="00EE5148">
        <w:rPr>
          <w:rFonts w:cs="Calibri"/>
        </w:rPr>
        <w:t xml:space="preserve">. In </w:t>
      </w:r>
      <w:r>
        <w:rPr>
          <w:rFonts w:cs="Calibri"/>
        </w:rPr>
        <w:t>Exodus</w:t>
      </w:r>
      <w:r w:rsidR="00B54646" w:rsidRPr="00EE5148">
        <w:rPr>
          <w:rFonts w:cs="Calibri"/>
        </w:rPr>
        <w:t xml:space="preserve"> 25 – 27, Yahweh explains to Moses exactly what needs to be </w:t>
      </w:r>
      <w:r w:rsidR="00B54646" w:rsidRPr="00EE5148">
        <w:rPr>
          <w:rFonts w:cs="Calibri"/>
          <w:b/>
        </w:rPr>
        <w:t>made</w:t>
      </w:r>
      <w:r w:rsidR="00B54646" w:rsidRPr="00EE5148">
        <w:rPr>
          <w:rFonts w:cs="Calibri"/>
        </w:rPr>
        <w:t xml:space="preserve"> (</w:t>
      </w:r>
      <w:r w:rsidR="000E2CE6">
        <w:rPr>
          <w:rFonts w:cs="Calibri"/>
        </w:rPr>
        <w:t>‘</w:t>
      </w:r>
      <w:r w:rsidR="00B54646" w:rsidRPr="00EE5148">
        <w:rPr>
          <w:rFonts w:cs="Calibri"/>
        </w:rPr>
        <w:t>thou shalt make</w:t>
      </w:r>
      <w:r w:rsidR="000E2CE6">
        <w:rPr>
          <w:rFonts w:cs="Calibri"/>
        </w:rPr>
        <w:t>’</w:t>
      </w:r>
      <w:r w:rsidR="00B54646" w:rsidRPr="00EE5148">
        <w:rPr>
          <w:rFonts w:cs="Calibri"/>
        </w:rPr>
        <w:t xml:space="preserve">) in detail. At the end of this section, before considering the role of the priests, we have a </w:t>
      </w:r>
      <w:r>
        <w:rPr>
          <w:rFonts w:cs="Calibri"/>
        </w:rPr>
        <w:t>reference to the need for oil.</w:t>
      </w:r>
    </w:p>
    <w:p w:rsidR="00B54646" w:rsidRPr="00EE5148" w:rsidRDefault="00B54646" w:rsidP="00B54646">
      <w:pPr>
        <w:rPr>
          <w:rFonts w:cs="Calibri"/>
          <w:b/>
          <w:i/>
        </w:rPr>
      </w:pPr>
      <w:r w:rsidRPr="00EE5148">
        <w:rPr>
          <w:rFonts w:cs="Calibri"/>
          <w:b/>
          <w:i/>
        </w:rPr>
        <w:lastRenderedPageBreak/>
        <w:t>Verse 20</w:t>
      </w:r>
    </w:p>
    <w:p w:rsidR="00B54646" w:rsidRPr="00EE3DDD" w:rsidRDefault="00B54646" w:rsidP="00B54646">
      <w:pPr>
        <w:rPr>
          <w:rFonts w:cs="Calibri"/>
        </w:rPr>
      </w:pPr>
      <w:r w:rsidRPr="00EE5148">
        <w:rPr>
          <w:rFonts w:cs="Calibri"/>
        </w:rPr>
        <w:t>The c</w:t>
      </w:r>
      <w:r w:rsidR="00EE3DDD">
        <w:rPr>
          <w:rFonts w:cs="Calibri"/>
        </w:rPr>
        <w:t xml:space="preserve">hildren of Israel were given a </w:t>
      </w:r>
      <w:r w:rsidRPr="00EE5148">
        <w:rPr>
          <w:rFonts w:cs="Calibri"/>
        </w:rPr>
        <w:t xml:space="preserve">command </w:t>
      </w:r>
      <w:r w:rsidR="00EE3DDD">
        <w:rPr>
          <w:rFonts w:cs="Calibri"/>
        </w:rPr>
        <w:t xml:space="preserve">to </w:t>
      </w:r>
      <w:r w:rsidR="000E2CE6">
        <w:rPr>
          <w:rFonts w:cs="Calibri"/>
        </w:rPr>
        <w:t>‘</w:t>
      </w:r>
      <w:r w:rsidR="00EE3DDD" w:rsidRPr="00EE3DDD">
        <w:rPr>
          <w:rFonts w:cs="Calibri"/>
          <w:b/>
        </w:rPr>
        <w:t>bring willingly</w:t>
      </w:r>
      <w:r w:rsidR="000E2CE6">
        <w:rPr>
          <w:rFonts w:cs="Calibri"/>
        </w:rPr>
        <w:t>’</w:t>
      </w:r>
      <w:r w:rsidR="00EE3DDD">
        <w:rPr>
          <w:rFonts w:cs="Calibri"/>
        </w:rPr>
        <w:t xml:space="preserve"> oil for the</w:t>
      </w:r>
      <w:r w:rsidRPr="00EE5148">
        <w:rPr>
          <w:rFonts w:cs="Calibri"/>
        </w:rPr>
        <w:t xml:space="preserve"> lampstand in the holy place</w:t>
      </w:r>
      <w:r w:rsidR="00EE3DDD">
        <w:rPr>
          <w:rFonts w:cs="Calibri"/>
        </w:rPr>
        <w:t xml:space="preserve"> (Exod 25:2, 6)</w:t>
      </w:r>
      <w:r w:rsidRPr="00EE5148">
        <w:rPr>
          <w:rFonts w:cs="Calibri"/>
        </w:rPr>
        <w:t xml:space="preserve">. </w:t>
      </w:r>
      <w:r w:rsidR="00EE3DDD">
        <w:rPr>
          <w:rFonts w:cs="Calibri"/>
        </w:rPr>
        <w:t>In Exod</w:t>
      </w:r>
      <w:r w:rsidRPr="00EE5148">
        <w:rPr>
          <w:rFonts w:cs="Calibri"/>
        </w:rPr>
        <w:t xml:space="preserve"> 27</w:t>
      </w:r>
      <w:r w:rsidR="00EE3DDD">
        <w:rPr>
          <w:rFonts w:cs="Calibri"/>
        </w:rPr>
        <w:t>:20</w:t>
      </w:r>
      <w:r w:rsidRPr="00EE5148">
        <w:rPr>
          <w:rFonts w:cs="Calibri"/>
        </w:rPr>
        <w:t xml:space="preserve"> </w:t>
      </w:r>
      <w:r w:rsidR="00EE3DDD">
        <w:rPr>
          <w:rFonts w:cs="Calibri"/>
        </w:rPr>
        <w:t>the oil</w:t>
      </w:r>
      <w:r w:rsidRPr="00EE5148">
        <w:rPr>
          <w:rFonts w:cs="Calibri"/>
        </w:rPr>
        <w:t xml:space="preserve"> is singled out as being something that every Israelite </w:t>
      </w:r>
      <w:r w:rsidRPr="00EE3DDD">
        <w:rPr>
          <w:rFonts w:cs="Calibri"/>
        </w:rPr>
        <w:t>had to bring</w:t>
      </w:r>
      <w:r w:rsidRPr="00EE5148">
        <w:rPr>
          <w:rFonts w:cs="Calibri"/>
        </w:rPr>
        <w:t xml:space="preserve"> for the lamp to burn. Further, v. 2</w:t>
      </w:r>
      <w:r w:rsidR="00EE3DDD">
        <w:rPr>
          <w:rFonts w:cs="Calibri"/>
        </w:rPr>
        <w:t>0</w:t>
      </w:r>
      <w:r w:rsidRPr="00EE5148">
        <w:rPr>
          <w:rFonts w:cs="Calibri"/>
        </w:rPr>
        <w:t xml:space="preserve"> explains that the oil had to be prepared. It had to be </w:t>
      </w:r>
      <w:r w:rsidR="000E2CE6">
        <w:rPr>
          <w:rFonts w:cs="Calibri"/>
        </w:rPr>
        <w:t>‘</w:t>
      </w:r>
      <w:r w:rsidRPr="00EE5148">
        <w:rPr>
          <w:rFonts w:cs="Calibri"/>
        </w:rPr>
        <w:t>pure</w:t>
      </w:r>
      <w:r w:rsidR="000E2CE6">
        <w:rPr>
          <w:rFonts w:cs="Calibri"/>
        </w:rPr>
        <w:t>’</w:t>
      </w:r>
      <w:r w:rsidRPr="00EE5148">
        <w:rPr>
          <w:rFonts w:cs="Calibri"/>
        </w:rPr>
        <w:t xml:space="preserve"> and </w:t>
      </w:r>
      <w:r w:rsidR="000E2CE6">
        <w:rPr>
          <w:rFonts w:cs="Calibri"/>
        </w:rPr>
        <w:t>‘</w:t>
      </w:r>
      <w:r w:rsidRPr="00EE5148">
        <w:rPr>
          <w:rFonts w:cs="Calibri"/>
        </w:rPr>
        <w:t>beaten</w:t>
      </w:r>
      <w:r w:rsidR="000E2CE6">
        <w:rPr>
          <w:rFonts w:cs="Calibri"/>
        </w:rPr>
        <w:t>’</w:t>
      </w:r>
      <w:r w:rsidRPr="00EE5148">
        <w:rPr>
          <w:rFonts w:cs="Calibri"/>
        </w:rPr>
        <w:t xml:space="preserve"> (3)</w:t>
      </w:r>
      <w:r w:rsidR="00EE3DDD">
        <w:rPr>
          <w:rFonts w:cs="Calibri"/>
        </w:rPr>
        <w:t xml:space="preserve">. This </w:t>
      </w:r>
      <w:r w:rsidR="00EE3DDD" w:rsidRPr="00EE3DDD">
        <w:rPr>
          <w:rFonts w:cs="Calibri"/>
        </w:rPr>
        <w:t>is</w:t>
      </w:r>
      <w:r w:rsidRPr="00EE3DDD">
        <w:rPr>
          <w:rFonts w:cs="Calibri"/>
        </w:rPr>
        <w:t xml:space="preserve"> teaching us that effort had to be expended to prepare the oil before it was brought to the priests; the o</w:t>
      </w:r>
      <w:r w:rsidR="00EE3DDD">
        <w:rPr>
          <w:rFonts w:cs="Calibri"/>
        </w:rPr>
        <w:t>lives had to be beaten (cp. Mic 6:</w:t>
      </w:r>
      <w:r w:rsidRPr="00EE3DDD">
        <w:rPr>
          <w:rFonts w:cs="Calibri"/>
        </w:rPr>
        <w:t>15).</w:t>
      </w:r>
    </w:p>
    <w:p w:rsidR="00B54646" w:rsidRPr="005459E6" w:rsidRDefault="00B54646" w:rsidP="00B54646">
      <w:pPr>
        <w:rPr>
          <w:rFonts w:cs="Calibri"/>
        </w:rPr>
      </w:pPr>
    </w:p>
    <w:p w:rsidR="00B54646" w:rsidRPr="005459E6" w:rsidRDefault="00B54646" w:rsidP="00B54646">
      <w:pPr>
        <w:rPr>
          <w:rFonts w:cs="Calibri"/>
        </w:rPr>
      </w:pPr>
      <w:r w:rsidRPr="005459E6">
        <w:rPr>
          <w:rFonts w:cs="Calibri"/>
        </w:rPr>
        <w:t>As no natural light would exist in the holy place, so the lampstand would produce light</w:t>
      </w:r>
      <w:r w:rsidR="005459E6" w:rsidRPr="005459E6">
        <w:rPr>
          <w:rFonts w:cs="Calibri"/>
        </w:rPr>
        <w:t xml:space="preserve"> (Exod 35:14). </w:t>
      </w:r>
      <w:r w:rsidRPr="005459E6">
        <w:rPr>
          <w:rFonts w:cs="Calibri"/>
        </w:rPr>
        <w:t xml:space="preserve">The oil and the candlestick (or </w:t>
      </w:r>
      <w:r w:rsidR="000E2CE6">
        <w:rPr>
          <w:rFonts w:cs="Calibri"/>
        </w:rPr>
        <w:t>‘</w:t>
      </w:r>
      <w:r w:rsidRPr="005459E6">
        <w:rPr>
          <w:rFonts w:cs="Calibri"/>
        </w:rPr>
        <w:t>lampstand</w:t>
      </w:r>
      <w:r w:rsidR="000E2CE6">
        <w:rPr>
          <w:rFonts w:cs="Calibri"/>
        </w:rPr>
        <w:t>’</w:t>
      </w:r>
      <w:r w:rsidRPr="005459E6">
        <w:rPr>
          <w:rStyle w:val="FootnoteReference"/>
          <w:rFonts w:cs="Calibri"/>
        </w:rPr>
        <w:footnoteReference w:id="3"/>
      </w:r>
      <w:r w:rsidRPr="005459E6">
        <w:rPr>
          <w:rFonts w:cs="Calibri"/>
        </w:rPr>
        <w:t xml:space="preserve">) were </w:t>
      </w:r>
      <w:r w:rsidRPr="005459E6">
        <w:rPr>
          <w:rFonts w:cs="Calibri"/>
          <w:b/>
        </w:rPr>
        <w:t>both</w:t>
      </w:r>
      <w:r w:rsidRPr="005459E6">
        <w:rPr>
          <w:rFonts w:cs="Calibri"/>
        </w:rPr>
        <w:t xml:space="preserve"> required </w:t>
      </w:r>
      <w:r w:rsidR="000E2CE6">
        <w:rPr>
          <w:rFonts w:cs="Calibri"/>
        </w:rPr>
        <w:t>‘</w:t>
      </w:r>
      <w:r w:rsidRPr="005459E6">
        <w:rPr>
          <w:rFonts w:cs="Calibri"/>
        </w:rPr>
        <w:t>for the light</w:t>
      </w:r>
      <w:r w:rsidR="000E2CE6">
        <w:rPr>
          <w:rFonts w:cs="Calibri"/>
        </w:rPr>
        <w:t>’</w:t>
      </w:r>
      <w:r w:rsidRPr="005459E6">
        <w:rPr>
          <w:rFonts w:cs="Calibri"/>
        </w:rPr>
        <w:t xml:space="preserve"> (same phrase for both), i.e. just having one wasn</w:t>
      </w:r>
      <w:r w:rsidR="000E2CE6">
        <w:rPr>
          <w:rFonts w:cs="Calibri"/>
        </w:rPr>
        <w:t>’</w:t>
      </w:r>
      <w:r w:rsidRPr="005459E6">
        <w:rPr>
          <w:rFonts w:cs="Calibri"/>
        </w:rPr>
        <w:t xml:space="preserve">t enough. At this point it is worth considering that the lampstand had been provided once </w:t>
      </w:r>
      <w:r w:rsidRPr="005459E6">
        <w:rPr>
          <w:rFonts w:cs="Calibri"/>
          <w:u w:val="single"/>
        </w:rPr>
        <w:t>by God</w:t>
      </w:r>
      <w:r w:rsidRPr="005459E6">
        <w:rPr>
          <w:rFonts w:cs="Calibri"/>
        </w:rPr>
        <w:t xml:space="preserve">, made by men with the spirit of God. However, by contrast, the oil was provided </w:t>
      </w:r>
      <w:r w:rsidRPr="005459E6">
        <w:rPr>
          <w:rFonts w:cs="Calibri"/>
          <w:u w:val="single"/>
        </w:rPr>
        <w:t>by the children of Israel</w:t>
      </w:r>
      <w:r w:rsidRPr="005459E6">
        <w:rPr>
          <w:rFonts w:cs="Calibri"/>
        </w:rPr>
        <w:t>, not just on one occasion, but rather continuously throughout Israel</w:t>
      </w:r>
      <w:r w:rsidR="000E2CE6">
        <w:rPr>
          <w:rFonts w:cs="Calibri"/>
        </w:rPr>
        <w:t>’</w:t>
      </w:r>
      <w:r w:rsidRPr="005459E6">
        <w:rPr>
          <w:rFonts w:cs="Calibri"/>
        </w:rPr>
        <w:t xml:space="preserve">s history. </w:t>
      </w:r>
      <w:r w:rsidR="005459E6">
        <w:rPr>
          <w:rFonts w:cs="Calibri"/>
        </w:rPr>
        <w:t>Given that the Word is a lamp (Ps 119:105), the commandment is a lamp (Prov 6:23), this teaches that we should continually have the Word in our life.</w:t>
      </w:r>
    </w:p>
    <w:p w:rsidR="00B54646" w:rsidRPr="003E5BEC" w:rsidRDefault="00B54646" w:rsidP="00B54646">
      <w:pPr>
        <w:rPr>
          <w:rFonts w:cs="Calibri"/>
        </w:rPr>
      </w:pPr>
    </w:p>
    <w:p w:rsidR="00B54646" w:rsidRPr="003E5BEC" w:rsidRDefault="00B54646" w:rsidP="00B54646">
      <w:pPr>
        <w:rPr>
          <w:rFonts w:cs="Calibri"/>
          <w:b/>
          <w:i/>
        </w:rPr>
      </w:pPr>
      <w:r w:rsidRPr="003E5BEC">
        <w:rPr>
          <w:rFonts w:cs="Calibri"/>
          <w:b/>
          <w:i/>
        </w:rPr>
        <w:t>Verse 21</w:t>
      </w:r>
    </w:p>
    <w:p w:rsidR="00B54646" w:rsidRPr="003E5BEC" w:rsidRDefault="00B54646" w:rsidP="00B54646">
      <w:pPr>
        <w:rPr>
          <w:rFonts w:cs="Calibri"/>
        </w:rPr>
      </w:pPr>
      <w:r w:rsidRPr="003E5BEC">
        <w:rPr>
          <w:rFonts w:cs="Calibri"/>
        </w:rPr>
        <w:t xml:space="preserve">Verse 21 explains where the lamp will be burning, </w:t>
      </w:r>
      <w:r w:rsidR="000E2CE6">
        <w:rPr>
          <w:rFonts w:cs="Calibri"/>
        </w:rPr>
        <w:t>‘</w:t>
      </w:r>
      <w:r w:rsidRPr="003E5BEC">
        <w:rPr>
          <w:rFonts w:cs="Calibri"/>
        </w:rPr>
        <w:t xml:space="preserve">in the tabernacle of the congregation, without the </w:t>
      </w:r>
      <w:r w:rsidR="005459E6" w:rsidRPr="003E5BEC">
        <w:rPr>
          <w:rFonts w:cs="Calibri"/>
        </w:rPr>
        <w:t>veil</w:t>
      </w:r>
      <w:r w:rsidR="000E2CE6">
        <w:rPr>
          <w:rFonts w:cs="Calibri"/>
        </w:rPr>
        <w:t>’</w:t>
      </w:r>
      <w:r w:rsidRPr="003E5BEC">
        <w:rPr>
          <w:rFonts w:cs="Calibri"/>
        </w:rPr>
        <w:t xml:space="preserve">, i.e. in the </w:t>
      </w:r>
      <w:r w:rsidR="000E2CE6">
        <w:rPr>
          <w:rFonts w:cs="Calibri"/>
        </w:rPr>
        <w:t>‘</w:t>
      </w:r>
      <w:r w:rsidRPr="003E5BEC">
        <w:rPr>
          <w:rFonts w:cs="Calibri"/>
        </w:rPr>
        <w:t>holy [place]</w:t>
      </w:r>
      <w:r w:rsidR="000E2CE6">
        <w:rPr>
          <w:rFonts w:cs="Calibri"/>
        </w:rPr>
        <w:t>’</w:t>
      </w:r>
      <w:r w:rsidRPr="003E5BEC">
        <w:rPr>
          <w:rFonts w:cs="Calibri"/>
        </w:rPr>
        <w:t xml:space="preserve"> (cp. </w:t>
      </w:r>
      <w:r w:rsidR="005459E6" w:rsidRPr="003E5BEC">
        <w:rPr>
          <w:rFonts w:cs="Calibri"/>
        </w:rPr>
        <w:t xml:space="preserve">Exod </w:t>
      </w:r>
      <w:r w:rsidRPr="003E5BEC">
        <w:rPr>
          <w:rFonts w:cs="Calibri"/>
        </w:rPr>
        <w:t>26</w:t>
      </w:r>
      <w:r w:rsidR="005459E6" w:rsidRPr="003E5BEC">
        <w:rPr>
          <w:rFonts w:cs="Calibri"/>
        </w:rPr>
        <w:t>:</w:t>
      </w:r>
      <w:r w:rsidRPr="003E5BEC">
        <w:rPr>
          <w:rFonts w:cs="Calibri"/>
        </w:rPr>
        <w:t>31, 33). Also</w:t>
      </w:r>
      <w:r w:rsidR="003E5BEC">
        <w:rPr>
          <w:rFonts w:cs="Calibri"/>
        </w:rPr>
        <w:t>,</w:t>
      </w:r>
      <w:r w:rsidRPr="003E5BEC">
        <w:rPr>
          <w:rFonts w:cs="Calibri"/>
        </w:rPr>
        <w:t xml:space="preserve"> notice that the text explains that the </w:t>
      </w:r>
      <w:r w:rsidR="003E5BEC" w:rsidRPr="003E5BEC">
        <w:rPr>
          <w:rFonts w:cs="Calibri"/>
        </w:rPr>
        <w:t>veil</w:t>
      </w:r>
      <w:r w:rsidRPr="003E5BEC">
        <w:rPr>
          <w:rFonts w:cs="Calibri"/>
        </w:rPr>
        <w:t xml:space="preserve"> was before the </w:t>
      </w:r>
      <w:r w:rsidR="000E2CE6">
        <w:rPr>
          <w:rFonts w:cs="Calibri"/>
        </w:rPr>
        <w:t>‘</w:t>
      </w:r>
      <w:r w:rsidRPr="003E5BEC">
        <w:rPr>
          <w:rFonts w:cs="Calibri"/>
        </w:rPr>
        <w:t>testimony</w:t>
      </w:r>
      <w:r w:rsidR="000E2CE6">
        <w:rPr>
          <w:rFonts w:cs="Calibri"/>
        </w:rPr>
        <w:t>’</w:t>
      </w:r>
      <w:r w:rsidR="003E5BEC" w:rsidRPr="003E5BEC">
        <w:rPr>
          <w:rFonts w:cs="Calibri"/>
        </w:rPr>
        <w:t xml:space="preserve"> (Exod 31:18)</w:t>
      </w:r>
      <w:r w:rsidRPr="003E5BEC">
        <w:rPr>
          <w:rFonts w:cs="Calibri"/>
        </w:rPr>
        <w:t>.</w:t>
      </w:r>
      <w:r w:rsidRPr="003E5BEC">
        <w:rPr>
          <w:rStyle w:val="FootnoteReference"/>
          <w:rFonts w:cs="Calibri"/>
        </w:rPr>
        <w:footnoteReference w:id="4"/>
      </w:r>
      <w:r w:rsidRPr="003E5BEC">
        <w:rPr>
          <w:rFonts w:cs="Calibri"/>
        </w:rPr>
        <w:t xml:space="preserve"> We established from Proverbs 6 that the commandment is a lamp, and so seems appropriate in the context </w:t>
      </w:r>
      <w:r w:rsidR="003E5BEC">
        <w:rPr>
          <w:rFonts w:cs="Calibri"/>
        </w:rPr>
        <w:t xml:space="preserve">for </w:t>
      </w:r>
      <w:r w:rsidR="000E2CE6">
        <w:rPr>
          <w:rFonts w:cs="Calibri"/>
        </w:rPr>
        <w:t>‘</w:t>
      </w:r>
      <w:r w:rsidR="003E5BEC">
        <w:rPr>
          <w:rFonts w:cs="Calibri"/>
        </w:rPr>
        <w:t>testimony</w:t>
      </w:r>
      <w:r w:rsidR="000E2CE6">
        <w:rPr>
          <w:rFonts w:cs="Calibri"/>
        </w:rPr>
        <w:t>’</w:t>
      </w:r>
      <w:r w:rsidR="003E5BEC">
        <w:rPr>
          <w:rFonts w:cs="Calibri"/>
        </w:rPr>
        <w:t xml:space="preserve"> </w:t>
      </w:r>
      <w:r w:rsidRPr="003E5BEC">
        <w:rPr>
          <w:rFonts w:cs="Calibri"/>
        </w:rPr>
        <w:t xml:space="preserve">to be mentioned. </w:t>
      </w:r>
    </w:p>
    <w:p w:rsidR="00B54646" w:rsidRPr="003E5BEC" w:rsidRDefault="00B54646" w:rsidP="00B54646">
      <w:pPr>
        <w:rPr>
          <w:rFonts w:cs="Calibri"/>
        </w:rPr>
      </w:pPr>
    </w:p>
    <w:p w:rsidR="00B54646" w:rsidRDefault="00B54646" w:rsidP="00B54646">
      <w:pPr>
        <w:rPr>
          <w:rFonts w:cs="Calibri"/>
        </w:rPr>
      </w:pPr>
      <w:r w:rsidRPr="003E5BEC">
        <w:rPr>
          <w:rFonts w:cs="Calibri"/>
        </w:rPr>
        <w:t>The responsibility of looking after the lamps lay specifically with Aaron and his sons. The next two chapters continue by explaining further aspects of the priestly attire (</w:t>
      </w:r>
      <w:r w:rsidR="003E5BEC">
        <w:rPr>
          <w:rFonts w:cs="Calibri"/>
        </w:rPr>
        <w:t xml:space="preserve">Exodus </w:t>
      </w:r>
      <w:r w:rsidRPr="003E5BEC">
        <w:rPr>
          <w:rFonts w:cs="Calibri"/>
        </w:rPr>
        <w:t>28), their consecration and aspects of their role (</w:t>
      </w:r>
      <w:r w:rsidR="003E5BEC">
        <w:rPr>
          <w:rFonts w:cs="Calibri"/>
        </w:rPr>
        <w:t xml:space="preserve">Exodus </w:t>
      </w:r>
      <w:r w:rsidRPr="003E5BEC">
        <w:rPr>
          <w:rFonts w:cs="Calibri"/>
        </w:rPr>
        <w:t>29). Yet, before all of that, Aaron and his sons are given the responsibility of keeping the lamps alight.</w:t>
      </w:r>
    </w:p>
    <w:p w:rsidR="00F4443E" w:rsidRPr="003E5BEC" w:rsidRDefault="00F4443E" w:rsidP="00B54646">
      <w:pPr>
        <w:rPr>
          <w:rFonts w:cs="Calibri"/>
        </w:rPr>
      </w:pPr>
    </w:p>
    <w:p w:rsidR="00B54646" w:rsidRPr="008B09B3" w:rsidRDefault="00B54646" w:rsidP="00B54646">
      <w:pPr>
        <w:rPr>
          <w:rFonts w:cs="Calibri"/>
        </w:rPr>
      </w:pPr>
      <w:r w:rsidRPr="008B09B3">
        <w:rPr>
          <w:rFonts w:cs="Calibri"/>
        </w:rPr>
        <w:lastRenderedPageBreak/>
        <w:t>This is teaching us an important principle about the priesthood; their primary responsibility was the Word of God and not on sacrifice and offering:</w:t>
      </w:r>
    </w:p>
    <w:p w:rsidR="003E5BEC" w:rsidRPr="008B09B3" w:rsidRDefault="003E5BEC" w:rsidP="00B54646">
      <w:pPr>
        <w:rPr>
          <w:rFonts w:cs="Calibri"/>
        </w:rPr>
      </w:pPr>
    </w:p>
    <w:p w:rsidR="00B54646" w:rsidRPr="001E4F79" w:rsidRDefault="00B54646" w:rsidP="003E4383">
      <w:pPr>
        <w:pStyle w:val="Quote"/>
        <w:rPr>
          <w:b/>
          <w:bCs/>
          <w:color w:val="800000"/>
          <w:sz w:val="16"/>
        </w:rPr>
      </w:pPr>
      <w:r w:rsidRPr="001E4F79">
        <w:t xml:space="preserve">For </w:t>
      </w:r>
      <w:r w:rsidRPr="001E4F79">
        <w:rPr>
          <w:u w:val="single"/>
        </w:rPr>
        <w:t>the priest</w:t>
      </w:r>
      <w:r w:rsidR="000E2CE6">
        <w:rPr>
          <w:u w:val="single"/>
        </w:rPr>
        <w:t>’</w:t>
      </w:r>
      <w:r w:rsidRPr="001E4F79">
        <w:rPr>
          <w:u w:val="single"/>
        </w:rPr>
        <w:t>s lips</w:t>
      </w:r>
      <w:r w:rsidRPr="001E4F79">
        <w:t xml:space="preserve"> should </w:t>
      </w:r>
      <w:r w:rsidRPr="001E4F79">
        <w:rPr>
          <w:b/>
        </w:rPr>
        <w:t>keep knowledge</w:t>
      </w:r>
      <w:r w:rsidRPr="001E4F79">
        <w:t xml:space="preserve">, and they should </w:t>
      </w:r>
      <w:r w:rsidRPr="001E4F79">
        <w:rPr>
          <w:b/>
        </w:rPr>
        <w:t>seek the law</w:t>
      </w:r>
      <w:r w:rsidRPr="001E4F79">
        <w:t xml:space="preserve"> at his mouth: for he </w:t>
      </w:r>
      <w:r w:rsidRPr="001E4F79">
        <w:rPr>
          <w:color w:val="808080"/>
        </w:rPr>
        <w:t>[</w:t>
      </w:r>
      <w:r w:rsidRPr="001E4F79">
        <w:rPr>
          <w:iCs/>
          <w:color w:val="808080"/>
        </w:rPr>
        <w:t>is</w:t>
      </w:r>
      <w:r w:rsidRPr="001E4F79">
        <w:rPr>
          <w:color w:val="808080"/>
        </w:rPr>
        <w:t>]</w:t>
      </w:r>
      <w:r w:rsidRPr="001E4F79">
        <w:t xml:space="preserve"> the</w:t>
      </w:r>
      <w:r w:rsidR="003E5BEC">
        <w:t xml:space="preserve"> messenger of the Lord of hosts.</w:t>
      </w:r>
      <w:r w:rsidRPr="001E4F79">
        <w:t xml:space="preserve"> </w:t>
      </w:r>
      <w:r w:rsidR="003E5BEC">
        <w:t>Mal 2:</w:t>
      </w:r>
      <w:r w:rsidRPr="001E4F79">
        <w:t>7</w:t>
      </w:r>
      <w:r w:rsidR="003E4383">
        <w:t xml:space="preserve"> (KJV)</w:t>
      </w:r>
      <w:r>
        <w:rPr>
          <w:rStyle w:val="FootnoteReference"/>
          <w:rFonts w:cstheme="minorHAnsi"/>
          <w:sz w:val="20"/>
          <w:szCs w:val="20"/>
        </w:rPr>
        <w:footnoteReference w:id="5"/>
      </w:r>
    </w:p>
    <w:p w:rsidR="003E5BEC" w:rsidRPr="008B09B3" w:rsidRDefault="003E5BEC" w:rsidP="00B54646">
      <w:pPr>
        <w:rPr>
          <w:rFonts w:cs="Calibri"/>
        </w:rPr>
      </w:pPr>
    </w:p>
    <w:p w:rsidR="00B54646" w:rsidRPr="008B09B3" w:rsidRDefault="00B54646" w:rsidP="00B54646">
      <w:pPr>
        <w:rPr>
          <w:rFonts w:cs="Calibri"/>
        </w:rPr>
      </w:pPr>
      <w:r w:rsidRPr="008B09B3">
        <w:rPr>
          <w:rFonts w:cs="Calibri"/>
        </w:rPr>
        <w:t>If the priests correctly taught the law, then they would not need anywhere near as many sacrifices! This is why Hosea says:</w:t>
      </w:r>
    </w:p>
    <w:p w:rsidR="003E4383" w:rsidRPr="008B09B3" w:rsidRDefault="003E4383" w:rsidP="00B54646">
      <w:pPr>
        <w:rPr>
          <w:rFonts w:cs="Calibri"/>
        </w:rPr>
      </w:pPr>
    </w:p>
    <w:p w:rsidR="00B54646" w:rsidRPr="001E4F79" w:rsidRDefault="00B54646" w:rsidP="003E4383">
      <w:pPr>
        <w:pStyle w:val="Quote"/>
        <w:rPr>
          <w:b/>
          <w:bCs/>
          <w:color w:val="800000"/>
          <w:sz w:val="16"/>
        </w:rPr>
      </w:pPr>
      <w:proofErr w:type="gramStart"/>
      <w:r w:rsidRPr="001E4F79">
        <w:t xml:space="preserve">For I desired mercy, and </w:t>
      </w:r>
      <w:r w:rsidRPr="001E4F79">
        <w:rPr>
          <w:b/>
        </w:rPr>
        <w:t>not sacrifice</w:t>
      </w:r>
      <w:r w:rsidRPr="001E4F79">
        <w:t xml:space="preserve">; and </w:t>
      </w:r>
      <w:r w:rsidRPr="001E4F79">
        <w:rPr>
          <w:u w:val="single"/>
        </w:rPr>
        <w:t>the knowledge of God</w:t>
      </w:r>
      <w:r w:rsidR="003E4383">
        <w:t xml:space="preserve"> more than burnt offerings.</w:t>
      </w:r>
      <w:proofErr w:type="gramEnd"/>
      <w:r w:rsidR="003E4383">
        <w:t xml:space="preserve"> Hos 6:6 (KJV)</w:t>
      </w:r>
    </w:p>
    <w:p w:rsidR="00B54646" w:rsidRPr="008B09B3" w:rsidRDefault="00B54646" w:rsidP="00B54646">
      <w:pPr>
        <w:rPr>
          <w:rFonts w:cs="Calibri"/>
        </w:rPr>
      </w:pPr>
    </w:p>
    <w:p w:rsidR="00B54646" w:rsidRPr="008B09B3" w:rsidRDefault="00B54646" w:rsidP="00B54646">
      <w:pPr>
        <w:rPr>
          <w:rFonts w:cs="Calibri"/>
        </w:rPr>
      </w:pPr>
      <w:r w:rsidRPr="008B09B3">
        <w:rPr>
          <w:rFonts w:cs="Calibri"/>
        </w:rPr>
        <w:t>Likewise, the Word of God for us is our primary responsibility. We have a great privilege of forgiveness in the Lord Jesus Christ through prayer to our God (1 John 1</w:t>
      </w:r>
      <w:r w:rsidR="008B09B3" w:rsidRPr="008B09B3">
        <w:rPr>
          <w:rFonts w:cs="Calibri"/>
        </w:rPr>
        <w:t>:</w:t>
      </w:r>
      <w:r w:rsidRPr="008B09B3">
        <w:rPr>
          <w:rFonts w:cs="Calibri"/>
        </w:rPr>
        <w:t>9), much like Israel of old had in their offerings which pointed forward to Christ. Yet, like them, our primary focus should be on the Word of God which stands as an antidote to sin:</w:t>
      </w:r>
    </w:p>
    <w:p w:rsidR="008B09B3" w:rsidRPr="008B09B3" w:rsidRDefault="008B09B3" w:rsidP="00B54646">
      <w:pPr>
        <w:rPr>
          <w:rFonts w:cs="Calibri"/>
        </w:rPr>
      </w:pPr>
    </w:p>
    <w:p w:rsidR="00B54646" w:rsidRPr="00DE1D75" w:rsidRDefault="00B54646" w:rsidP="008B09B3">
      <w:pPr>
        <w:pStyle w:val="Quote"/>
        <w:rPr>
          <w:b/>
          <w:bCs/>
          <w:color w:val="800000"/>
          <w:sz w:val="16"/>
        </w:rPr>
      </w:pPr>
      <w:r w:rsidRPr="00DE1D75">
        <w:t>Thy word have I hid in mine heart, tha</w:t>
      </w:r>
      <w:r w:rsidR="008B09B3">
        <w:t>t I might not sin against thee.</w:t>
      </w:r>
      <w:r>
        <w:t xml:space="preserve"> Ps 119</w:t>
      </w:r>
      <w:r w:rsidR="008B09B3">
        <w:t>:</w:t>
      </w:r>
      <w:r>
        <w:t>11</w:t>
      </w:r>
      <w:r w:rsidR="008B09B3">
        <w:t xml:space="preserve"> (KJV)</w:t>
      </w:r>
    </w:p>
    <w:p w:rsidR="008B09B3" w:rsidRPr="008B09B3" w:rsidRDefault="008B09B3" w:rsidP="00B54646">
      <w:pPr>
        <w:rPr>
          <w:rFonts w:cs="Calibri"/>
        </w:rPr>
      </w:pPr>
    </w:p>
    <w:p w:rsidR="00B54646" w:rsidRPr="008B09B3" w:rsidRDefault="00B54646" w:rsidP="00B54646">
      <w:pPr>
        <w:rPr>
          <w:rFonts w:cs="Calibri"/>
        </w:rPr>
      </w:pPr>
      <w:r w:rsidRPr="008B09B3">
        <w:rPr>
          <w:rFonts w:cs="Calibri"/>
        </w:rPr>
        <w:t>If the word is in our hearts, then we won</w:t>
      </w:r>
      <w:r w:rsidR="000E2CE6">
        <w:rPr>
          <w:rFonts w:cs="Calibri"/>
        </w:rPr>
        <w:t>’</w:t>
      </w:r>
      <w:r w:rsidRPr="008B09B3">
        <w:rPr>
          <w:rFonts w:cs="Calibri"/>
        </w:rPr>
        <w:t>t sin and therefore require forgiveness. The priests were supposed to be Bible students and not sacrificial experts; we are supposed to be Bible students and not forgiveness experts.</w:t>
      </w:r>
    </w:p>
    <w:p w:rsidR="00B54646" w:rsidRPr="008B09B3" w:rsidRDefault="00B54646" w:rsidP="00B54646">
      <w:pPr>
        <w:rPr>
          <w:rFonts w:cs="Calibri"/>
        </w:rPr>
      </w:pPr>
    </w:p>
    <w:p w:rsidR="00B54646" w:rsidRDefault="00B54646" w:rsidP="00B54646">
      <w:pPr>
        <w:rPr>
          <w:rFonts w:cs="Calibri"/>
        </w:rPr>
      </w:pPr>
      <w:r w:rsidRPr="008B09B3">
        <w:rPr>
          <w:rFonts w:cs="Calibri"/>
        </w:rPr>
        <w:t>Principles from the Law:</w:t>
      </w:r>
    </w:p>
    <w:p w:rsidR="008B09B3" w:rsidRPr="008B09B3" w:rsidRDefault="008B09B3" w:rsidP="00B54646">
      <w:pPr>
        <w:rPr>
          <w:rFonts w:cs="Calibri"/>
        </w:rPr>
      </w:pPr>
    </w:p>
    <w:p w:rsidR="00B54646" w:rsidRPr="008B09B3" w:rsidRDefault="00B54646" w:rsidP="00936DFC">
      <w:pPr>
        <w:pStyle w:val="ListParagraph"/>
        <w:numPr>
          <w:ilvl w:val="0"/>
          <w:numId w:val="2"/>
        </w:numPr>
        <w:spacing w:after="0"/>
        <w:ind w:left="360"/>
        <w:rPr>
          <w:rFonts w:cs="Calibri"/>
          <w:szCs w:val="24"/>
        </w:rPr>
      </w:pPr>
      <w:r w:rsidRPr="008B09B3">
        <w:rPr>
          <w:rFonts w:cs="Calibri"/>
          <w:szCs w:val="24"/>
        </w:rPr>
        <w:t>The lampstand (the Word of God) was provided once by God, through men with the spirit of God</w:t>
      </w:r>
    </w:p>
    <w:p w:rsidR="00B54646" w:rsidRPr="008B09B3" w:rsidRDefault="00B54646" w:rsidP="00936DFC">
      <w:pPr>
        <w:pStyle w:val="ListParagraph"/>
        <w:numPr>
          <w:ilvl w:val="0"/>
          <w:numId w:val="2"/>
        </w:numPr>
        <w:spacing w:after="0"/>
        <w:ind w:left="360"/>
        <w:rPr>
          <w:rFonts w:cs="Calibri"/>
          <w:szCs w:val="24"/>
        </w:rPr>
      </w:pPr>
      <w:r w:rsidRPr="008B09B3">
        <w:rPr>
          <w:rFonts w:cs="Calibri"/>
          <w:szCs w:val="24"/>
        </w:rPr>
        <w:t>The oil however had to be brought continually to ensure that the lamps did not go out</w:t>
      </w:r>
    </w:p>
    <w:p w:rsidR="00B54646" w:rsidRPr="008B09B3" w:rsidRDefault="00B54646" w:rsidP="00936DFC">
      <w:pPr>
        <w:pStyle w:val="ListParagraph"/>
        <w:numPr>
          <w:ilvl w:val="0"/>
          <w:numId w:val="2"/>
        </w:numPr>
        <w:spacing w:after="0"/>
        <w:ind w:left="360"/>
        <w:rPr>
          <w:rFonts w:cs="Calibri"/>
          <w:szCs w:val="24"/>
        </w:rPr>
      </w:pPr>
      <w:r w:rsidRPr="008B09B3">
        <w:rPr>
          <w:rFonts w:cs="Calibri"/>
          <w:szCs w:val="24"/>
        </w:rPr>
        <w:t>It was a commandment for the oil to be brought, that really should be brought willingly</w:t>
      </w:r>
    </w:p>
    <w:p w:rsidR="00B54646" w:rsidRPr="008B09B3" w:rsidRDefault="00B54646" w:rsidP="00936DFC">
      <w:pPr>
        <w:pStyle w:val="ListParagraph"/>
        <w:numPr>
          <w:ilvl w:val="0"/>
          <w:numId w:val="2"/>
        </w:numPr>
        <w:spacing w:after="0"/>
        <w:ind w:left="360"/>
        <w:rPr>
          <w:rFonts w:cs="Calibri"/>
          <w:szCs w:val="24"/>
        </w:rPr>
      </w:pPr>
      <w:r w:rsidRPr="008B09B3">
        <w:rPr>
          <w:rFonts w:cs="Calibri"/>
          <w:szCs w:val="24"/>
        </w:rPr>
        <w:lastRenderedPageBreak/>
        <w:t xml:space="preserve">Although greater responsibility lay with the priests regarding the oil, every member of </w:t>
      </w:r>
      <w:r w:rsidR="000E2CE6">
        <w:rPr>
          <w:rFonts w:cs="Calibri"/>
          <w:szCs w:val="24"/>
        </w:rPr>
        <w:t>‘</w:t>
      </w:r>
      <w:r w:rsidRPr="008B09B3">
        <w:rPr>
          <w:rFonts w:cs="Calibri"/>
          <w:szCs w:val="24"/>
        </w:rPr>
        <w:t>the children of Israel</w:t>
      </w:r>
      <w:r w:rsidR="000E2CE6">
        <w:rPr>
          <w:rFonts w:cs="Calibri"/>
          <w:szCs w:val="24"/>
        </w:rPr>
        <w:t>’</w:t>
      </w:r>
      <w:r w:rsidRPr="008B09B3">
        <w:rPr>
          <w:rFonts w:cs="Calibri"/>
          <w:szCs w:val="24"/>
        </w:rPr>
        <w:t xml:space="preserve"> – male and female, were responsible for bringing their own oil</w:t>
      </w:r>
    </w:p>
    <w:p w:rsidR="00B54646" w:rsidRPr="008B09B3" w:rsidRDefault="00B54646" w:rsidP="008B09B3">
      <w:pPr>
        <w:rPr>
          <w:rFonts w:cs="Calibri"/>
        </w:rPr>
      </w:pPr>
    </w:p>
    <w:p w:rsidR="00B54646" w:rsidRPr="008B09B3" w:rsidRDefault="00B54646" w:rsidP="00B54646">
      <w:pPr>
        <w:rPr>
          <w:rFonts w:cs="Calibri"/>
        </w:rPr>
      </w:pPr>
      <w:r w:rsidRPr="008B09B3">
        <w:rPr>
          <w:rFonts w:cs="Calibri"/>
        </w:rPr>
        <w:t xml:space="preserve">It was the </w:t>
      </w:r>
      <w:r w:rsidRPr="008B09B3">
        <w:rPr>
          <w:rFonts w:cs="Calibri"/>
          <w:u w:val="single"/>
        </w:rPr>
        <w:t>responsibility</w:t>
      </w:r>
      <w:r w:rsidRPr="008B09B3">
        <w:rPr>
          <w:rFonts w:cs="Calibri"/>
        </w:rPr>
        <w:t xml:space="preserve"> of every single Israelite to ensure that the lampstand remained bright in the holy place, not just the priests. As we shall see, this is quite instructive for ecclesial life. It is not just the responsibility of the teaching brothers to apply themselves to the Word of God; it is the responsibility of every brother and every sister.</w:t>
      </w:r>
    </w:p>
    <w:p w:rsidR="00B54646" w:rsidRPr="008B09B3" w:rsidRDefault="00B54646" w:rsidP="00B54646">
      <w:pPr>
        <w:rPr>
          <w:rFonts w:cs="Calibri"/>
        </w:rPr>
      </w:pPr>
    </w:p>
    <w:p w:rsidR="00B54646" w:rsidRPr="008B09B3" w:rsidRDefault="00B54646" w:rsidP="00B54646">
      <w:pPr>
        <w:rPr>
          <w:rFonts w:ascii="Bradley Hand ITC" w:hAnsi="Bradley Hand ITC" w:cs="Calibri"/>
          <w:b/>
          <w:sz w:val="28"/>
        </w:rPr>
      </w:pPr>
      <w:r w:rsidRPr="008B09B3">
        <w:rPr>
          <w:rFonts w:ascii="Bradley Hand ITC" w:hAnsi="Bradley Hand ITC" w:cs="Calibri"/>
          <w:b/>
          <w:sz w:val="28"/>
        </w:rPr>
        <w:t xml:space="preserve">Oil – </w:t>
      </w:r>
      <w:r w:rsidR="000E2CE6">
        <w:rPr>
          <w:rFonts w:ascii="Bradley Hand ITC" w:hAnsi="Bradley Hand ITC" w:cs="Calibri"/>
          <w:b/>
          <w:sz w:val="28"/>
        </w:rPr>
        <w:t>‘</w:t>
      </w:r>
      <w:r w:rsidRPr="008B09B3">
        <w:rPr>
          <w:rFonts w:ascii="Bradley Hand ITC" w:hAnsi="Bradley Hand ITC" w:cs="Calibri"/>
          <w:b/>
          <w:sz w:val="28"/>
        </w:rPr>
        <w:t>understanding the will of the Lord</w:t>
      </w:r>
      <w:r w:rsidR="000E2CE6">
        <w:rPr>
          <w:rFonts w:ascii="Bradley Hand ITC" w:hAnsi="Bradley Hand ITC" w:cs="Calibri"/>
          <w:b/>
          <w:sz w:val="28"/>
        </w:rPr>
        <w:t>’</w:t>
      </w:r>
    </w:p>
    <w:p w:rsidR="00B54646" w:rsidRPr="008B09B3" w:rsidRDefault="008B09B3" w:rsidP="00B54646">
      <w:pPr>
        <w:rPr>
          <w:rFonts w:cs="Calibri"/>
        </w:rPr>
      </w:pPr>
      <w:r w:rsidRPr="008B09B3">
        <w:rPr>
          <w:rFonts w:cs="Calibri"/>
        </w:rPr>
        <w:t>In</w:t>
      </w:r>
      <w:r w:rsidR="00B54646" w:rsidRPr="008B09B3">
        <w:rPr>
          <w:rFonts w:cs="Calibri"/>
        </w:rPr>
        <w:t xml:space="preserve"> Matthew 25, we can see that the principles of the Law of Moses are picked up in the parable regarding </w:t>
      </w:r>
      <w:r w:rsidR="000E2CE6">
        <w:rPr>
          <w:rFonts w:cs="Calibri"/>
        </w:rPr>
        <w:t>‘</w:t>
      </w:r>
      <w:r w:rsidR="00B54646" w:rsidRPr="008B09B3">
        <w:rPr>
          <w:rFonts w:cs="Calibri"/>
        </w:rPr>
        <w:t>oil</w:t>
      </w:r>
      <w:r w:rsidR="000E2CE6">
        <w:rPr>
          <w:rFonts w:cs="Calibri"/>
        </w:rPr>
        <w:t>’</w:t>
      </w:r>
      <w:r w:rsidR="00B54646" w:rsidRPr="008B09B3">
        <w:rPr>
          <w:rFonts w:cs="Calibri"/>
        </w:rPr>
        <w:t xml:space="preserve">. </w:t>
      </w:r>
      <w:r w:rsidR="00B54646" w:rsidRPr="008B09B3">
        <w:t>By looking at the Law we have considered the correct OT Biblical connection, where oil is being used for the lampstand so that the light never goes out</w:t>
      </w:r>
      <w:r>
        <w:t>.</w:t>
      </w:r>
      <w:r w:rsidR="00B54646" w:rsidRPr="008B09B3">
        <w:rPr>
          <w:rStyle w:val="FootnoteReference"/>
        </w:rPr>
        <w:footnoteReference w:id="6"/>
      </w:r>
      <w:r w:rsidR="00B54646" w:rsidRPr="008B09B3">
        <w:t xml:space="preserve"> As each Israelite had to bring oil to the tabernacle to ensure that the lamp never went out in the holy place, so the wise virgins show the same diligence in preparing oil to ensure their individual lamp does not go out.</w:t>
      </w:r>
    </w:p>
    <w:p w:rsidR="00B54646" w:rsidRPr="008B09B3" w:rsidRDefault="00B54646" w:rsidP="00B54646"/>
    <w:p w:rsidR="00B54646" w:rsidRPr="008B09B3" w:rsidRDefault="00B54646" w:rsidP="00B54646">
      <w:r w:rsidRPr="008B09B3">
        <w:t>This is exactly the purpose of the oil in Matt</w:t>
      </w:r>
      <w:r w:rsidR="008B09B3">
        <w:t>hew</w:t>
      </w:r>
      <w:r w:rsidRPr="008B09B3">
        <w:t xml:space="preserve"> 25. Notice</w:t>
      </w:r>
      <w:r w:rsidR="008B09B3">
        <w:t>,</w:t>
      </w:r>
      <w:r w:rsidRPr="008B09B3">
        <w:t xml:space="preserve"> however, that the oil is beaten. Work has to be done to the oil to ensure that the lamp shines. As we have illustrated in our comments on v. 1, the lamp represents the Word of God. Therefore oil is connected with the Word of </w:t>
      </w:r>
      <w:r w:rsidR="008B09B3" w:rsidRPr="008B09B3">
        <w:t>God;</w:t>
      </w:r>
      <w:r w:rsidRPr="008B09B3">
        <w:t xml:space="preserve"> it is the quality that makes the light shine brightly.</w:t>
      </w:r>
    </w:p>
    <w:p w:rsidR="00B54646" w:rsidRPr="008B09B3" w:rsidRDefault="00B54646" w:rsidP="00B54646"/>
    <w:p w:rsidR="00B54646" w:rsidRDefault="00B54646" w:rsidP="00B54646">
      <w:r>
        <w:t xml:space="preserve">To understand more fully what is represented by the </w:t>
      </w:r>
      <w:r w:rsidR="000E2CE6">
        <w:t>‘</w:t>
      </w:r>
      <w:r>
        <w:t>oil</w:t>
      </w:r>
      <w:r w:rsidR="000E2CE6">
        <w:t>’</w:t>
      </w:r>
      <w:r>
        <w:t>, we find that the Spirit in Ephesians seems to give a commentary on the parable</w:t>
      </w:r>
      <w:r w:rsidR="00070B72">
        <w:t xml:space="preserve"> (Eph 5:14-17)</w:t>
      </w:r>
      <w:r>
        <w:t>. The language is lifted straight from Matthew 25</w:t>
      </w:r>
      <w:r w:rsidR="00070B72">
        <w:t>:</w:t>
      </w:r>
      <w:r>
        <w:t xml:space="preserve"> </w:t>
      </w:r>
      <w:r w:rsidR="000E2CE6">
        <w:t>‘</w:t>
      </w:r>
      <w:r>
        <w:t>sleepest</w:t>
      </w:r>
      <w:r w:rsidR="000E2CE6">
        <w:t>’</w:t>
      </w:r>
      <w:r>
        <w:t xml:space="preserve">, </w:t>
      </w:r>
      <w:r w:rsidR="000E2CE6">
        <w:t>‘</w:t>
      </w:r>
      <w:r>
        <w:t>arise</w:t>
      </w:r>
      <w:r w:rsidR="000E2CE6">
        <w:t>’</w:t>
      </w:r>
      <w:r>
        <w:t xml:space="preserve">, </w:t>
      </w:r>
      <w:r w:rsidR="000E2CE6">
        <w:t>‘</w:t>
      </w:r>
      <w:r>
        <w:t>fools</w:t>
      </w:r>
      <w:r w:rsidR="000E2CE6">
        <w:t>’</w:t>
      </w:r>
      <w:r>
        <w:t xml:space="preserve">, </w:t>
      </w:r>
      <w:r w:rsidR="000E2CE6">
        <w:t>‘</w:t>
      </w:r>
      <w:r>
        <w:t>wise</w:t>
      </w:r>
      <w:r w:rsidR="000E2CE6">
        <w:t>’</w:t>
      </w:r>
      <w:r>
        <w:t xml:space="preserve">. Yet, we ought to further establish a number of connections which solidify our </w:t>
      </w:r>
      <w:r w:rsidR="00070B72">
        <w:t>claim</w:t>
      </w:r>
      <w:r>
        <w:t xml:space="preserve"> that it is a commentary on the parable.</w:t>
      </w:r>
    </w:p>
    <w:p w:rsidR="00B54646" w:rsidRDefault="00B54646" w:rsidP="00B54646"/>
    <w:p w:rsidR="00B54646" w:rsidRDefault="00B54646" w:rsidP="00B54646">
      <w:r w:rsidRPr="00070B72">
        <w:t xml:space="preserve">The Spirit through Paul refers to the believers being </w:t>
      </w:r>
      <w:r w:rsidR="000E2CE6">
        <w:t>‘</w:t>
      </w:r>
      <w:r w:rsidRPr="00070B72">
        <w:t>light in the Lord</w:t>
      </w:r>
      <w:r w:rsidR="000E2CE6">
        <w:t>’</w:t>
      </w:r>
      <w:r w:rsidRPr="00070B72">
        <w:t xml:space="preserve">, much like the virgins taking their </w:t>
      </w:r>
      <w:r w:rsidR="000E2CE6">
        <w:t>‘</w:t>
      </w:r>
      <w:r w:rsidRPr="00070B72">
        <w:t>lamps</w:t>
      </w:r>
      <w:r w:rsidR="000E2CE6">
        <w:t>’</w:t>
      </w:r>
      <w:r w:rsidRPr="00070B72">
        <w:t xml:space="preserve"> (v. 1). </w:t>
      </w:r>
    </w:p>
    <w:p w:rsidR="005A4289" w:rsidRDefault="005A4289" w:rsidP="00B54646"/>
    <w:p w:rsidR="00B54646" w:rsidRDefault="00B54646" w:rsidP="00B54646">
      <w:r>
        <w:t xml:space="preserve"> </w:t>
      </w:r>
    </w:p>
    <w:tbl>
      <w:tblPr>
        <w:tblStyle w:val="LightList-Accent11"/>
        <w:tblW w:w="0" w:type="auto"/>
        <w:tblInd w:w="250" w:type="dxa"/>
        <w:tblLook w:val="04A0" w:firstRow="1" w:lastRow="0" w:firstColumn="1" w:lastColumn="0" w:noHBand="0" w:noVBand="1"/>
      </w:tblPr>
      <w:tblGrid>
        <w:gridCol w:w="3686"/>
        <w:gridCol w:w="3259"/>
      </w:tblGrid>
      <w:tr w:rsidR="00B54646" w:rsidRPr="005A4289" w:rsidTr="00001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4F81BD" w:themeColor="accent1"/>
              <w:bottom w:val="single" w:sz="8" w:space="0" w:color="4F81BD" w:themeColor="accent1"/>
            </w:tcBorders>
            <w:shd w:val="pct25" w:color="auto" w:fill="auto"/>
          </w:tcPr>
          <w:p w:rsidR="00B54646" w:rsidRPr="00001407" w:rsidRDefault="00B54646" w:rsidP="005A4289">
            <w:pPr>
              <w:jc w:val="left"/>
              <w:rPr>
                <w:sz w:val="24"/>
                <w:szCs w:val="24"/>
              </w:rPr>
            </w:pPr>
            <w:r w:rsidRPr="00001407">
              <w:rPr>
                <w:sz w:val="24"/>
                <w:szCs w:val="24"/>
              </w:rPr>
              <w:lastRenderedPageBreak/>
              <w:t>Ephesians 5</w:t>
            </w:r>
          </w:p>
        </w:tc>
        <w:tc>
          <w:tcPr>
            <w:tcW w:w="3259" w:type="dxa"/>
            <w:tcBorders>
              <w:top w:val="single" w:sz="8" w:space="0" w:color="4F81BD" w:themeColor="accent1"/>
              <w:bottom w:val="single" w:sz="8" w:space="0" w:color="4F81BD" w:themeColor="accent1"/>
            </w:tcBorders>
            <w:shd w:val="pct25" w:color="auto" w:fill="auto"/>
          </w:tcPr>
          <w:p w:rsidR="00B54646" w:rsidRPr="005A4289" w:rsidRDefault="00B54646" w:rsidP="005A4289">
            <w:pPr>
              <w:jc w:val="left"/>
              <w:cnfStyle w:val="100000000000" w:firstRow="1" w:lastRow="0" w:firstColumn="0" w:lastColumn="0" w:oddVBand="0" w:evenVBand="0" w:oddHBand="0" w:evenHBand="0" w:firstRowFirstColumn="0" w:firstRowLastColumn="0" w:lastRowFirstColumn="0" w:lastRowLastColumn="0"/>
              <w:rPr>
                <w:sz w:val="24"/>
                <w:szCs w:val="24"/>
              </w:rPr>
            </w:pPr>
            <w:r w:rsidRPr="00001407">
              <w:rPr>
                <w:sz w:val="24"/>
                <w:szCs w:val="24"/>
              </w:rPr>
              <w:t>Ten Virgins (Matt</w:t>
            </w:r>
            <w:r w:rsidR="00161B7D" w:rsidRPr="00001407">
              <w:rPr>
                <w:sz w:val="24"/>
                <w:szCs w:val="24"/>
              </w:rPr>
              <w:t>hew</w:t>
            </w:r>
            <w:r w:rsidRPr="00001407">
              <w:rPr>
                <w:sz w:val="24"/>
                <w:szCs w:val="24"/>
              </w:rPr>
              <w:t xml:space="preserve"> 25)</w:t>
            </w:r>
          </w:p>
        </w:tc>
      </w:tr>
      <w:tr w:rsidR="00B54646" w:rsidRPr="005A4289" w:rsidTr="005A4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b w:val="0"/>
                <w:sz w:val="24"/>
                <w:szCs w:val="24"/>
              </w:rPr>
              <w:t xml:space="preserve">now are ye </w:t>
            </w:r>
            <w:r w:rsidR="00B54646" w:rsidRPr="005A4289">
              <w:rPr>
                <w:sz w:val="24"/>
                <w:szCs w:val="24"/>
              </w:rPr>
              <w:t>light</w:t>
            </w:r>
            <w:r w:rsidR="00161B7D" w:rsidRPr="005A4289">
              <w:rPr>
                <w:b w:val="0"/>
                <w:sz w:val="24"/>
                <w:szCs w:val="24"/>
              </w:rPr>
              <w:t xml:space="preserve"> in the Lord</w:t>
            </w:r>
            <w:r>
              <w:rPr>
                <w:b w:val="0"/>
                <w:sz w:val="24"/>
                <w:szCs w:val="24"/>
              </w:rPr>
              <w:t>”</w:t>
            </w:r>
            <w:r w:rsidR="00161B7D" w:rsidRPr="005A4289">
              <w:rPr>
                <w:b w:val="0"/>
                <w:sz w:val="24"/>
                <w:szCs w:val="24"/>
              </w:rPr>
              <w:t xml:space="preserve"> (v</w:t>
            </w:r>
            <w:r w:rsidR="00B54646" w:rsidRPr="005A4289">
              <w:rPr>
                <w:b w:val="0"/>
                <w:sz w:val="24"/>
                <w:szCs w:val="24"/>
              </w:rPr>
              <w:t>. 8)</w:t>
            </w:r>
          </w:p>
        </w:tc>
        <w:tc>
          <w:tcPr>
            <w:tcW w:w="3259" w:type="dxa"/>
          </w:tcPr>
          <w:p w:rsidR="00B54646" w:rsidRPr="005A4289" w:rsidRDefault="000E2CE6" w:rsidP="005A4289">
            <w:pPr>
              <w:jc w:val="lef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B54646" w:rsidRPr="005A4289">
              <w:rPr>
                <w:sz w:val="24"/>
                <w:szCs w:val="24"/>
              </w:rPr>
              <w:t xml:space="preserve">took their </w:t>
            </w:r>
            <w:r w:rsidR="00B54646" w:rsidRPr="005A4289">
              <w:rPr>
                <w:b/>
                <w:sz w:val="24"/>
                <w:szCs w:val="24"/>
              </w:rPr>
              <w:t>lamps</w:t>
            </w:r>
            <w:r>
              <w:rPr>
                <w:sz w:val="24"/>
                <w:szCs w:val="24"/>
              </w:rPr>
              <w:t>”</w:t>
            </w:r>
            <w:r w:rsidR="00B54646" w:rsidRPr="005A4289">
              <w:rPr>
                <w:sz w:val="24"/>
                <w:szCs w:val="24"/>
              </w:rPr>
              <w:t xml:space="preserve"> </w:t>
            </w:r>
            <w:r w:rsidR="00161B7D" w:rsidRPr="005A4289">
              <w:rPr>
                <w:sz w:val="24"/>
                <w:szCs w:val="24"/>
              </w:rPr>
              <w:t>(v</w:t>
            </w:r>
            <w:r w:rsidR="00B54646" w:rsidRPr="005A4289">
              <w:rPr>
                <w:sz w:val="24"/>
                <w:szCs w:val="24"/>
              </w:rPr>
              <w:t>. 1)</w:t>
            </w:r>
          </w:p>
        </w:tc>
      </w:tr>
      <w:tr w:rsidR="00B54646" w:rsidRPr="005A4289" w:rsidTr="005A4289">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b w:val="0"/>
                <w:sz w:val="24"/>
                <w:szCs w:val="24"/>
              </w:rPr>
              <w:t xml:space="preserve">Awake thou that </w:t>
            </w:r>
            <w:r w:rsidR="00B54646" w:rsidRPr="005A4289">
              <w:rPr>
                <w:sz w:val="24"/>
                <w:szCs w:val="24"/>
              </w:rPr>
              <w:t>sleepest</w:t>
            </w:r>
            <w:r>
              <w:rPr>
                <w:b w:val="0"/>
                <w:sz w:val="24"/>
                <w:szCs w:val="24"/>
              </w:rPr>
              <w:t>”</w:t>
            </w:r>
            <w:r w:rsidR="00161B7D" w:rsidRPr="005A4289">
              <w:rPr>
                <w:b w:val="0"/>
                <w:sz w:val="24"/>
                <w:szCs w:val="24"/>
              </w:rPr>
              <w:t xml:space="preserve"> (v</w:t>
            </w:r>
            <w:r w:rsidR="00B54646" w:rsidRPr="005A4289">
              <w:rPr>
                <w:b w:val="0"/>
                <w:sz w:val="24"/>
                <w:szCs w:val="24"/>
              </w:rPr>
              <w:t>. 14)</w:t>
            </w:r>
          </w:p>
        </w:tc>
        <w:tc>
          <w:tcPr>
            <w:tcW w:w="3259" w:type="dxa"/>
          </w:tcPr>
          <w:p w:rsidR="00B54646" w:rsidRPr="005A4289" w:rsidRDefault="000E2CE6" w:rsidP="005A4289">
            <w:pPr>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B54646" w:rsidRPr="005A4289">
              <w:rPr>
                <w:sz w:val="24"/>
                <w:szCs w:val="24"/>
              </w:rPr>
              <w:t xml:space="preserve">all slumbered and </w:t>
            </w:r>
            <w:r w:rsidR="00B54646" w:rsidRPr="005A4289">
              <w:rPr>
                <w:b/>
                <w:sz w:val="24"/>
                <w:szCs w:val="24"/>
              </w:rPr>
              <w:t>slept</w:t>
            </w:r>
            <w:r>
              <w:rPr>
                <w:sz w:val="24"/>
                <w:szCs w:val="24"/>
              </w:rPr>
              <w:t>”</w:t>
            </w:r>
            <w:r w:rsidR="00B54646" w:rsidRPr="005A4289">
              <w:rPr>
                <w:sz w:val="24"/>
                <w:szCs w:val="24"/>
              </w:rPr>
              <w:t xml:space="preserve"> (v. 5)</w:t>
            </w:r>
          </w:p>
        </w:tc>
      </w:tr>
      <w:tr w:rsidR="00B54646" w:rsidRPr="005A4289" w:rsidTr="005A4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sz w:val="24"/>
                <w:szCs w:val="24"/>
              </w:rPr>
              <w:t>arise</w:t>
            </w:r>
            <w:r w:rsidR="00161B7D" w:rsidRPr="005A4289">
              <w:rPr>
                <w:b w:val="0"/>
                <w:sz w:val="24"/>
                <w:szCs w:val="24"/>
              </w:rPr>
              <w:t xml:space="preserve"> from the dead</w:t>
            </w:r>
            <w:r>
              <w:rPr>
                <w:b w:val="0"/>
                <w:sz w:val="24"/>
                <w:szCs w:val="24"/>
              </w:rPr>
              <w:t>”</w:t>
            </w:r>
            <w:r w:rsidR="00161B7D" w:rsidRPr="005A4289">
              <w:rPr>
                <w:b w:val="0"/>
                <w:sz w:val="24"/>
                <w:szCs w:val="24"/>
              </w:rPr>
              <w:t xml:space="preserve"> (v</w:t>
            </w:r>
            <w:r w:rsidR="00B54646" w:rsidRPr="005A4289">
              <w:rPr>
                <w:b w:val="0"/>
                <w:sz w:val="24"/>
                <w:szCs w:val="24"/>
              </w:rPr>
              <w:t>. 14)</w:t>
            </w:r>
          </w:p>
        </w:tc>
        <w:tc>
          <w:tcPr>
            <w:tcW w:w="3259" w:type="dxa"/>
          </w:tcPr>
          <w:p w:rsidR="00B54646" w:rsidRPr="005A4289" w:rsidRDefault="000E2CE6" w:rsidP="005A4289">
            <w:pPr>
              <w:jc w:val="lef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B54646" w:rsidRPr="005A4289">
              <w:rPr>
                <w:sz w:val="24"/>
                <w:szCs w:val="24"/>
              </w:rPr>
              <w:t xml:space="preserve">all those virgins </w:t>
            </w:r>
            <w:r w:rsidR="00B54646" w:rsidRPr="005A4289">
              <w:rPr>
                <w:b/>
                <w:sz w:val="24"/>
                <w:szCs w:val="24"/>
              </w:rPr>
              <w:t>arose</w:t>
            </w:r>
            <w:r>
              <w:rPr>
                <w:sz w:val="24"/>
                <w:szCs w:val="24"/>
              </w:rPr>
              <w:t>”</w:t>
            </w:r>
            <w:r w:rsidR="00161B7D" w:rsidRPr="005A4289">
              <w:rPr>
                <w:sz w:val="24"/>
                <w:szCs w:val="24"/>
              </w:rPr>
              <w:t xml:space="preserve"> (v</w:t>
            </w:r>
            <w:r w:rsidR="00B54646" w:rsidRPr="005A4289">
              <w:rPr>
                <w:sz w:val="24"/>
                <w:szCs w:val="24"/>
              </w:rPr>
              <w:t>. 7)</w:t>
            </w:r>
          </w:p>
        </w:tc>
      </w:tr>
      <w:tr w:rsidR="00B54646" w:rsidRPr="005A4289" w:rsidTr="005A4289">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b w:val="0"/>
                <w:i/>
                <w:sz w:val="24"/>
                <w:szCs w:val="24"/>
              </w:rPr>
              <w:t>walk circumspectly</w:t>
            </w:r>
            <w:r w:rsidR="00B54646" w:rsidRPr="005A4289">
              <w:rPr>
                <w:b w:val="0"/>
                <w:sz w:val="24"/>
                <w:szCs w:val="24"/>
              </w:rPr>
              <w:t xml:space="preserve">, not as </w:t>
            </w:r>
            <w:r w:rsidR="00B54646" w:rsidRPr="005A4289">
              <w:rPr>
                <w:sz w:val="24"/>
                <w:szCs w:val="24"/>
              </w:rPr>
              <w:t>fools</w:t>
            </w:r>
            <w:r w:rsidR="00B54646" w:rsidRPr="005A4289">
              <w:rPr>
                <w:b w:val="0"/>
                <w:sz w:val="24"/>
                <w:szCs w:val="24"/>
              </w:rPr>
              <w:t xml:space="preserve">, but as </w:t>
            </w:r>
            <w:r w:rsidR="00B54646" w:rsidRPr="005A4289">
              <w:rPr>
                <w:sz w:val="24"/>
                <w:szCs w:val="24"/>
              </w:rPr>
              <w:t>wise</w:t>
            </w:r>
            <w:r w:rsidR="00B54646" w:rsidRPr="005A4289">
              <w:rPr>
                <w:b w:val="0"/>
                <w:sz w:val="24"/>
                <w:szCs w:val="24"/>
              </w:rPr>
              <w:t>...be ye not un</w:t>
            </w:r>
            <w:r w:rsidR="00B54646" w:rsidRPr="005A4289">
              <w:rPr>
                <w:sz w:val="24"/>
                <w:szCs w:val="24"/>
              </w:rPr>
              <w:t>wise</w:t>
            </w:r>
            <w:r w:rsidR="00B54646" w:rsidRPr="005A4289">
              <w:rPr>
                <w:b w:val="0"/>
                <w:sz w:val="24"/>
                <w:szCs w:val="24"/>
              </w:rPr>
              <w:t xml:space="preserve">, but </w:t>
            </w:r>
            <w:r w:rsidR="00B54646" w:rsidRPr="005A4289">
              <w:rPr>
                <w:b w:val="0"/>
                <w:i/>
                <w:sz w:val="24"/>
                <w:szCs w:val="24"/>
              </w:rPr>
              <w:t>understanding the will of the Lord</w:t>
            </w:r>
            <w:r>
              <w:rPr>
                <w:b w:val="0"/>
                <w:sz w:val="24"/>
                <w:szCs w:val="24"/>
              </w:rPr>
              <w:t>”</w:t>
            </w:r>
            <w:r w:rsidR="00B54646" w:rsidRPr="005A4289">
              <w:rPr>
                <w:b w:val="0"/>
                <w:sz w:val="24"/>
                <w:szCs w:val="24"/>
              </w:rPr>
              <w:t xml:space="preserve"> </w:t>
            </w:r>
            <w:r w:rsidR="00161B7D" w:rsidRPr="005A4289">
              <w:rPr>
                <w:b w:val="0"/>
                <w:sz w:val="24"/>
                <w:szCs w:val="24"/>
              </w:rPr>
              <w:t>(v</w:t>
            </w:r>
            <w:r w:rsidR="00B54646" w:rsidRPr="005A4289">
              <w:rPr>
                <w:b w:val="0"/>
                <w:sz w:val="24"/>
                <w:szCs w:val="24"/>
              </w:rPr>
              <w:t>. 15)</w:t>
            </w:r>
          </w:p>
        </w:tc>
        <w:tc>
          <w:tcPr>
            <w:tcW w:w="3259" w:type="dxa"/>
          </w:tcPr>
          <w:p w:rsidR="00B54646" w:rsidRPr="005A4289" w:rsidRDefault="000E2CE6" w:rsidP="005A4289">
            <w:pPr>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B54646" w:rsidRPr="005A4289">
              <w:rPr>
                <w:sz w:val="24"/>
                <w:szCs w:val="24"/>
              </w:rPr>
              <w:t>five...</w:t>
            </w:r>
            <w:r w:rsidR="00B54646" w:rsidRPr="005A4289">
              <w:rPr>
                <w:b/>
                <w:sz w:val="24"/>
                <w:szCs w:val="24"/>
              </w:rPr>
              <w:t>wise</w:t>
            </w:r>
            <w:r w:rsidR="00B54646" w:rsidRPr="005A4289">
              <w:rPr>
                <w:sz w:val="24"/>
                <w:szCs w:val="24"/>
              </w:rPr>
              <w:t xml:space="preserve"> and five were </w:t>
            </w:r>
            <w:r w:rsidR="00B54646" w:rsidRPr="005A4289">
              <w:rPr>
                <w:b/>
                <w:sz w:val="24"/>
                <w:szCs w:val="24"/>
              </w:rPr>
              <w:t>foolish</w:t>
            </w:r>
            <w:r w:rsidR="00B54646" w:rsidRPr="005A4289">
              <w:rPr>
                <w:sz w:val="24"/>
                <w:szCs w:val="24"/>
              </w:rPr>
              <w:t>...</w:t>
            </w:r>
            <w:r w:rsidR="00B54646" w:rsidRPr="005A4289">
              <w:rPr>
                <w:i/>
                <w:sz w:val="24"/>
                <w:szCs w:val="24"/>
              </w:rPr>
              <w:t>took oil</w:t>
            </w:r>
            <w:r>
              <w:rPr>
                <w:sz w:val="24"/>
                <w:szCs w:val="24"/>
              </w:rPr>
              <w:t>”</w:t>
            </w:r>
            <w:r w:rsidR="00B54646" w:rsidRPr="005A4289">
              <w:rPr>
                <w:sz w:val="24"/>
                <w:szCs w:val="24"/>
              </w:rPr>
              <w:t xml:space="preserve"> (v</w:t>
            </w:r>
            <w:r w:rsidR="00161B7D" w:rsidRPr="005A4289">
              <w:rPr>
                <w:sz w:val="24"/>
                <w:szCs w:val="24"/>
              </w:rPr>
              <w:t>v</w:t>
            </w:r>
            <w:r w:rsidR="00B54646" w:rsidRPr="005A4289">
              <w:rPr>
                <w:sz w:val="24"/>
                <w:szCs w:val="24"/>
              </w:rPr>
              <w:t>. 2, 4)</w:t>
            </w:r>
          </w:p>
        </w:tc>
      </w:tr>
      <w:tr w:rsidR="00B54646" w:rsidRPr="005A4289" w:rsidTr="005A4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sz w:val="24"/>
                <w:szCs w:val="24"/>
              </w:rPr>
              <w:t>redeeming</w:t>
            </w:r>
            <w:r w:rsidR="00161B7D" w:rsidRPr="005A4289">
              <w:rPr>
                <w:b w:val="0"/>
                <w:sz w:val="24"/>
                <w:szCs w:val="24"/>
              </w:rPr>
              <w:t xml:space="preserve"> [G</w:t>
            </w:r>
            <w:r w:rsidR="00B54646" w:rsidRPr="005A4289">
              <w:rPr>
                <w:b w:val="0"/>
                <w:sz w:val="24"/>
                <w:szCs w:val="24"/>
              </w:rPr>
              <w:t xml:space="preserve">k. </w:t>
            </w:r>
            <w:proofErr w:type="spellStart"/>
            <w:r w:rsidR="00B54646" w:rsidRPr="005A4289">
              <w:rPr>
                <w:b w:val="0"/>
                <w:sz w:val="24"/>
                <w:szCs w:val="24"/>
              </w:rPr>
              <w:t>ex</w:t>
            </w:r>
            <w:r w:rsidR="00B54646" w:rsidRPr="005A4289">
              <w:rPr>
                <w:sz w:val="24"/>
                <w:szCs w:val="24"/>
              </w:rPr>
              <w:t>agora</w:t>
            </w:r>
            <w:r w:rsidR="00B54646" w:rsidRPr="005A4289">
              <w:rPr>
                <w:b w:val="0"/>
                <w:sz w:val="24"/>
                <w:szCs w:val="24"/>
              </w:rPr>
              <w:t>zomenoi</w:t>
            </w:r>
            <w:proofErr w:type="spellEnd"/>
            <w:r w:rsidR="00B54646" w:rsidRPr="005A4289">
              <w:rPr>
                <w:b w:val="0"/>
                <w:sz w:val="24"/>
                <w:szCs w:val="24"/>
              </w:rPr>
              <w:t>] the time</w:t>
            </w:r>
            <w:r>
              <w:rPr>
                <w:b w:val="0"/>
                <w:sz w:val="24"/>
                <w:szCs w:val="24"/>
              </w:rPr>
              <w:t>”</w:t>
            </w:r>
            <w:r w:rsidR="00B54646" w:rsidRPr="005A4289">
              <w:rPr>
                <w:b w:val="0"/>
                <w:sz w:val="24"/>
                <w:szCs w:val="24"/>
              </w:rPr>
              <w:t xml:space="preserve"> (v. 16)</w:t>
            </w:r>
          </w:p>
        </w:tc>
        <w:tc>
          <w:tcPr>
            <w:tcW w:w="3259" w:type="dxa"/>
          </w:tcPr>
          <w:p w:rsidR="00B54646" w:rsidRPr="005A4289" w:rsidRDefault="000E2CE6" w:rsidP="005A4289">
            <w:pPr>
              <w:jc w:val="lef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B54646" w:rsidRPr="005A4289">
              <w:rPr>
                <w:b/>
                <w:sz w:val="24"/>
                <w:szCs w:val="24"/>
              </w:rPr>
              <w:t>buy</w:t>
            </w:r>
            <w:r w:rsidR="00B54646" w:rsidRPr="005A4289">
              <w:rPr>
                <w:sz w:val="24"/>
                <w:szCs w:val="24"/>
              </w:rPr>
              <w:t xml:space="preserve"> [Gk. </w:t>
            </w:r>
            <w:proofErr w:type="spellStart"/>
            <w:r w:rsidR="00B54646" w:rsidRPr="005A4289">
              <w:rPr>
                <w:b/>
                <w:sz w:val="24"/>
                <w:szCs w:val="24"/>
              </w:rPr>
              <w:t>agora</w:t>
            </w:r>
            <w:r w:rsidR="00B54646" w:rsidRPr="005A4289">
              <w:rPr>
                <w:sz w:val="24"/>
                <w:szCs w:val="24"/>
              </w:rPr>
              <w:t>sate</w:t>
            </w:r>
            <w:proofErr w:type="spellEnd"/>
            <w:r w:rsidR="00B54646" w:rsidRPr="005A4289">
              <w:rPr>
                <w:sz w:val="24"/>
                <w:szCs w:val="24"/>
              </w:rPr>
              <w:t>] for yourselves</w:t>
            </w:r>
            <w:r>
              <w:rPr>
                <w:sz w:val="24"/>
                <w:szCs w:val="24"/>
              </w:rPr>
              <w:t>”</w:t>
            </w:r>
            <w:r w:rsidR="00B54646" w:rsidRPr="005A4289">
              <w:rPr>
                <w:sz w:val="24"/>
                <w:szCs w:val="24"/>
              </w:rPr>
              <w:t xml:space="preserve"> (v. 9)</w:t>
            </w:r>
          </w:p>
        </w:tc>
      </w:tr>
      <w:tr w:rsidR="00161B7D" w:rsidRPr="005A4289" w:rsidTr="005A4289">
        <w:tc>
          <w:tcPr>
            <w:cnfStyle w:val="001000000000" w:firstRow="0" w:lastRow="0" w:firstColumn="1" w:lastColumn="0" w:oddVBand="0" w:evenVBand="0" w:oddHBand="0" w:evenHBand="0" w:firstRowFirstColumn="0" w:firstRowLastColumn="0" w:lastRowFirstColumn="0" w:lastRowLastColumn="0"/>
            <w:tcW w:w="3686" w:type="dxa"/>
          </w:tcPr>
          <w:p w:rsidR="00161B7D" w:rsidRPr="005A4289" w:rsidRDefault="000E2CE6" w:rsidP="005A4289">
            <w:pPr>
              <w:jc w:val="left"/>
              <w:rPr>
                <w:b w:val="0"/>
                <w:sz w:val="24"/>
                <w:szCs w:val="24"/>
              </w:rPr>
            </w:pPr>
            <w:r>
              <w:rPr>
                <w:b w:val="0"/>
                <w:sz w:val="24"/>
                <w:szCs w:val="24"/>
              </w:rPr>
              <w:t>“</w:t>
            </w:r>
            <w:r w:rsidR="00161B7D" w:rsidRPr="005A4289">
              <w:rPr>
                <w:b w:val="0"/>
                <w:sz w:val="24"/>
                <w:szCs w:val="24"/>
              </w:rPr>
              <w:t>hath any inheritance in the kingdom of Christ and of God</w:t>
            </w:r>
            <w:r>
              <w:rPr>
                <w:b w:val="0"/>
                <w:sz w:val="24"/>
                <w:szCs w:val="24"/>
              </w:rPr>
              <w:t>”</w:t>
            </w:r>
            <w:r w:rsidR="00161B7D" w:rsidRPr="005A4289">
              <w:rPr>
                <w:b w:val="0"/>
                <w:sz w:val="24"/>
                <w:szCs w:val="24"/>
              </w:rPr>
              <w:t xml:space="preserve"> (v. 5)</w:t>
            </w:r>
          </w:p>
        </w:tc>
        <w:tc>
          <w:tcPr>
            <w:tcW w:w="3259" w:type="dxa"/>
          </w:tcPr>
          <w:p w:rsidR="00161B7D" w:rsidRPr="005A4289" w:rsidRDefault="000E2CE6" w:rsidP="005A4289">
            <w:pPr>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161B7D" w:rsidRPr="005A4289">
              <w:rPr>
                <w:sz w:val="24"/>
                <w:szCs w:val="24"/>
              </w:rPr>
              <w:t>I know you not</w:t>
            </w:r>
            <w:r>
              <w:rPr>
                <w:sz w:val="24"/>
                <w:szCs w:val="24"/>
              </w:rPr>
              <w:t>”</w:t>
            </w:r>
            <w:r w:rsidR="00161B7D" w:rsidRPr="005A4289">
              <w:rPr>
                <w:sz w:val="24"/>
                <w:szCs w:val="24"/>
              </w:rPr>
              <w:t xml:space="preserve"> (v. 2)</w:t>
            </w:r>
          </w:p>
        </w:tc>
      </w:tr>
      <w:tr w:rsidR="00B54646" w:rsidRPr="005A4289" w:rsidTr="005A4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sz w:val="24"/>
                <w:szCs w:val="24"/>
              </w:rPr>
              <w:t>filled</w:t>
            </w:r>
            <w:r w:rsidR="00B54646" w:rsidRPr="005A4289">
              <w:rPr>
                <w:b w:val="0"/>
                <w:sz w:val="24"/>
                <w:szCs w:val="24"/>
              </w:rPr>
              <w:t xml:space="preserve"> with the spirit</w:t>
            </w:r>
            <w:r>
              <w:rPr>
                <w:b w:val="0"/>
                <w:sz w:val="24"/>
                <w:szCs w:val="24"/>
              </w:rPr>
              <w:t>”</w:t>
            </w:r>
            <w:r w:rsidR="00B54646" w:rsidRPr="005A4289">
              <w:rPr>
                <w:b w:val="0"/>
                <w:sz w:val="24"/>
                <w:szCs w:val="24"/>
              </w:rPr>
              <w:t xml:space="preserve"> (v. 18 cp. v. 9)</w:t>
            </w:r>
          </w:p>
        </w:tc>
        <w:tc>
          <w:tcPr>
            <w:tcW w:w="3259" w:type="dxa"/>
          </w:tcPr>
          <w:p w:rsidR="00B54646" w:rsidRPr="005A4289" w:rsidRDefault="000E2CE6" w:rsidP="005A4289">
            <w:pPr>
              <w:jc w:val="lef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B54646" w:rsidRPr="005A4289">
              <w:rPr>
                <w:sz w:val="24"/>
                <w:szCs w:val="24"/>
              </w:rPr>
              <w:t>the wise took oil</w:t>
            </w:r>
            <w:r w:rsidR="00B54646" w:rsidRPr="005A4289">
              <w:rPr>
                <w:rStyle w:val="FootnoteReference"/>
                <w:sz w:val="24"/>
                <w:szCs w:val="24"/>
              </w:rPr>
              <w:footnoteReference w:id="7"/>
            </w:r>
            <w:r w:rsidR="00B54646" w:rsidRPr="005A4289">
              <w:rPr>
                <w:sz w:val="24"/>
                <w:szCs w:val="24"/>
              </w:rPr>
              <w:t xml:space="preserve"> in their vessels</w:t>
            </w:r>
            <w:r>
              <w:rPr>
                <w:sz w:val="24"/>
                <w:szCs w:val="24"/>
              </w:rPr>
              <w:t>”</w:t>
            </w:r>
            <w:r w:rsidR="00B54646" w:rsidRPr="005A4289">
              <w:rPr>
                <w:sz w:val="24"/>
                <w:szCs w:val="24"/>
              </w:rPr>
              <w:t xml:space="preserve"> (v. 3)</w:t>
            </w:r>
          </w:p>
        </w:tc>
      </w:tr>
      <w:tr w:rsidR="00B54646" w:rsidRPr="005A4289" w:rsidTr="005A4289">
        <w:tc>
          <w:tcPr>
            <w:cnfStyle w:val="001000000000" w:firstRow="0" w:lastRow="0" w:firstColumn="1" w:lastColumn="0" w:oddVBand="0" w:evenVBand="0" w:oddHBand="0" w:evenHBand="0" w:firstRowFirstColumn="0" w:firstRowLastColumn="0" w:lastRowFirstColumn="0" w:lastRowLastColumn="0"/>
            <w:tcW w:w="3686" w:type="dxa"/>
          </w:tcPr>
          <w:p w:rsidR="00B54646" w:rsidRPr="005A4289" w:rsidRDefault="000E2CE6" w:rsidP="005A4289">
            <w:pPr>
              <w:jc w:val="left"/>
              <w:rPr>
                <w:b w:val="0"/>
                <w:sz w:val="24"/>
                <w:szCs w:val="24"/>
              </w:rPr>
            </w:pPr>
            <w:r>
              <w:rPr>
                <w:b w:val="0"/>
                <w:sz w:val="24"/>
                <w:szCs w:val="24"/>
              </w:rPr>
              <w:t>“</w:t>
            </w:r>
            <w:r w:rsidR="00B54646" w:rsidRPr="005A4289">
              <w:rPr>
                <w:b w:val="0"/>
                <w:sz w:val="24"/>
                <w:szCs w:val="24"/>
              </w:rPr>
              <w:t>that he might present it to himself a glorious ecclesi</w:t>
            </w:r>
            <w:r w:rsidR="00161B7D" w:rsidRPr="005A4289">
              <w:rPr>
                <w:b w:val="0"/>
                <w:sz w:val="24"/>
                <w:szCs w:val="24"/>
              </w:rPr>
              <w:t>a...Christ and the ecclesia</w:t>
            </w:r>
            <w:r>
              <w:rPr>
                <w:b w:val="0"/>
                <w:sz w:val="24"/>
                <w:szCs w:val="24"/>
              </w:rPr>
              <w:t>”</w:t>
            </w:r>
            <w:r w:rsidR="00161B7D" w:rsidRPr="005A4289">
              <w:rPr>
                <w:b w:val="0"/>
                <w:sz w:val="24"/>
                <w:szCs w:val="24"/>
              </w:rPr>
              <w:t xml:space="preserve"> (vv</w:t>
            </w:r>
            <w:r w:rsidR="00B54646" w:rsidRPr="005A4289">
              <w:rPr>
                <w:b w:val="0"/>
                <w:sz w:val="24"/>
                <w:szCs w:val="24"/>
              </w:rPr>
              <w:t>. 27, 32)</w:t>
            </w:r>
          </w:p>
        </w:tc>
        <w:tc>
          <w:tcPr>
            <w:tcW w:w="3259" w:type="dxa"/>
          </w:tcPr>
          <w:p w:rsidR="00B54646" w:rsidRPr="005A4289" w:rsidRDefault="000E2CE6" w:rsidP="005A4289">
            <w:pPr>
              <w:jc w:val="lef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B54646" w:rsidRPr="005A4289">
              <w:rPr>
                <w:sz w:val="24"/>
                <w:szCs w:val="24"/>
              </w:rPr>
              <w:t xml:space="preserve">they that were ready went in with him to the </w:t>
            </w:r>
            <w:r w:rsidR="00B54646" w:rsidRPr="005A4289">
              <w:rPr>
                <w:b/>
                <w:sz w:val="24"/>
                <w:szCs w:val="24"/>
              </w:rPr>
              <w:t>marriage</w:t>
            </w:r>
            <w:r>
              <w:rPr>
                <w:sz w:val="24"/>
                <w:szCs w:val="24"/>
              </w:rPr>
              <w:t>”</w:t>
            </w:r>
            <w:r w:rsidR="00B54646" w:rsidRPr="005A4289">
              <w:rPr>
                <w:sz w:val="24"/>
                <w:szCs w:val="24"/>
              </w:rPr>
              <w:t xml:space="preserve"> (v. 10)</w:t>
            </w:r>
          </w:p>
        </w:tc>
      </w:tr>
    </w:tbl>
    <w:p w:rsidR="00ED57EC" w:rsidRDefault="00ED57EC" w:rsidP="00B54646"/>
    <w:p w:rsidR="00B54646" w:rsidRDefault="00161B7D" w:rsidP="00B54646">
      <w:r>
        <w:t>H</w:t>
      </w:r>
      <w:r w:rsidRPr="00070B72">
        <w:t xml:space="preserve">ow appropriate therefore that the argument in Ephesians 5 concludes on the subject of </w:t>
      </w:r>
      <w:r w:rsidRPr="00070B72">
        <w:rPr>
          <w:b/>
        </w:rPr>
        <w:t>marriage</w:t>
      </w:r>
      <w:r w:rsidRPr="00070B72">
        <w:t xml:space="preserve">. As with the parable of the virgins, they went in to the </w:t>
      </w:r>
      <w:r w:rsidR="000E2CE6">
        <w:t>‘</w:t>
      </w:r>
      <w:r w:rsidRPr="00070B72">
        <w:t>marriage</w:t>
      </w:r>
      <w:r w:rsidR="000E2CE6">
        <w:t>’</w:t>
      </w:r>
      <w:r w:rsidRPr="00070B72">
        <w:t xml:space="preserve"> (v. 10).</w:t>
      </w:r>
      <w:r>
        <w:t xml:space="preserve"> </w:t>
      </w:r>
      <w:r w:rsidR="00B54646">
        <w:t xml:space="preserve">Why? The Spirit through Paul alludes to the parable to teach the Ephesians, and us, of the ultimate consequence of walking </w:t>
      </w:r>
      <w:r w:rsidR="00B54646" w:rsidRPr="003D3C10">
        <w:rPr>
          <w:b/>
        </w:rPr>
        <w:t>wisely</w:t>
      </w:r>
      <w:r w:rsidR="00B54646">
        <w:t xml:space="preserve"> and not as </w:t>
      </w:r>
      <w:r w:rsidR="00B54646" w:rsidRPr="003D3C10">
        <w:rPr>
          <w:b/>
        </w:rPr>
        <w:t>fools</w:t>
      </w:r>
      <w:r w:rsidR="00B54646">
        <w:rPr>
          <w:b/>
        </w:rPr>
        <w:t xml:space="preserve"> </w:t>
      </w:r>
      <w:r>
        <w:t>(v</w:t>
      </w:r>
      <w:r w:rsidR="00B54646">
        <w:t>. 15). If they, and we, fail to keep this exhortation, our part in the marriage of the Lamb is endangered.</w:t>
      </w:r>
    </w:p>
    <w:p w:rsidR="00B54646" w:rsidRDefault="00B54646" w:rsidP="00B54646"/>
    <w:p w:rsidR="00B54646" w:rsidRDefault="00161B7D" w:rsidP="00B54646">
      <w:r>
        <w:t>Ephesians</w:t>
      </w:r>
      <w:r w:rsidR="00B54646">
        <w:t xml:space="preserve"> gives us an ide</w:t>
      </w:r>
      <w:r>
        <w:t>a of what the oil represents.</w:t>
      </w:r>
      <w:r w:rsidR="00B54646">
        <w:t xml:space="preserve"> After exhorting the believers to rise out of lethargy, v</w:t>
      </w:r>
      <w:r>
        <w:t>.</w:t>
      </w:r>
      <w:r w:rsidR="00B54646">
        <w:t xml:space="preserve"> 15 introduces the theme of </w:t>
      </w:r>
      <w:r w:rsidR="00B54646" w:rsidRPr="00161B7D">
        <w:t>wis</w:t>
      </w:r>
      <w:r w:rsidR="00B54646">
        <w:t xml:space="preserve">dom and </w:t>
      </w:r>
      <w:r w:rsidR="00B54646" w:rsidRPr="00161B7D">
        <w:t>fool</w:t>
      </w:r>
      <w:r w:rsidR="00B54646">
        <w:t xml:space="preserve">ishness, echoing the parable of the </w:t>
      </w:r>
      <w:r w:rsidR="00B54646" w:rsidRPr="00161B7D">
        <w:t>wise</w:t>
      </w:r>
      <w:r w:rsidR="00B54646">
        <w:t xml:space="preserve"> and </w:t>
      </w:r>
      <w:r w:rsidR="00B54646" w:rsidRPr="00161B7D">
        <w:t>fooli</w:t>
      </w:r>
      <w:r w:rsidR="00B54646">
        <w:t>sh virgins. In v</w:t>
      </w:r>
      <w:r>
        <w:t xml:space="preserve">. </w:t>
      </w:r>
      <w:r w:rsidR="00B54646">
        <w:t>16, Rotherham translates:</w:t>
      </w:r>
    </w:p>
    <w:p w:rsidR="00161B7D" w:rsidRDefault="00161B7D" w:rsidP="00B54646"/>
    <w:p w:rsidR="00B54646" w:rsidRPr="00C605C4" w:rsidRDefault="00B54646" w:rsidP="00161B7D">
      <w:pPr>
        <w:pStyle w:val="Quote"/>
      </w:pPr>
      <w:r w:rsidRPr="00C605C4">
        <w:rPr>
          <w:b/>
        </w:rPr>
        <w:t>Buying out</w:t>
      </w:r>
      <w:r w:rsidRPr="00C605C4">
        <w:t xml:space="preserve"> for </w:t>
      </w:r>
      <w:proofErr w:type="gramStart"/>
      <w:r w:rsidRPr="00C605C4">
        <w:t>yourselves</w:t>
      </w:r>
      <w:proofErr w:type="gramEnd"/>
      <w:r w:rsidRPr="00C605C4">
        <w:t xml:space="preserve"> the opportunity, because, the days, are evil</w:t>
      </w:r>
      <w:r w:rsidR="00161B7D">
        <w:t>.</w:t>
      </w:r>
      <w:r>
        <w:t xml:space="preserve"> </w:t>
      </w:r>
      <w:r w:rsidR="00161B7D">
        <w:t>Eph 5:</w:t>
      </w:r>
      <w:r>
        <w:t>16</w:t>
      </w:r>
      <w:r w:rsidR="008759A6">
        <w:t xml:space="preserve"> (Rotherham)</w:t>
      </w:r>
    </w:p>
    <w:p w:rsidR="00B54646" w:rsidRDefault="00B54646" w:rsidP="00B54646"/>
    <w:p w:rsidR="008759A6" w:rsidRDefault="00B54646" w:rsidP="00B54646">
      <w:r>
        <w:t xml:space="preserve">The </w:t>
      </w:r>
      <w:r w:rsidR="000E2CE6">
        <w:t>‘</w:t>
      </w:r>
      <w:r>
        <w:t>buying</w:t>
      </w:r>
      <w:r w:rsidR="000E2CE6">
        <w:t>’</w:t>
      </w:r>
      <w:r>
        <w:t xml:space="preserve"> provides us with another verbal connection with Matthew 25. So, the </w:t>
      </w:r>
      <w:r w:rsidRPr="00F53BA0">
        <w:rPr>
          <w:b/>
        </w:rPr>
        <w:t>wise</w:t>
      </w:r>
      <w:r>
        <w:t xml:space="preserve"> are those who </w:t>
      </w:r>
      <w:r w:rsidRPr="00F53BA0">
        <w:rPr>
          <w:u w:val="single"/>
        </w:rPr>
        <w:t>buy</w:t>
      </w:r>
      <w:r>
        <w:t xml:space="preserve"> up the opportunity, which by contrast the </w:t>
      </w:r>
      <w:r w:rsidRPr="00F53BA0">
        <w:rPr>
          <w:b/>
        </w:rPr>
        <w:t>fool</w:t>
      </w:r>
      <w:r>
        <w:t xml:space="preserve">ish do not do when they have </w:t>
      </w:r>
      <w:proofErr w:type="gramStart"/>
      <w:r>
        <w:t>a</w:t>
      </w:r>
      <w:proofErr w:type="gramEnd"/>
      <w:r>
        <w:t xml:space="preserve"> opportunity. This is where we get our </w:t>
      </w:r>
      <w:r>
        <w:lastRenderedPageBreak/>
        <w:t>first hint at what the oil represents.</w:t>
      </w:r>
      <w:r w:rsidR="008759A6">
        <w:t xml:space="preserve"> </w:t>
      </w:r>
      <w:r>
        <w:t>The redemption of time, or the buying up of opportunities, is explained in v. 17</w:t>
      </w:r>
      <w:r w:rsidR="00423B33">
        <w:t>,</w:t>
      </w:r>
      <w:r>
        <w:t xml:space="preserve"> </w:t>
      </w:r>
    </w:p>
    <w:p w:rsidR="008759A6" w:rsidRDefault="008759A6" w:rsidP="00B54646"/>
    <w:p w:rsidR="008759A6" w:rsidRDefault="00423B33" w:rsidP="00423B33">
      <w:pPr>
        <w:pStyle w:val="Quote"/>
      </w:pPr>
      <w:r>
        <w:t>For this cause do not become foolish, but have discernment as to what is the will of the Lord… Eph 5:17 (Rotherham)</w:t>
      </w:r>
    </w:p>
    <w:p w:rsidR="008759A6" w:rsidRDefault="008759A6" w:rsidP="00B54646"/>
    <w:p w:rsidR="00B54646" w:rsidRDefault="00B54646" w:rsidP="00B54646">
      <w:r w:rsidRPr="00030CFE">
        <w:t xml:space="preserve">The act of wisdom is the </w:t>
      </w:r>
      <w:r w:rsidR="000E2CE6">
        <w:t>‘</w:t>
      </w:r>
      <w:r w:rsidRPr="00030CFE">
        <w:t>understanding the will of the Lord</w:t>
      </w:r>
      <w:r w:rsidR="000E2CE6">
        <w:t>’</w:t>
      </w:r>
      <w:r w:rsidRPr="00030CFE">
        <w:t xml:space="preserve"> (v. 17). This is the parallel to the </w:t>
      </w:r>
      <w:r w:rsidR="000E2CE6">
        <w:t>‘</w:t>
      </w:r>
      <w:r w:rsidRPr="00030CFE">
        <w:t>oil</w:t>
      </w:r>
      <w:r w:rsidR="000E2CE6">
        <w:t>’</w:t>
      </w:r>
      <w:r w:rsidRPr="00030CFE">
        <w:t xml:space="preserve"> in Matthew 25, which the wise virgins have bought</w:t>
      </w:r>
      <w:r>
        <w:t xml:space="preserve"> up in their lifetimes, but the foolish have not. Proverbs teaches this same principle:</w:t>
      </w:r>
    </w:p>
    <w:p w:rsidR="00161B7D" w:rsidRDefault="00161B7D" w:rsidP="00B54646"/>
    <w:p w:rsidR="00B54646" w:rsidRPr="008759A6" w:rsidRDefault="00B54646" w:rsidP="008759A6">
      <w:pPr>
        <w:pStyle w:val="Quote"/>
      </w:pPr>
      <w:r w:rsidRPr="008759A6">
        <w:rPr>
          <w:b/>
        </w:rPr>
        <w:t>Buy</w:t>
      </w:r>
      <w:r w:rsidRPr="008759A6">
        <w:t xml:space="preserve"> the truth, and sell it not; wisdom, and instruction, and understanding</w:t>
      </w:r>
      <w:r w:rsidR="008759A6" w:rsidRPr="008759A6">
        <w:t>.</w:t>
      </w:r>
      <w:r w:rsidRPr="008759A6">
        <w:t xml:space="preserve"> </w:t>
      </w:r>
      <w:r w:rsidR="008759A6" w:rsidRPr="008759A6">
        <w:t>Prov 23:23</w:t>
      </w:r>
      <w:r w:rsidR="008759A6">
        <w:t xml:space="preserve"> (KJV)</w:t>
      </w:r>
    </w:p>
    <w:p w:rsidR="008759A6" w:rsidRPr="008759A6" w:rsidRDefault="008759A6" w:rsidP="008759A6">
      <w:pPr>
        <w:pStyle w:val="Quote"/>
        <w:rPr>
          <w:rFonts w:cstheme="minorHAnsi"/>
          <w:szCs w:val="20"/>
        </w:rPr>
      </w:pPr>
    </w:p>
    <w:p w:rsidR="00B54646" w:rsidRPr="008759A6" w:rsidRDefault="00B54646" w:rsidP="008759A6">
      <w:pPr>
        <w:pStyle w:val="Quote"/>
        <w:rPr>
          <w:rFonts w:cstheme="minorHAnsi"/>
          <w:szCs w:val="20"/>
        </w:rPr>
      </w:pPr>
      <w:r w:rsidRPr="008759A6">
        <w:rPr>
          <w:rFonts w:cstheme="minorHAnsi"/>
          <w:b/>
          <w:szCs w:val="20"/>
        </w:rPr>
        <w:t>Get</w:t>
      </w:r>
      <w:r w:rsidRPr="008759A6">
        <w:rPr>
          <w:rFonts w:cstheme="minorHAnsi"/>
          <w:szCs w:val="20"/>
        </w:rPr>
        <w:t xml:space="preserve"> wisdom, </w:t>
      </w:r>
      <w:r w:rsidRPr="008759A6">
        <w:rPr>
          <w:rFonts w:cstheme="minorHAnsi"/>
          <w:b/>
          <w:szCs w:val="20"/>
        </w:rPr>
        <w:t>get</w:t>
      </w:r>
      <w:r w:rsidRPr="008759A6">
        <w:rPr>
          <w:rFonts w:cstheme="minorHAnsi"/>
          <w:szCs w:val="20"/>
        </w:rPr>
        <w:t xml:space="preserve"> understanding: forget [</w:t>
      </w:r>
      <w:r w:rsidRPr="008759A6">
        <w:rPr>
          <w:rFonts w:cstheme="minorHAnsi"/>
          <w:iCs/>
          <w:szCs w:val="20"/>
        </w:rPr>
        <w:t>it</w:t>
      </w:r>
      <w:r w:rsidRPr="008759A6">
        <w:rPr>
          <w:rFonts w:cstheme="minorHAnsi"/>
          <w:szCs w:val="20"/>
        </w:rPr>
        <w:t>] not; neither decline from the words of my mouth...Wisdom [</w:t>
      </w:r>
      <w:r w:rsidRPr="008759A6">
        <w:rPr>
          <w:rFonts w:cstheme="minorHAnsi"/>
          <w:iCs/>
          <w:szCs w:val="20"/>
        </w:rPr>
        <w:t>is</w:t>
      </w:r>
      <w:r w:rsidRPr="008759A6">
        <w:rPr>
          <w:rFonts w:cstheme="minorHAnsi"/>
          <w:szCs w:val="20"/>
        </w:rPr>
        <w:t>] the principal thing; [</w:t>
      </w:r>
      <w:r w:rsidRPr="008759A6">
        <w:rPr>
          <w:rFonts w:cstheme="minorHAnsi"/>
          <w:iCs/>
          <w:szCs w:val="20"/>
        </w:rPr>
        <w:t>therefore</w:t>
      </w:r>
      <w:r w:rsidRPr="008759A6">
        <w:rPr>
          <w:rFonts w:cstheme="minorHAnsi"/>
          <w:szCs w:val="20"/>
        </w:rPr>
        <w:t xml:space="preserve">] </w:t>
      </w:r>
      <w:r w:rsidRPr="008759A6">
        <w:rPr>
          <w:rFonts w:cstheme="minorHAnsi"/>
          <w:b/>
          <w:szCs w:val="20"/>
        </w:rPr>
        <w:t>get</w:t>
      </w:r>
      <w:r w:rsidRPr="008759A6">
        <w:rPr>
          <w:rFonts w:cstheme="minorHAnsi"/>
          <w:szCs w:val="20"/>
        </w:rPr>
        <w:t xml:space="preserve"> wisdom: and with all thy </w:t>
      </w:r>
      <w:r w:rsidRPr="008759A6">
        <w:rPr>
          <w:rFonts w:cstheme="minorHAnsi"/>
          <w:b/>
          <w:szCs w:val="20"/>
        </w:rPr>
        <w:t>getting</w:t>
      </w:r>
      <w:r w:rsidRPr="008759A6">
        <w:rPr>
          <w:rFonts w:cstheme="minorHAnsi"/>
          <w:szCs w:val="20"/>
        </w:rPr>
        <w:t xml:space="preserve"> get understanding. Prov 4</w:t>
      </w:r>
      <w:r w:rsidR="008759A6" w:rsidRPr="008759A6">
        <w:rPr>
          <w:rFonts w:cstheme="minorHAnsi"/>
          <w:szCs w:val="20"/>
        </w:rPr>
        <w:t>:</w:t>
      </w:r>
      <w:r w:rsidRPr="008759A6">
        <w:rPr>
          <w:rFonts w:cstheme="minorHAnsi"/>
          <w:szCs w:val="20"/>
        </w:rPr>
        <w:t>7</w:t>
      </w:r>
      <w:r w:rsidR="008759A6">
        <w:rPr>
          <w:rFonts w:cstheme="minorHAnsi"/>
          <w:szCs w:val="20"/>
        </w:rPr>
        <w:t xml:space="preserve"> (KJV)</w:t>
      </w:r>
    </w:p>
    <w:p w:rsidR="00B54646" w:rsidRDefault="00B54646" w:rsidP="00B54646"/>
    <w:p w:rsidR="00B54646" w:rsidRDefault="00B54646" w:rsidP="00B54646">
      <w:r w:rsidRPr="00BA02F6">
        <w:rPr>
          <w:b/>
        </w:rPr>
        <w:t xml:space="preserve">The </w:t>
      </w:r>
      <w:r w:rsidR="000E2CE6">
        <w:rPr>
          <w:b/>
        </w:rPr>
        <w:t>‘</w:t>
      </w:r>
      <w:r w:rsidRPr="00BA02F6">
        <w:rPr>
          <w:b/>
        </w:rPr>
        <w:t>oil</w:t>
      </w:r>
      <w:r w:rsidR="000E2CE6">
        <w:rPr>
          <w:b/>
        </w:rPr>
        <w:t>’</w:t>
      </w:r>
      <w:r w:rsidRPr="00BA02F6">
        <w:rPr>
          <w:b/>
        </w:rPr>
        <w:t xml:space="preserve"> therefore represents the </w:t>
      </w:r>
      <w:r w:rsidR="000E2CE6">
        <w:rPr>
          <w:b/>
        </w:rPr>
        <w:t>‘</w:t>
      </w:r>
      <w:r w:rsidRPr="00BA02F6">
        <w:rPr>
          <w:b/>
        </w:rPr>
        <w:t>understanding of the will of the Lord</w:t>
      </w:r>
      <w:r w:rsidR="000E2CE6">
        <w:rPr>
          <w:b/>
        </w:rPr>
        <w:t>’</w:t>
      </w:r>
      <w:r w:rsidRPr="00030CFE">
        <w:t xml:space="preserve">. </w:t>
      </w:r>
      <w:r>
        <w:t>If we remember the purpose of the oil is to produce light, a verse in the psalms illustrates that we are on the right lines:</w:t>
      </w:r>
    </w:p>
    <w:p w:rsidR="008759A6" w:rsidRDefault="008759A6" w:rsidP="00B54646"/>
    <w:p w:rsidR="00B54646" w:rsidRPr="005C522E" w:rsidRDefault="00B54646" w:rsidP="00423B33">
      <w:pPr>
        <w:pStyle w:val="Quote"/>
      </w:pPr>
      <w:r w:rsidRPr="005C522E">
        <w:t xml:space="preserve">The </w:t>
      </w:r>
      <w:r w:rsidRPr="005C522E">
        <w:rPr>
          <w:b/>
        </w:rPr>
        <w:t>entrance of thy words</w:t>
      </w:r>
      <w:r w:rsidRPr="005C522E">
        <w:t xml:space="preserve"> </w:t>
      </w:r>
      <w:r w:rsidRPr="005C522E">
        <w:rPr>
          <w:u w:val="single"/>
        </w:rPr>
        <w:t>giveth light</w:t>
      </w:r>
      <w:r w:rsidRPr="005C522E">
        <w:t>; it giveth</w:t>
      </w:r>
      <w:r w:rsidR="00423B33">
        <w:t xml:space="preserve"> understanding unto the simple.</w:t>
      </w:r>
      <w:r>
        <w:t xml:space="preserve"> Ps</w:t>
      </w:r>
      <w:r w:rsidR="00423B33">
        <w:t xml:space="preserve"> 119:</w:t>
      </w:r>
      <w:r>
        <w:t>130</w:t>
      </w:r>
      <w:r w:rsidR="00423B33">
        <w:t xml:space="preserve"> (KJV)</w:t>
      </w:r>
    </w:p>
    <w:p w:rsidR="00B54646" w:rsidRDefault="00B54646" w:rsidP="00B54646"/>
    <w:p w:rsidR="00B54646" w:rsidRDefault="00B54646" w:rsidP="00B54646">
      <w:r>
        <w:t>The understanding in question is that of how to live the will of God in our daily lives.</w:t>
      </w:r>
      <w:r w:rsidRPr="00E567DE">
        <w:t xml:space="preserve"> </w:t>
      </w:r>
      <w:r>
        <w:t xml:space="preserve">The oil is paralleled with the </w:t>
      </w:r>
      <w:r w:rsidR="000E2CE6">
        <w:t>‘</w:t>
      </w:r>
      <w:r>
        <w:t>understanding of the will of the Lord</w:t>
      </w:r>
      <w:r w:rsidR="000E2CE6">
        <w:t>’</w:t>
      </w:r>
      <w:r>
        <w:t>, which enables us to</w:t>
      </w:r>
      <w:r w:rsidR="00423B33">
        <w:t xml:space="preserve"> walk circumspectly, as wise (v</w:t>
      </w:r>
      <w:r>
        <w:t>. 15).</w:t>
      </w:r>
    </w:p>
    <w:p w:rsidR="00B54646" w:rsidRDefault="00B54646" w:rsidP="00B54646"/>
    <w:p w:rsidR="00B54646" w:rsidRDefault="00B54646" w:rsidP="00B54646">
      <w:r>
        <w:t xml:space="preserve">If ever there was an exhortation to do personal Bible study/meditation, we find it in the </w:t>
      </w:r>
      <w:r w:rsidR="000E2CE6">
        <w:t>‘</w:t>
      </w:r>
      <w:r>
        <w:t>oil</w:t>
      </w:r>
      <w:r w:rsidR="000E2CE6">
        <w:t>’</w:t>
      </w:r>
      <w:r>
        <w:t xml:space="preserve"> of our parable, as Timothy was instructed:</w:t>
      </w:r>
    </w:p>
    <w:p w:rsidR="00423B33" w:rsidRDefault="00423B33" w:rsidP="00B54646"/>
    <w:p w:rsidR="00B54646" w:rsidRPr="002625AE" w:rsidRDefault="00B54646" w:rsidP="00423B33">
      <w:pPr>
        <w:pStyle w:val="Quote"/>
      </w:pPr>
      <w:r w:rsidRPr="002625AE">
        <w:t>Give diligence [Roth</w:t>
      </w:r>
      <w:r w:rsidR="00423B33">
        <w:t>erham</w:t>
      </w:r>
      <w:r w:rsidRPr="002625AE">
        <w:t xml:space="preserve">] to shew thyself approved unto God, a workman that needeth not to be ashamed, </w:t>
      </w:r>
      <w:r w:rsidRPr="002625AE">
        <w:rPr>
          <w:b/>
        </w:rPr>
        <w:t>rightly dividing the word of truth</w:t>
      </w:r>
      <w:r w:rsidR="00423B33">
        <w:t>.</w:t>
      </w:r>
      <w:r w:rsidRPr="002625AE">
        <w:t xml:space="preserve"> </w:t>
      </w:r>
      <w:r w:rsidR="00423B33">
        <w:t>2 Tim 2:15</w:t>
      </w:r>
    </w:p>
    <w:p w:rsidR="00423B33" w:rsidRDefault="00423B33" w:rsidP="00B54646"/>
    <w:p w:rsidR="00B54646" w:rsidRDefault="00B54646" w:rsidP="00B54646">
      <w:r>
        <w:lastRenderedPageBreak/>
        <w:t>Bible study doesn</w:t>
      </w:r>
      <w:r w:rsidR="000E2CE6">
        <w:t>’</w:t>
      </w:r>
      <w:r>
        <w:t>t necessarily have to involve Greek and Hebrew words, it should simply be consistent Bible reading, comparing passages (spiritual with spiritual) to understand the will of the Lord.</w:t>
      </w:r>
    </w:p>
    <w:p w:rsidR="00B54646" w:rsidRDefault="00B54646" w:rsidP="00B54646"/>
    <w:p w:rsidR="00B54646" w:rsidRDefault="00B54646" w:rsidP="00B54646">
      <w:r>
        <w:t xml:space="preserve">As effort had to be expended in the beating of the oil in Exodus, so likewise, we should give diligence, buying up the remaining time in getting wisdom and understanding the will of the Lord. </w:t>
      </w:r>
      <w:r w:rsidR="00423B33">
        <w:t>O</w:t>
      </w:r>
      <w:r>
        <w:t xml:space="preserve">il is </w:t>
      </w:r>
      <w:r w:rsidRPr="00F53C32">
        <w:rPr>
          <w:i/>
        </w:rPr>
        <w:t>treasured</w:t>
      </w:r>
      <w:r>
        <w:t xml:space="preserve"> in the house of the wise. Likewise, we should treat the word of God like treasure:</w:t>
      </w:r>
    </w:p>
    <w:p w:rsidR="00423B33" w:rsidRDefault="00423B33" w:rsidP="00B54646"/>
    <w:p w:rsidR="00B54646" w:rsidRPr="00423B33" w:rsidRDefault="00B54646" w:rsidP="00423B33">
      <w:pPr>
        <w:pStyle w:val="Quote"/>
      </w:pPr>
      <w:r w:rsidRPr="00423B33">
        <w:rPr>
          <w:szCs w:val="20"/>
        </w:rPr>
        <w:t>Yea, if thou criest after knowledge, [</w:t>
      </w:r>
      <w:r w:rsidRPr="00423B33">
        <w:rPr>
          <w:iCs/>
          <w:szCs w:val="20"/>
        </w:rPr>
        <w:t>and</w:t>
      </w:r>
      <w:r w:rsidRPr="00423B33">
        <w:rPr>
          <w:szCs w:val="20"/>
        </w:rPr>
        <w:t>] liftest up thy voice for understanding;</w:t>
      </w:r>
      <w:r w:rsidRPr="00423B33">
        <w:rPr>
          <w:iCs/>
          <w:vertAlign w:val="superscript"/>
        </w:rPr>
        <w:t xml:space="preserve"> </w:t>
      </w:r>
      <w:proofErr w:type="gramStart"/>
      <w:r w:rsidRPr="00423B33">
        <w:t>If</w:t>
      </w:r>
      <w:proofErr w:type="gramEnd"/>
      <w:r w:rsidRPr="00423B33">
        <w:t xml:space="preserve"> thou seekest her as silver, and searchest for her as [for] hid treasures; Then shalt thou understand the fear of the L</w:t>
      </w:r>
      <w:r w:rsidR="00423B33">
        <w:t>ord</w:t>
      </w:r>
      <w:r w:rsidRPr="00423B33">
        <w:t>, and find the knowledge of God. Prov 2</w:t>
      </w:r>
      <w:r w:rsidR="00423B33">
        <w:t>:</w:t>
      </w:r>
      <w:r w:rsidRPr="00423B33">
        <w:t>3</w:t>
      </w:r>
      <w:r w:rsidR="00423B33">
        <w:t>-</w:t>
      </w:r>
      <w:r w:rsidRPr="00423B33">
        <w:t>5</w:t>
      </w:r>
    </w:p>
    <w:p w:rsidR="00B54646" w:rsidRDefault="00B54646" w:rsidP="00B54646"/>
    <w:p w:rsidR="00B54646" w:rsidRPr="005C522E" w:rsidRDefault="00B54646" w:rsidP="00B54646">
      <w:pPr>
        <w:rPr>
          <w:rFonts w:cstheme="minorHAnsi"/>
          <w:sz w:val="20"/>
          <w:szCs w:val="20"/>
        </w:rPr>
      </w:pPr>
      <w:r>
        <w:t xml:space="preserve">To conclude our comments on the symbology of the </w:t>
      </w:r>
      <w:r w:rsidR="000E2CE6">
        <w:t>‘</w:t>
      </w:r>
      <w:r>
        <w:t>oil</w:t>
      </w:r>
      <w:r w:rsidR="000E2CE6">
        <w:t>’</w:t>
      </w:r>
      <w:r>
        <w:t xml:space="preserve"> it is worth referring back to Exodus 27 where the beaten </w:t>
      </w:r>
      <w:r w:rsidR="000E2CE6">
        <w:t>‘</w:t>
      </w:r>
      <w:r>
        <w:t>oil</w:t>
      </w:r>
      <w:r w:rsidR="000E2CE6">
        <w:t>’</w:t>
      </w:r>
      <w:r>
        <w:t xml:space="preserve"> ensured that the lampstand in the holy place shone brightly, and never went out. Likewise, our diligent, personal Bible study (</w:t>
      </w:r>
      <w:r w:rsidR="000E2CE6">
        <w:t>‘</w:t>
      </w:r>
      <w:r>
        <w:t>understanding the will of the Lord</w:t>
      </w:r>
      <w:r w:rsidR="000E2CE6">
        <w:t>’</w:t>
      </w:r>
      <w:r>
        <w:t xml:space="preserve">) should ensure that we </w:t>
      </w:r>
      <w:r w:rsidR="000E2CE6">
        <w:t>‘</w:t>
      </w:r>
      <w:r>
        <w:t>shine as lights in the world</w:t>
      </w:r>
      <w:r w:rsidR="000E2CE6">
        <w:t>’</w:t>
      </w:r>
      <w:r>
        <w:t xml:space="preserve"> (Phil 2</w:t>
      </w:r>
      <w:r w:rsidR="00423B33">
        <w:t>:</w:t>
      </w:r>
      <w:r>
        <w:t xml:space="preserve">15) in walking </w:t>
      </w:r>
      <w:r w:rsidRPr="00733FCA">
        <w:rPr>
          <w:b/>
        </w:rPr>
        <w:t>wise</w:t>
      </w:r>
      <w:r>
        <w:t xml:space="preserve">ly before our God. </w:t>
      </w:r>
    </w:p>
    <w:p w:rsidR="00B54646" w:rsidRDefault="00B54646" w:rsidP="00B54646"/>
    <w:p w:rsidR="00B54646" w:rsidRPr="00036C2B" w:rsidRDefault="00B54646" w:rsidP="00B54646">
      <w:r>
        <w:t xml:space="preserve">In summary, the wise, in their lifetime, make effort to </w:t>
      </w:r>
      <w:r w:rsidR="000E2CE6">
        <w:t>‘</w:t>
      </w:r>
      <w:r>
        <w:t>understood the will of the Lord</w:t>
      </w:r>
      <w:r w:rsidR="000E2CE6">
        <w:t>’</w:t>
      </w:r>
      <w:r>
        <w:t xml:space="preserve"> so that they can walk in wisdom before the bridegroom </w:t>
      </w:r>
      <w:r w:rsidR="00423B33">
        <w:t>comes;</w:t>
      </w:r>
      <w:r>
        <w:t xml:space="preserve"> the fools on the other hand, have not. That is the </w:t>
      </w:r>
      <w:r>
        <w:rPr>
          <w:b/>
        </w:rPr>
        <w:t xml:space="preserve">key </w:t>
      </w:r>
      <w:r>
        <w:t>distinction.</w:t>
      </w:r>
    </w:p>
    <w:p w:rsidR="00B54646" w:rsidRDefault="00B54646" w:rsidP="00B54646">
      <w:pPr>
        <w:rPr>
          <w:rFonts w:ascii="Calibri" w:hAnsi="Calibri" w:cs="Calibri"/>
        </w:rPr>
      </w:pPr>
    </w:p>
    <w:p w:rsidR="00B54646" w:rsidRPr="000A2FAA" w:rsidRDefault="00B54646" w:rsidP="00B54646">
      <w:pPr>
        <w:rPr>
          <w:rFonts w:ascii="Bradley Hand ITC" w:hAnsi="Bradley Hand ITC" w:cs="Calibri"/>
          <w:b/>
          <w:sz w:val="28"/>
        </w:rPr>
      </w:pPr>
      <w:r w:rsidRPr="000A2FAA">
        <w:rPr>
          <w:rFonts w:ascii="Bradley Hand ITC" w:hAnsi="Bradley Hand ITC" w:cs="Calibri"/>
          <w:b/>
          <w:sz w:val="28"/>
        </w:rPr>
        <w:t>Christ in Gethsemane</w:t>
      </w:r>
    </w:p>
    <w:p w:rsidR="00B54646" w:rsidRDefault="00B54646" w:rsidP="00B54646">
      <w:r>
        <w:t>We find an example of this principle at work in Matthew 26 with the Lord Jesus. We join the Lord Jesus, two days after he has taught his disciples about their need for oil in the parable of the virgins (</w:t>
      </w:r>
      <w:r w:rsidR="000A2FAA">
        <w:t xml:space="preserve">Matt </w:t>
      </w:r>
      <w:r>
        <w:t>26</w:t>
      </w:r>
      <w:r w:rsidR="000A2FAA">
        <w:t>:</w:t>
      </w:r>
      <w:r>
        <w:t>2). Ironically, the disciples are sleeping (v. 40) and not watching (v. 41).</w:t>
      </w:r>
    </w:p>
    <w:p w:rsidR="00B54646" w:rsidRDefault="00B54646" w:rsidP="00B54646"/>
    <w:p w:rsidR="00B54646" w:rsidRDefault="00B54646" w:rsidP="00B54646">
      <w:r w:rsidRPr="000A2FAA">
        <w:t xml:space="preserve">Recalling the </w:t>
      </w:r>
      <w:r w:rsidR="000E2CE6">
        <w:t>‘</w:t>
      </w:r>
      <w:r w:rsidRPr="000A2FAA">
        <w:t>oil olive</w:t>
      </w:r>
      <w:r w:rsidR="000E2CE6">
        <w:t>’</w:t>
      </w:r>
      <w:r w:rsidRPr="000A2FAA">
        <w:t xml:space="preserve"> under the Law we notice that the Lord is on the Mount of </w:t>
      </w:r>
      <w:r w:rsidRPr="000A2FAA">
        <w:rPr>
          <w:b/>
        </w:rPr>
        <w:t xml:space="preserve">Olives, </w:t>
      </w:r>
      <w:r w:rsidRPr="000A2FAA">
        <w:t>in Gethsemane</w:t>
      </w:r>
      <w:r w:rsidR="000A2FAA">
        <w:t xml:space="preserve"> (vv. 30, 36)</w:t>
      </w:r>
      <w:r w:rsidRPr="000A2FAA">
        <w:t xml:space="preserve">. Gethsemane means </w:t>
      </w:r>
      <w:r w:rsidR="000E2CE6">
        <w:t>‘</w:t>
      </w:r>
      <w:proofErr w:type="gramStart"/>
      <w:r w:rsidRPr="000A2FAA">
        <w:t>press</w:t>
      </w:r>
      <w:r w:rsidR="000E2CE6">
        <w:t>’</w:t>
      </w:r>
      <w:proofErr w:type="gramEnd"/>
      <w:r w:rsidRPr="000A2FAA">
        <w:t xml:space="preserve"> of </w:t>
      </w:r>
      <w:r w:rsidR="000E2CE6">
        <w:t>‘</w:t>
      </w:r>
      <w:r w:rsidRPr="000A2FAA">
        <w:t>oil</w:t>
      </w:r>
      <w:r w:rsidR="000E2CE6">
        <w:t>’</w:t>
      </w:r>
      <w:r w:rsidR="000A2FAA">
        <w:t>.</w:t>
      </w:r>
      <w:r w:rsidRPr="000A2FAA">
        <w:rPr>
          <w:rStyle w:val="FootnoteReference"/>
        </w:rPr>
        <w:footnoteReference w:id="8"/>
      </w:r>
      <w:r w:rsidRPr="000A2FAA">
        <w:t xml:space="preserve"> As the oil was beaten under the Law; so the Lord</w:t>
      </w:r>
      <w:r w:rsidR="000E2CE6">
        <w:t>’</w:t>
      </w:r>
      <w:r w:rsidRPr="000A2FAA">
        <w:t xml:space="preserve">s trust in the Word of God was sorely tested. In amongst this suffering, the Lord Jesus </w:t>
      </w:r>
      <w:r w:rsidRPr="000A2FAA">
        <w:rPr>
          <w:u w:val="single"/>
        </w:rPr>
        <w:t>learned</w:t>
      </w:r>
      <w:r w:rsidRPr="000A2FAA">
        <w:t xml:space="preserve"> obedience (cp. Heb 5</w:t>
      </w:r>
      <w:r w:rsidR="000A2FAA">
        <w:t>:</w:t>
      </w:r>
      <w:r w:rsidRPr="000A2FAA">
        <w:t>7).</w:t>
      </w:r>
      <w:r>
        <w:t xml:space="preserve"> </w:t>
      </w:r>
    </w:p>
    <w:p w:rsidR="00B54646" w:rsidRDefault="00B54646" w:rsidP="00B54646">
      <w:r>
        <w:lastRenderedPageBreak/>
        <w:t xml:space="preserve">The Lord concludes </w:t>
      </w:r>
      <w:r w:rsidR="000E2CE6">
        <w:t>‘</w:t>
      </w:r>
      <w:r>
        <w:t xml:space="preserve">Thy </w:t>
      </w:r>
      <w:r w:rsidRPr="00B46130">
        <w:rPr>
          <w:b/>
        </w:rPr>
        <w:t>will</w:t>
      </w:r>
      <w:r>
        <w:t xml:space="preserve"> be done</w:t>
      </w:r>
      <w:r w:rsidR="000E2CE6">
        <w:t>’</w:t>
      </w:r>
      <w:r>
        <w:t xml:space="preserve">. The oil is pressed; the Lord Jesus understands the </w:t>
      </w:r>
      <w:r w:rsidRPr="00B46130">
        <w:rPr>
          <w:b/>
        </w:rPr>
        <w:t>will</w:t>
      </w:r>
      <w:r>
        <w:t xml:space="preserve"> of his Father and walks to his death in wisdom. How interesting it is then, that following his resurrection, when expounding the Scriptures on the road to Emmaus they say:</w:t>
      </w:r>
    </w:p>
    <w:p w:rsidR="000A2FAA" w:rsidRDefault="000A2FAA" w:rsidP="00B54646"/>
    <w:p w:rsidR="00B54646" w:rsidRPr="00030CFE" w:rsidRDefault="000A2FAA" w:rsidP="000A2FAA">
      <w:pPr>
        <w:pStyle w:val="Quote"/>
      </w:pPr>
      <w:r>
        <w:rPr>
          <w:lang w:val="en-US"/>
        </w:rPr>
        <w:t>…</w:t>
      </w:r>
      <w:r w:rsidR="00B54646" w:rsidRPr="00030CFE">
        <w:t xml:space="preserve">did not our heart </w:t>
      </w:r>
      <w:r w:rsidR="00B54646" w:rsidRPr="00030CFE">
        <w:rPr>
          <w:b/>
        </w:rPr>
        <w:t xml:space="preserve">burn </w:t>
      </w:r>
      <w:r w:rsidR="00B54646" w:rsidRPr="00030CFE">
        <w:t xml:space="preserve">within us, while he talked with us by the way, and while he </w:t>
      </w:r>
      <w:r w:rsidR="00B54646" w:rsidRPr="00030CFE">
        <w:rPr>
          <w:u w:val="single"/>
        </w:rPr>
        <w:t>opened to us the scriptures</w:t>
      </w:r>
      <w:r w:rsidR="00B54646" w:rsidRPr="00030CFE">
        <w:t>? Luke 24</w:t>
      </w:r>
      <w:r>
        <w:t>:</w:t>
      </w:r>
      <w:r w:rsidR="00B54646" w:rsidRPr="00030CFE">
        <w:t>32</w:t>
      </w:r>
    </w:p>
    <w:p w:rsidR="00B54646" w:rsidRPr="00030CFE" w:rsidRDefault="00B54646" w:rsidP="00B54646"/>
    <w:p w:rsidR="00B54646" w:rsidRDefault="00B54646" w:rsidP="00B54646">
      <w:r>
        <w:t>The Lord had been tested, and had understood the will of his Father, and so shone as the light of the world.</w:t>
      </w:r>
    </w:p>
    <w:p w:rsidR="00B54646" w:rsidRDefault="00B54646" w:rsidP="00B54646"/>
    <w:p w:rsidR="00B54646" w:rsidRPr="000A2FAA" w:rsidRDefault="000A2FAA" w:rsidP="00B54646">
      <w:pPr>
        <w:rPr>
          <w:rFonts w:ascii="Bradley Hand ITC" w:hAnsi="Bradley Hand ITC"/>
          <w:b/>
          <w:sz w:val="28"/>
        </w:rPr>
      </w:pPr>
      <w:r>
        <w:rPr>
          <w:rFonts w:ascii="Bradley Hand ITC" w:hAnsi="Bradley Hand ITC"/>
          <w:b/>
          <w:sz w:val="28"/>
        </w:rPr>
        <w:t>Conclusion</w:t>
      </w:r>
    </w:p>
    <w:p w:rsidR="00B54646" w:rsidRPr="000A2FAA" w:rsidRDefault="00B54646" w:rsidP="000A2FAA">
      <w:pPr>
        <w:rPr>
          <w:rFonts w:cs="Calibri"/>
        </w:rPr>
      </w:pPr>
      <w:r w:rsidRPr="000A2FAA">
        <w:rPr>
          <w:rFonts w:cs="Calibri"/>
        </w:rPr>
        <w:t>Principles from the Law:</w:t>
      </w:r>
    </w:p>
    <w:p w:rsidR="000A2FAA" w:rsidRPr="000A2FAA" w:rsidRDefault="000A2FAA" w:rsidP="000A2FAA">
      <w:pPr>
        <w:ind w:left="-360"/>
        <w:rPr>
          <w:rFonts w:cs="Calibri"/>
        </w:rPr>
      </w:pPr>
    </w:p>
    <w:p w:rsidR="00B54646" w:rsidRPr="000A2FAA" w:rsidRDefault="00B54646" w:rsidP="00936DFC">
      <w:pPr>
        <w:pStyle w:val="ListParagraph"/>
        <w:numPr>
          <w:ilvl w:val="0"/>
          <w:numId w:val="5"/>
        </w:numPr>
        <w:ind w:left="360"/>
        <w:rPr>
          <w:rFonts w:cs="Calibri"/>
        </w:rPr>
      </w:pPr>
      <w:r w:rsidRPr="000A2FAA">
        <w:rPr>
          <w:rFonts w:cs="Calibri"/>
        </w:rPr>
        <w:t>The lampstand (the Word of God) was provided once by God, through men with the spirit of God</w:t>
      </w:r>
    </w:p>
    <w:p w:rsidR="00B54646" w:rsidRPr="000A2FAA" w:rsidRDefault="00B54646" w:rsidP="00936DFC">
      <w:pPr>
        <w:pStyle w:val="ListParagraph"/>
        <w:numPr>
          <w:ilvl w:val="0"/>
          <w:numId w:val="5"/>
        </w:numPr>
        <w:ind w:left="360"/>
        <w:rPr>
          <w:rFonts w:cs="Calibri"/>
        </w:rPr>
      </w:pPr>
      <w:r w:rsidRPr="000A2FAA">
        <w:rPr>
          <w:rFonts w:cs="Calibri"/>
        </w:rPr>
        <w:t>The oil however had to be brought continually to ensure that the lamps did not go out</w:t>
      </w:r>
    </w:p>
    <w:p w:rsidR="00B54646" w:rsidRPr="000A2FAA" w:rsidRDefault="00B54646" w:rsidP="00936DFC">
      <w:pPr>
        <w:pStyle w:val="ListParagraph"/>
        <w:numPr>
          <w:ilvl w:val="0"/>
          <w:numId w:val="5"/>
        </w:numPr>
        <w:ind w:left="360"/>
        <w:rPr>
          <w:rFonts w:cs="Calibri"/>
        </w:rPr>
      </w:pPr>
      <w:r w:rsidRPr="000A2FAA">
        <w:rPr>
          <w:rFonts w:cs="Calibri"/>
        </w:rPr>
        <w:t>It was a commandment for the oil to b</w:t>
      </w:r>
      <w:r w:rsidR="00423B33" w:rsidRPr="000A2FAA">
        <w:rPr>
          <w:rFonts w:cs="Calibri"/>
        </w:rPr>
        <w:t>e brought; it</w:t>
      </w:r>
      <w:r w:rsidRPr="000A2FAA">
        <w:rPr>
          <w:rFonts w:cs="Calibri"/>
        </w:rPr>
        <w:t xml:space="preserve"> really should be brought willingly</w:t>
      </w:r>
    </w:p>
    <w:p w:rsidR="00B54646" w:rsidRPr="000A2FAA" w:rsidRDefault="00B54646" w:rsidP="00936DFC">
      <w:pPr>
        <w:pStyle w:val="ListParagraph"/>
        <w:numPr>
          <w:ilvl w:val="0"/>
          <w:numId w:val="5"/>
        </w:numPr>
        <w:ind w:left="360"/>
        <w:rPr>
          <w:rFonts w:cs="Calibri"/>
        </w:rPr>
      </w:pPr>
      <w:r w:rsidRPr="000A2FAA">
        <w:rPr>
          <w:rFonts w:cs="Calibri"/>
        </w:rPr>
        <w:t xml:space="preserve">Although greater responsibility lay with the priests regarding the oil, every member of </w:t>
      </w:r>
      <w:r w:rsidR="000E2CE6">
        <w:rPr>
          <w:rFonts w:cs="Calibri"/>
        </w:rPr>
        <w:t>‘</w:t>
      </w:r>
      <w:r w:rsidRPr="000A2FAA">
        <w:rPr>
          <w:rFonts w:cs="Calibri"/>
        </w:rPr>
        <w:t>the children of Israel</w:t>
      </w:r>
      <w:r w:rsidR="000E2CE6">
        <w:rPr>
          <w:rFonts w:cs="Calibri"/>
        </w:rPr>
        <w:t>’</w:t>
      </w:r>
      <w:r w:rsidRPr="000A2FAA">
        <w:rPr>
          <w:rFonts w:cs="Calibri"/>
        </w:rPr>
        <w:t xml:space="preserve"> – male and female, were responsible for bringing their own oil</w:t>
      </w:r>
    </w:p>
    <w:p w:rsidR="00B54646" w:rsidRPr="000A2FAA" w:rsidRDefault="00B54646" w:rsidP="000A2FAA">
      <w:pPr>
        <w:rPr>
          <w:rFonts w:cs="Calibri"/>
        </w:rPr>
      </w:pPr>
      <w:r w:rsidRPr="000A2FAA">
        <w:rPr>
          <w:rFonts w:cs="Calibri"/>
        </w:rPr>
        <w:t>The same principles apply:</w:t>
      </w:r>
    </w:p>
    <w:p w:rsidR="000A2FAA" w:rsidRPr="000A2FAA" w:rsidRDefault="000A2FAA" w:rsidP="000A2FAA">
      <w:pPr>
        <w:ind w:left="-360"/>
        <w:rPr>
          <w:rFonts w:cs="Calibri"/>
        </w:rPr>
      </w:pPr>
    </w:p>
    <w:p w:rsidR="00B54646" w:rsidRPr="000A2FAA" w:rsidRDefault="00B54646" w:rsidP="00936DFC">
      <w:pPr>
        <w:pStyle w:val="ListParagraph"/>
        <w:numPr>
          <w:ilvl w:val="0"/>
          <w:numId w:val="5"/>
        </w:numPr>
        <w:spacing w:after="0"/>
        <w:ind w:left="360"/>
        <w:rPr>
          <w:rFonts w:cs="Calibri"/>
          <w:szCs w:val="24"/>
        </w:rPr>
      </w:pPr>
      <w:r w:rsidRPr="000A2FAA">
        <w:rPr>
          <w:rFonts w:cs="Calibri"/>
          <w:szCs w:val="24"/>
        </w:rPr>
        <w:t>The Word of God has been provided by God, through men with the spirit of God</w:t>
      </w:r>
    </w:p>
    <w:p w:rsidR="00B54646" w:rsidRPr="000A2FAA" w:rsidRDefault="00B54646" w:rsidP="00936DFC">
      <w:pPr>
        <w:pStyle w:val="ListParagraph"/>
        <w:numPr>
          <w:ilvl w:val="0"/>
          <w:numId w:val="5"/>
        </w:numPr>
        <w:spacing w:after="0"/>
        <w:ind w:left="360"/>
        <w:rPr>
          <w:rFonts w:cs="Calibri"/>
          <w:szCs w:val="24"/>
        </w:rPr>
      </w:pPr>
      <w:r w:rsidRPr="000A2FAA">
        <w:rPr>
          <w:rFonts w:cs="Calibri"/>
          <w:szCs w:val="24"/>
        </w:rPr>
        <w:t xml:space="preserve">Our application </w:t>
      </w:r>
      <w:r w:rsidR="00423B33" w:rsidRPr="000A2FAA">
        <w:rPr>
          <w:rFonts w:cs="Calibri"/>
          <w:szCs w:val="24"/>
        </w:rPr>
        <w:t xml:space="preserve">(the oil) </w:t>
      </w:r>
      <w:r w:rsidRPr="000A2FAA">
        <w:rPr>
          <w:rFonts w:cs="Calibri"/>
          <w:szCs w:val="24"/>
        </w:rPr>
        <w:t>to the Word of God however has to be brought continually to ensure that we shine as lights in the world</w:t>
      </w:r>
    </w:p>
    <w:p w:rsidR="00B54646" w:rsidRPr="000A2FAA" w:rsidRDefault="00B54646" w:rsidP="00936DFC">
      <w:pPr>
        <w:pStyle w:val="ListParagraph"/>
        <w:numPr>
          <w:ilvl w:val="0"/>
          <w:numId w:val="5"/>
        </w:numPr>
        <w:spacing w:after="0"/>
        <w:ind w:left="360"/>
        <w:rPr>
          <w:rFonts w:cs="Calibri"/>
          <w:szCs w:val="24"/>
        </w:rPr>
      </w:pPr>
      <w:r w:rsidRPr="000A2FAA">
        <w:rPr>
          <w:rFonts w:cs="Calibri"/>
          <w:szCs w:val="24"/>
        </w:rPr>
        <w:t>We are commanded to apply ourselves to the Word of God and the work of the truth, yet really it should be brought willingly</w:t>
      </w:r>
    </w:p>
    <w:p w:rsidR="00B54646" w:rsidRPr="000A2FAA" w:rsidRDefault="00B54646" w:rsidP="00936DFC">
      <w:pPr>
        <w:pStyle w:val="ListParagraph"/>
        <w:numPr>
          <w:ilvl w:val="0"/>
          <w:numId w:val="5"/>
        </w:numPr>
        <w:spacing w:after="0"/>
        <w:ind w:left="360"/>
        <w:rPr>
          <w:rFonts w:cs="Calibri"/>
          <w:szCs w:val="24"/>
        </w:rPr>
      </w:pPr>
      <w:r w:rsidRPr="000A2FAA">
        <w:rPr>
          <w:rFonts w:cs="Calibri"/>
          <w:szCs w:val="24"/>
        </w:rPr>
        <w:t>Although greater responsibility lies with teachers in the ecclesia, every member of the ecclesia – male and female, are responsible for their personal application to the Word</w:t>
      </w:r>
    </w:p>
    <w:p w:rsidR="00B54646" w:rsidRPr="000A2FAA" w:rsidRDefault="00B54646" w:rsidP="00B54646">
      <w:pPr>
        <w:rPr>
          <w:rFonts w:cs="Calibri"/>
        </w:rPr>
      </w:pPr>
      <w:r w:rsidRPr="000A2FAA">
        <w:rPr>
          <w:rFonts w:cs="Calibri"/>
        </w:rPr>
        <w:lastRenderedPageBreak/>
        <w:t>Our exhortation is really:</w:t>
      </w:r>
    </w:p>
    <w:p w:rsidR="000A2FAA" w:rsidRPr="000A2FAA" w:rsidRDefault="000A2FAA" w:rsidP="00B54646">
      <w:pPr>
        <w:rPr>
          <w:rFonts w:cs="Calibri"/>
        </w:rPr>
      </w:pPr>
    </w:p>
    <w:p w:rsidR="00B54646" w:rsidRPr="000A2FAA" w:rsidRDefault="00B54646" w:rsidP="000A2FAA">
      <w:pPr>
        <w:pStyle w:val="Quote"/>
        <w:rPr>
          <w:b/>
          <w:bCs/>
          <w:color w:val="800000"/>
          <w:sz w:val="16"/>
        </w:rPr>
      </w:pPr>
      <w:r w:rsidRPr="000A2FAA">
        <w:t xml:space="preserve">And now, brethren, I commend you to God, and to </w:t>
      </w:r>
      <w:r w:rsidRPr="000A2FAA">
        <w:rPr>
          <w:b/>
        </w:rPr>
        <w:t>the word of his grace</w:t>
      </w:r>
      <w:r w:rsidRPr="000A2FAA">
        <w:t>, which is able to build you up, and to give you an inheritance among</w:t>
      </w:r>
      <w:r w:rsidR="000A2FAA" w:rsidRPr="000A2FAA">
        <w:t xml:space="preserve"> all them which are sanctified.</w:t>
      </w:r>
      <w:r w:rsidRPr="000A2FAA">
        <w:t xml:space="preserve"> </w:t>
      </w:r>
      <w:r w:rsidR="000A2FAA">
        <w:t>Acts 20:32 (KJV)</w:t>
      </w:r>
    </w:p>
    <w:p w:rsidR="00B54646" w:rsidRPr="000A2FAA" w:rsidRDefault="00B54646" w:rsidP="00B54646">
      <w:pPr>
        <w:rPr>
          <w:rFonts w:cs="Calibri"/>
        </w:rPr>
      </w:pPr>
    </w:p>
    <w:p w:rsidR="00B54646" w:rsidRPr="000A2FAA" w:rsidRDefault="00B54646" w:rsidP="00B54646">
      <w:r w:rsidRPr="000A2FAA">
        <w:t xml:space="preserve">As we remember the Lord Jesus Christ, we appreciate the finest example of this principle. The Master learned obedience by the things which he suffered, became the Word made flesh and shone as </w:t>
      </w:r>
      <w:r w:rsidR="000E2CE6">
        <w:t>‘</w:t>
      </w:r>
      <w:r w:rsidRPr="000A2FAA">
        <w:t>the light of the world</w:t>
      </w:r>
      <w:r w:rsidR="000E2CE6">
        <w:t>’</w:t>
      </w:r>
      <w:r w:rsidRPr="000A2FAA">
        <w:t>.</w:t>
      </w:r>
    </w:p>
    <w:p w:rsidR="00B54646" w:rsidRPr="000A2FAA" w:rsidRDefault="00B54646" w:rsidP="00B54646"/>
    <w:p w:rsidR="00B54646" w:rsidRPr="000A2FAA" w:rsidRDefault="00B54646" w:rsidP="00B54646">
      <w:r w:rsidRPr="000A2FAA">
        <w:t xml:space="preserve">That if we faithfully </w:t>
      </w:r>
      <w:r w:rsidR="000E2CE6">
        <w:t>‘</w:t>
      </w:r>
      <w:r w:rsidRPr="000A2FAA">
        <w:t>pass the time of [our] sojourning here in fear</w:t>
      </w:r>
      <w:r w:rsidR="000E2CE6">
        <w:t>’</w:t>
      </w:r>
      <w:r w:rsidRPr="000A2FAA">
        <w:t xml:space="preserve">, and </w:t>
      </w:r>
      <w:r w:rsidR="000E2CE6">
        <w:t>‘</w:t>
      </w:r>
      <w:r w:rsidRPr="000A2FAA">
        <w:t>with all our getting, get understanding</w:t>
      </w:r>
      <w:r w:rsidR="000E2CE6">
        <w:t>’</w:t>
      </w:r>
      <w:r w:rsidRPr="000A2FAA">
        <w:t xml:space="preserve"> and </w:t>
      </w:r>
      <w:r w:rsidR="000E2CE6">
        <w:t>‘</w:t>
      </w:r>
      <w:r w:rsidRPr="000A2FAA">
        <w:t>looking carefully how we walk, not as fools, but as wise</w:t>
      </w:r>
      <w:r w:rsidR="000E2CE6">
        <w:t>’</w:t>
      </w:r>
      <w:r w:rsidRPr="000A2FAA">
        <w:t xml:space="preserve"> </w:t>
      </w:r>
      <w:r w:rsidR="000E2CE6">
        <w:t>‘</w:t>
      </w:r>
      <w:r w:rsidRPr="000A2FAA">
        <w:t>we may have confidence, and not be ashamed before him at his coming</w:t>
      </w:r>
      <w:r w:rsidR="000E2CE6">
        <w:t>’</w:t>
      </w:r>
      <w:r w:rsidRPr="000A2FAA">
        <w:t xml:space="preserve"> and may be granted </w:t>
      </w:r>
      <w:r w:rsidR="000E2CE6">
        <w:t>‘</w:t>
      </w:r>
      <w:r w:rsidRPr="000A2FAA">
        <w:t>the gift of God – eternal life through Jesus Christ our Lord</w:t>
      </w:r>
      <w:r w:rsidR="000E2CE6">
        <w:t>’</w:t>
      </w:r>
      <w:r w:rsidRPr="000A2FAA">
        <w:t xml:space="preserve">. </w:t>
      </w:r>
    </w:p>
    <w:p w:rsidR="00B54646" w:rsidRPr="000A2FAA" w:rsidRDefault="00B54646" w:rsidP="00B54646"/>
    <w:p w:rsidR="00B54646" w:rsidRPr="000A2FAA" w:rsidRDefault="00B54646" w:rsidP="000A2FAA">
      <w:pPr>
        <w:pStyle w:val="Quote"/>
      </w:pPr>
      <w:r w:rsidRPr="000A2FAA">
        <w:t xml:space="preserve">And they that </w:t>
      </w:r>
      <w:proofErr w:type="gramStart"/>
      <w:r w:rsidRPr="000A2FAA">
        <w:t>be</w:t>
      </w:r>
      <w:proofErr w:type="gramEnd"/>
      <w:r w:rsidRPr="000A2FAA">
        <w:t xml:space="preserve"> </w:t>
      </w:r>
      <w:r w:rsidRPr="000A2FAA">
        <w:rPr>
          <w:b/>
        </w:rPr>
        <w:t>wise</w:t>
      </w:r>
      <w:r w:rsidRPr="000A2FAA">
        <w:t xml:space="preserve"> </w:t>
      </w:r>
      <w:r w:rsidRPr="000A2FAA">
        <w:rPr>
          <w:u w:val="single"/>
        </w:rPr>
        <w:t>shall shine</w:t>
      </w:r>
      <w:r w:rsidRPr="000A2FAA">
        <w:t xml:space="preserve"> as the brightness of the firmament; and they that turn many to righteousness </w:t>
      </w:r>
      <w:r w:rsidR="000A2FAA" w:rsidRPr="000A2FAA">
        <w:t>as the stars for ever and ever.</w:t>
      </w:r>
      <w:r w:rsidRPr="000A2FAA">
        <w:t xml:space="preserve"> </w:t>
      </w:r>
      <w:r w:rsidR="000A2FAA">
        <w:t>Dan 12:3 (KJV)</w:t>
      </w:r>
    </w:p>
    <w:p w:rsidR="00B54646" w:rsidRPr="000A2FAA" w:rsidRDefault="00B54646" w:rsidP="00B91E61">
      <w:pPr>
        <w:rPr>
          <w:lang w:val="en-GB"/>
        </w:rPr>
      </w:pPr>
    </w:p>
    <w:p w:rsidR="000A5F63" w:rsidRDefault="002078CC" w:rsidP="00C765A0">
      <w:pPr>
        <w:pStyle w:val="Heading3"/>
        <w:jc w:val="center"/>
      </w:pPr>
      <w:r>
        <w:t>The Seventy Week Prophecy</w:t>
      </w:r>
      <w:r w:rsidR="00BC165C">
        <w:t xml:space="preserve"> (2)</w:t>
      </w:r>
    </w:p>
    <w:p w:rsidR="00C765A0" w:rsidRPr="00C765A0" w:rsidRDefault="00C765A0" w:rsidP="00C765A0">
      <w:pPr>
        <w:jc w:val="center"/>
        <w:rPr>
          <w:rFonts w:ascii="Bradley Hand ITC" w:hAnsi="Bradley Hand ITC"/>
          <w:b/>
          <w:sz w:val="28"/>
        </w:rPr>
      </w:pPr>
      <w:r w:rsidRPr="00C765A0">
        <w:rPr>
          <w:rFonts w:ascii="Bradley Hand ITC" w:hAnsi="Bradley Hand ITC"/>
          <w:b/>
          <w:sz w:val="28"/>
        </w:rPr>
        <w:t>T. Gaston</w:t>
      </w:r>
    </w:p>
    <w:p w:rsidR="00C765A0" w:rsidRDefault="00C765A0" w:rsidP="000A5F63"/>
    <w:p w:rsidR="00A12D12" w:rsidRPr="00A12D12" w:rsidRDefault="00A12D12" w:rsidP="000A5F63">
      <w:pPr>
        <w:rPr>
          <w:rFonts w:ascii="Bradley Hand ITC" w:hAnsi="Bradley Hand ITC"/>
          <w:b/>
          <w:sz w:val="28"/>
        </w:rPr>
      </w:pPr>
      <w:r w:rsidRPr="00A12D12">
        <w:rPr>
          <w:rFonts w:ascii="Bradley Hand ITC" w:hAnsi="Bradley Hand ITC"/>
          <w:b/>
          <w:sz w:val="28"/>
        </w:rPr>
        <w:t>Introduction</w:t>
      </w:r>
    </w:p>
    <w:p w:rsidR="00151FF1" w:rsidRDefault="00151FF1" w:rsidP="00151FF1">
      <w:r>
        <w:t xml:space="preserve">In the first article we examined the critical interpretation of the Seventy Week prophecy, which attempts to interpret the prophecy in the light of the Maccabean revolt with particular emphasis on the figure of Onias III.  We saw that these attempts were </w:t>
      </w:r>
      <w:r w:rsidR="00F84805">
        <w:t xml:space="preserve">not </w:t>
      </w:r>
      <w:r>
        <w:t xml:space="preserve">convincing and in several cases went against the plain meaning of the text. </w:t>
      </w:r>
    </w:p>
    <w:p w:rsidR="00A12D12" w:rsidRDefault="00A12D12" w:rsidP="000A5F63"/>
    <w:p w:rsidR="00151FF1" w:rsidRDefault="00151FF1" w:rsidP="00151FF1">
      <w:r>
        <w:t>In this article we continue our examination of exegetical problems in the text and propose an alternative to the critical interpretation. This consideration will ultimately lead us to Jesus of Nazareth.</w:t>
      </w:r>
    </w:p>
    <w:p w:rsidR="00151FF1" w:rsidRDefault="00151FF1" w:rsidP="000A5F63"/>
    <w:p w:rsidR="000A5F63" w:rsidRPr="00C765A0" w:rsidRDefault="000A5F63" w:rsidP="000A5F63">
      <w:pPr>
        <w:rPr>
          <w:rFonts w:ascii="Bradley Hand ITC" w:hAnsi="Bradley Hand ITC"/>
          <w:b/>
          <w:sz w:val="28"/>
        </w:rPr>
      </w:pPr>
      <w:r w:rsidRPr="00C765A0">
        <w:rPr>
          <w:rFonts w:ascii="Bradley Hand ITC" w:hAnsi="Bradley Hand ITC"/>
          <w:b/>
          <w:sz w:val="28"/>
        </w:rPr>
        <w:t>The Dispensation for Jerusalem</w:t>
      </w:r>
    </w:p>
    <w:p w:rsidR="000A5F63" w:rsidRDefault="005A4289" w:rsidP="000A5F63">
      <w:r>
        <w:t>The opening line of the Seventy Week Prophecy,</w:t>
      </w:r>
    </w:p>
    <w:p w:rsidR="000A5F63" w:rsidRDefault="000A5F63" w:rsidP="00AF73BE">
      <w:pPr>
        <w:pStyle w:val="Quote"/>
      </w:pPr>
      <w:r>
        <w:lastRenderedPageBreak/>
        <w:t xml:space="preserve">Seventy weeks are determined for your people and for your </w:t>
      </w:r>
      <w:r w:rsidR="00AF73BE">
        <w:t xml:space="preserve">holy </w:t>
      </w:r>
      <w:r>
        <w:t>city</w:t>
      </w:r>
      <w:r w:rsidR="00AF73BE">
        <w:t xml:space="preserve"> </w:t>
      </w:r>
      <w:r>
        <w:t>…</w:t>
      </w:r>
      <w:r w:rsidR="00AF73BE">
        <w:t xml:space="preserve"> </w:t>
      </w:r>
      <w:r>
        <w:t>Dan 9:24</w:t>
      </w:r>
      <w:r w:rsidR="00AF73BE">
        <w:t xml:space="preserve"> (NKJV)</w:t>
      </w:r>
    </w:p>
    <w:p w:rsidR="000A5F63" w:rsidRDefault="000A5F63" w:rsidP="000A5F63"/>
    <w:p w:rsidR="000A5F63" w:rsidRDefault="000A5F63" w:rsidP="000A5F63">
      <w:proofErr w:type="gramStart"/>
      <w:r>
        <w:t>is</w:t>
      </w:r>
      <w:proofErr w:type="gramEnd"/>
      <w:r>
        <w:t xml:space="preserve"> most naturally understoo</w:t>
      </w:r>
      <w:r w:rsidR="005A4289">
        <w:t xml:space="preserve">d dispensationally; the seventy </w:t>
      </w:r>
      <w:r>
        <w:t xml:space="preserve">weeks </w:t>
      </w:r>
      <w:r w:rsidR="005A4289">
        <w:t>are</w:t>
      </w:r>
      <w:r>
        <w:t xml:space="preserve"> the length set by God for that era of the Jewish people and their city. This reading seems </w:t>
      </w:r>
      <w:proofErr w:type="gramStart"/>
      <w:r>
        <w:t>confirmed</w:t>
      </w:r>
      <w:proofErr w:type="gramEnd"/>
      <w:r>
        <w:t xml:space="preserve"> </w:t>
      </w:r>
      <w:r w:rsidR="005A4289">
        <w:t xml:space="preserve">by </w:t>
      </w:r>
      <w:r>
        <w:t xml:space="preserve">the fact that the seventy-weeks commence with </w:t>
      </w:r>
      <w:r w:rsidR="000E2CE6">
        <w:t>“</w:t>
      </w:r>
      <w:r>
        <w:t>the command to restore and build Jerusalem</w:t>
      </w:r>
      <w:r w:rsidR="000E2CE6">
        <w:t>”</w:t>
      </w:r>
      <w:r w:rsidR="005A4289">
        <w:t>,</w:t>
      </w:r>
      <w:r>
        <w:t xml:space="preserve"> and that they end with the destruction of </w:t>
      </w:r>
      <w:r w:rsidR="000E2CE6">
        <w:t>“</w:t>
      </w:r>
      <w:r>
        <w:t>the city and the sanctuary</w:t>
      </w:r>
      <w:r w:rsidR="000E2CE6">
        <w:t>”</w:t>
      </w:r>
      <w:r>
        <w:t xml:space="preserve">. Therefore the focus of the seventy-week prophecy is the Jewish people, centered on the city of </w:t>
      </w:r>
      <w:smartTag w:uri="urn:schemas-microsoft-com:office:smarttags" w:element="City">
        <w:smartTag w:uri="urn:schemas-microsoft-com:office:smarttags" w:element="place">
          <w:r>
            <w:t>Jerusalem</w:t>
          </w:r>
        </w:smartTag>
      </w:smartTag>
      <w:r>
        <w:t xml:space="preserve">. This focus helps us determine the </w:t>
      </w:r>
      <w:r>
        <w:rPr>
          <w:i/>
        </w:rPr>
        <w:t>terminus a</w:t>
      </w:r>
      <w:r w:rsidR="005A4289">
        <w:rPr>
          <w:i/>
        </w:rPr>
        <w:t>d</w:t>
      </w:r>
      <w:r>
        <w:rPr>
          <w:i/>
        </w:rPr>
        <w:t xml:space="preserve"> quo </w:t>
      </w:r>
      <w:r>
        <w:t xml:space="preserve">and </w:t>
      </w:r>
      <w:r>
        <w:rPr>
          <w:i/>
        </w:rPr>
        <w:t xml:space="preserve">terminus ad quem </w:t>
      </w:r>
      <w:r>
        <w:t>of the seventy-weeks. The seventy</w:t>
      </w:r>
      <w:r w:rsidR="005A4289">
        <w:t>-</w:t>
      </w:r>
      <w:r>
        <w:t xml:space="preserve">weeks </w:t>
      </w:r>
      <w:proofErr w:type="gramStart"/>
      <w:r>
        <w:t>ends</w:t>
      </w:r>
      <w:proofErr w:type="gramEnd"/>
      <w:r>
        <w:t xml:space="preserve"> with the destruction of Jerusalem. This did not take place in 164 </w:t>
      </w:r>
      <w:r w:rsidRPr="005A4289">
        <w:rPr>
          <w:sz w:val="20"/>
        </w:rPr>
        <w:t>BC</w:t>
      </w:r>
      <w:r w:rsidR="005A4289">
        <w:t>;</w:t>
      </w:r>
      <w:r>
        <w:rPr>
          <w:rStyle w:val="FootnoteReference"/>
        </w:rPr>
        <w:footnoteReference w:id="9"/>
      </w:r>
      <w:r>
        <w:t xml:space="preserve"> Jerusalem was destroyed in 70 </w:t>
      </w:r>
      <w:r w:rsidRPr="005A4289">
        <w:rPr>
          <w:sz w:val="20"/>
        </w:rPr>
        <w:t>AD</w:t>
      </w:r>
      <w:r>
        <w:t xml:space="preserve">. </w:t>
      </w:r>
    </w:p>
    <w:p w:rsidR="000A5F63" w:rsidRDefault="000A5F63" w:rsidP="000A5F63"/>
    <w:p w:rsidR="000A5F63" w:rsidRDefault="000A5F63" w:rsidP="000A5F63">
      <w:r>
        <w:t xml:space="preserve">The </w:t>
      </w:r>
      <w:r>
        <w:rPr>
          <w:i/>
        </w:rPr>
        <w:t>terminus a</w:t>
      </w:r>
      <w:r w:rsidR="005A4289">
        <w:rPr>
          <w:i/>
        </w:rPr>
        <w:t>d</w:t>
      </w:r>
      <w:r>
        <w:rPr>
          <w:i/>
        </w:rPr>
        <w:t xml:space="preserve"> quo, </w:t>
      </w:r>
      <w:r w:rsidR="000E2CE6">
        <w:t>“</w:t>
      </w:r>
      <w:r>
        <w:t xml:space="preserve">the command [lit. </w:t>
      </w:r>
      <w:r w:rsidR="000E2CE6">
        <w:t>‘</w:t>
      </w:r>
      <w:proofErr w:type="gramStart"/>
      <w:r>
        <w:t>word</w:t>
      </w:r>
      <w:proofErr w:type="gramEnd"/>
      <w:r w:rsidR="000E2CE6">
        <w:t>’</w:t>
      </w:r>
      <w:r>
        <w:t>] to restore and build Jerusalem</w:t>
      </w:r>
      <w:r w:rsidR="000E2CE6">
        <w:t>”</w:t>
      </w:r>
      <w:r>
        <w:t>, must be dated to the issue of some decree which instigated the rebuilding of Jerusalem. Though Cyrus</w:t>
      </w:r>
      <w:r w:rsidR="000E2CE6">
        <w:t>’</w:t>
      </w:r>
      <w:r>
        <w:t xml:space="preserve"> decree in c.538 is contemporary with the date ascribed to Dan</w:t>
      </w:r>
      <w:r w:rsidR="00E974FF">
        <w:t>iel</w:t>
      </w:r>
      <w:r>
        <w:t xml:space="preserve"> 9, this cannot be a suitable candidate as it is solely concerned with the reconstruction of the Temple.</w:t>
      </w:r>
      <w:r>
        <w:rPr>
          <w:rStyle w:val="FootnoteReference"/>
        </w:rPr>
        <w:footnoteReference w:id="10"/>
      </w:r>
      <w:r>
        <w:t xml:space="preserve"> Dan</w:t>
      </w:r>
      <w:r w:rsidR="006C586B">
        <w:t>iel</w:t>
      </w:r>
      <w:r>
        <w:t xml:space="preserve"> 9:25 does not mention the reconstruction of the Temple but rather specifies the </w:t>
      </w:r>
      <w:r>
        <w:lastRenderedPageBreak/>
        <w:t xml:space="preserve">reconstruction of </w:t>
      </w:r>
      <w:r w:rsidR="000E2CE6">
        <w:t>“</w:t>
      </w:r>
      <w:r>
        <w:t>the street</w:t>
      </w:r>
      <w:r w:rsidR="000E2CE6">
        <w:t>”</w:t>
      </w:r>
      <w:r>
        <w:t xml:space="preserve"> and </w:t>
      </w:r>
      <w:r w:rsidR="000E2CE6">
        <w:t>“</w:t>
      </w:r>
      <w:r>
        <w:t>the wall</w:t>
      </w:r>
      <w:r w:rsidR="000E2CE6">
        <w:t>”</w:t>
      </w:r>
      <w:r>
        <w:t>.</w:t>
      </w:r>
      <w:r>
        <w:rPr>
          <w:rStyle w:val="FootnoteReference"/>
        </w:rPr>
        <w:footnoteReference w:id="11"/>
      </w:r>
      <w:r>
        <w:t xml:space="preserve"> Whether or not any reconstruction of the city took place beforehand, it is recorded in the book of Nehemiah that by c.445 the wall of Jerusalem still lay in ruins (Neh 1:3). It is at this time that, according to the book of Nehemiah, Artaxerxes I gives letters to Nehemiah for the purpose of returning to Jerusalem to reconstruct the wall (Neh 2:7-8).</w:t>
      </w:r>
    </w:p>
    <w:p w:rsidR="000A5F63" w:rsidRDefault="000A5F63" w:rsidP="000A5F63"/>
    <w:p w:rsidR="000A5F63" w:rsidRPr="00C17EB2" w:rsidRDefault="000A5F63" w:rsidP="000A5F63">
      <w:pPr>
        <w:rPr>
          <w:rFonts w:ascii="Bradley Hand ITC" w:hAnsi="Bradley Hand ITC"/>
          <w:b/>
          <w:sz w:val="28"/>
        </w:rPr>
      </w:pPr>
      <w:r w:rsidRPr="00C17EB2">
        <w:rPr>
          <w:rFonts w:ascii="Bradley Hand ITC" w:hAnsi="Bradley Hand ITC"/>
          <w:b/>
          <w:sz w:val="28"/>
        </w:rPr>
        <w:t xml:space="preserve">The Masoretic </w:t>
      </w:r>
      <w:r w:rsidR="00BA282E">
        <w:rPr>
          <w:rFonts w:ascii="Bradley Hand ITC" w:hAnsi="Bradley Hand ITC"/>
          <w:b/>
          <w:sz w:val="28"/>
        </w:rPr>
        <w:t>Accents</w:t>
      </w:r>
      <w:r w:rsidRPr="00C17EB2">
        <w:rPr>
          <w:rFonts w:ascii="Bradley Hand ITC" w:hAnsi="Bradley Hand ITC"/>
          <w:b/>
          <w:sz w:val="28"/>
        </w:rPr>
        <w:t xml:space="preserve"> of Daniel 9:25</w:t>
      </w:r>
    </w:p>
    <w:p w:rsidR="000A5F63" w:rsidRDefault="000A5F63" w:rsidP="000A5F63"/>
    <w:p w:rsidR="000A5F63" w:rsidRDefault="000A5F63" w:rsidP="00C17EB2">
      <w:pPr>
        <w:pStyle w:val="Quote"/>
      </w:pPr>
      <w:r>
        <w:t xml:space="preserve">Know therefore and understand that from the going forth of the command to restore and build Jerusalem until Messiah the Prince, </w:t>
      </w:r>
      <w:r w:rsidRPr="00D14AE0">
        <w:rPr>
          <w:u w:val="single"/>
        </w:rPr>
        <w:t>there shall be seven weeks and sixty two weeks</w:t>
      </w:r>
      <w:r>
        <w:t>; the street shall be built again, and the wall, even in troublesome times.</w:t>
      </w:r>
      <w:r w:rsidR="00C17EB2">
        <w:t xml:space="preserve"> </w:t>
      </w:r>
      <w:r>
        <w:t>Dan</w:t>
      </w:r>
      <w:r w:rsidR="00C17EB2">
        <w:t xml:space="preserve"> 9:25 (NKJV)</w:t>
      </w:r>
    </w:p>
    <w:p w:rsidR="000A5F63" w:rsidRDefault="000A5F63" w:rsidP="000A5F63"/>
    <w:p w:rsidR="000A5F63" w:rsidRDefault="000A5F63" w:rsidP="00F47C84">
      <w:pPr>
        <w:pStyle w:val="Quote"/>
      </w:pPr>
      <w:r>
        <w:t xml:space="preserve">Know therefore and understand that from the going out of the word to restore and build </w:t>
      </w:r>
      <w:smartTag w:uri="urn:schemas-microsoft-com:office:smarttags" w:element="place">
        <w:smartTag w:uri="urn:schemas-microsoft-com:office:smarttags" w:element="City">
          <w:r>
            <w:t>Jerusalem</w:t>
          </w:r>
        </w:smartTag>
      </w:smartTag>
      <w:r>
        <w:t xml:space="preserve"> to the coming of an anointed one, a prince </w:t>
      </w:r>
      <w:r w:rsidRPr="00D14AE0">
        <w:rPr>
          <w:u w:val="single"/>
        </w:rPr>
        <w:t>there shall be seven weeks. Then for sixty-two weeks</w:t>
      </w:r>
      <w:r>
        <w:t xml:space="preserve"> it shall be built again with squares and moat, but in a troubled time. Dan</w:t>
      </w:r>
      <w:r w:rsidR="00F47C84">
        <w:t xml:space="preserve"> 9:25 (ESV)</w:t>
      </w:r>
    </w:p>
    <w:p w:rsidR="000A5F63" w:rsidRDefault="000A5F63" w:rsidP="000A5F63"/>
    <w:p w:rsidR="000A5F63" w:rsidRDefault="000A5F63" w:rsidP="000A5F63">
      <w:r>
        <w:t xml:space="preserve">The two versions presented above represent the two sides of debate regarding the correct interpretation of this verse; the dispute </w:t>
      </w:r>
      <w:r w:rsidR="00BA282E">
        <w:t>is centred on</w:t>
      </w:r>
      <w:r>
        <w:t xml:space="preserve"> the Masoretic </w:t>
      </w:r>
      <w:r w:rsidR="00BA282E">
        <w:t>accents</w:t>
      </w:r>
      <w:r>
        <w:t xml:space="preserve">. In the Masoretic text (MT) </w:t>
      </w:r>
      <w:r w:rsidR="000E2CE6">
        <w:t>“</w:t>
      </w:r>
      <w:r>
        <w:t>seven weeks</w:t>
      </w:r>
      <w:r w:rsidR="000E2CE6">
        <w:t>”</w:t>
      </w:r>
      <w:r>
        <w:t xml:space="preserve"> and </w:t>
      </w:r>
      <w:r w:rsidR="000E2CE6">
        <w:t>“</w:t>
      </w:r>
      <w:r>
        <w:t>sixty two weeks</w:t>
      </w:r>
      <w:r w:rsidR="000E2CE6">
        <w:t>”</w:t>
      </w:r>
      <w:r>
        <w:t xml:space="preserve"> are divided by an </w:t>
      </w:r>
      <w:r w:rsidR="000E2CE6">
        <w:rPr>
          <w:i/>
        </w:rPr>
        <w:t>‘</w:t>
      </w:r>
      <w:r>
        <w:rPr>
          <w:i/>
        </w:rPr>
        <w:t>ath</w:t>
      </w:r>
      <w:r w:rsidR="007266C3">
        <w:rPr>
          <w:i/>
        </w:rPr>
        <w:t>n</w:t>
      </w:r>
      <w:r>
        <w:rPr>
          <w:i/>
        </w:rPr>
        <w:t xml:space="preserve">ach </w:t>
      </w:r>
      <w:r>
        <w:t xml:space="preserve">mark, </w:t>
      </w:r>
      <w:r w:rsidR="000E2CE6">
        <w:t>“</w:t>
      </w:r>
      <w:r>
        <w:t xml:space="preserve">the strongest disjunctive </w:t>
      </w:r>
      <w:r>
        <w:lastRenderedPageBreak/>
        <w:t>Masoretic accent mark</w:t>
      </w:r>
      <w:r w:rsidR="000E2CE6">
        <w:t>”</w:t>
      </w:r>
      <w:r>
        <w:t>.</w:t>
      </w:r>
      <w:r>
        <w:rPr>
          <w:rStyle w:val="FootnoteReference"/>
        </w:rPr>
        <w:footnoteReference w:id="12"/>
      </w:r>
      <w:r w:rsidR="00761364">
        <w:rPr>
          <w:rStyle w:val="FootnoteReference"/>
        </w:rPr>
        <w:footnoteReference w:id="13"/>
      </w:r>
      <w:r w:rsidR="00761364">
        <w:t xml:space="preserve"> </w:t>
      </w:r>
      <w:r>
        <w:t xml:space="preserve">The disjunction would generally be interpreted by placing the two phrases into separate clauses (cf. ESV), rather than conjoining </w:t>
      </w:r>
      <w:proofErr w:type="gramStart"/>
      <w:r>
        <w:t>them</w:t>
      </w:r>
      <w:proofErr w:type="gramEnd"/>
      <w:r>
        <w:t xml:space="preserve"> (cf. NKJV). While this disjunction is a feature of the Masoretic </w:t>
      </w:r>
      <w:r w:rsidR="00761364">
        <w:t>accents</w:t>
      </w:r>
      <w:r>
        <w:t xml:space="preserve"> (added between sixth and ninth centuries AD)</w:t>
      </w:r>
      <w:r w:rsidR="00F47C84">
        <w:t>,</w:t>
      </w:r>
      <w:r>
        <w:t xml:space="preserve"> and not </w:t>
      </w:r>
      <w:r w:rsidR="00F47C84">
        <w:t>original to</w:t>
      </w:r>
      <w:r>
        <w:t xml:space="preserve"> the consonantal text, we cannot disregard this reading (presumably based upon scribal tradition) without justification.  </w:t>
      </w:r>
    </w:p>
    <w:p w:rsidR="000A5F63" w:rsidRDefault="000A5F63" w:rsidP="000A5F63"/>
    <w:p w:rsidR="000A5F63" w:rsidRDefault="000A5F63" w:rsidP="000A5F63">
      <w:r>
        <w:t xml:space="preserve">One textual witness against the MT </w:t>
      </w:r>
      <w:r w:rsidR="00C27261">
        <w:t xml:space="preserve">accent choice </w:t>
      </w:r>
      <w:r>
        <w:t>is the Greek text (</w:t>
      </w:r>
      <w:r w:rsidRPr="00FC5F89">
        <w:t>θ</w:t>
      </w:r>
      <w:r w:rsidR="000E2CE6">
        <w:t>’</w:t>
      </w:r>
      <w:r>
        <w:t>), incorrectly designated by some as the Theodotion version of Daniel,</w:t>
      </w:r>
      <w:r w:rsidR="00C27261">
        <w:rPr>
          <w:rStyle w:val="FootnoteReference"/>
        </w:rPr>
        <w:footnoteReference w:id="14"/>
      </w:r>
      <w:r>
        <w:t xml:space="preserve"> which conjoins seven and sixty-two weeks. The Vulgate follows </w:t>
      </w:r>
      <w:r w:rsidRPr="00FC5F89">
        <w:t>θ</w:t>
      </w:r>
      <w:r w:rsidR="000E2CE6">
        <w:t>’</w:t>
      </w:r>
      <w:r w:rsidR="00AF58E9">
        <w:t>;</w:t>
      </w:r>
      <w:r>
        <w:rPr>
          <w:rStyle w:val="FootnoteReference"/>
        </w:rPr>
        <w:footnoteReference w:id="15"/>
      </w:r>
      <w:r>
        <w:t xml:space="preserve"> </w:t>
      </w:r>
      <w:r w:rsidR="00AF58E9">
        <w:t>t</w:t>
      </w:r>
      <w:r>
        <w:t xml:space="preserve">he LXX version of Daniel, as preserved in Codex Chisianus, is also a textual witness </w:t>
      </w:r>
      <w:r>
        <w:lastRenderedPageBreak/>
        <w:t>to the conjoining of these two periods,</w:t>
      </w:r>
      <w:r>
        <w:rPr>
          <w:rStyle w:val="FootnoteReference"/>
        </w:rPr>
        <w:footnoteReference w:id="16"/>
      </w:r>
      <w:r>
        <w:t xml:space="preserve"> though this translation is so free that great weight cannot be attached to it. </w:t>
      </w:r>
    </w:p>
    <w:p w:rsidR="000A5F63" w:rsidRDefault="000A5F63" w:rsidP="000A5F63"/>
    <w:p w:rsidR="000A5F63" w:rsidRDefault="000A5F63" w:rsidP="000A5F63">
      <w:r>
        <w:t xml:space="preserve">Perhaps the strongest argument against the Masoretic </w:t>
      </w:r>
      <w:r w:rsidR="00C27261">
        <w:t>accent choice</w:t>
      </w:r>
      <w:r>
        <w:t xml:space="preserve"> is that it separates the anointed one of v</w:t>
      </w:r>
      <w:r w:rsidR="00F47C84">
        <w:t xml:space="preserve">. </w:t>
      </w:r>
      <w:r>
        <w:t>25 from the anointed one of v</w:t>
      </w:r>
      <w:r w:rsidR="00F47C84">
        <w:t xml:space="preserve">. </w:t>
      </w:r>
      <w:r>
        <w:t xml:space="preserve">26 by a period of 434 years. Though it is possible that the author intends to allude to two separate anointed ones, this seems implausible since all we are told about the first anointed one is that he is anointed. If we removed </w:t>
      </w:r>
      <w:r w:rsidR="00C27261">
        <w:t xml:space="preserve">or weakened </w:t>
      </w:r>
      <w:r>
        <w:t xml:space="preserve">the Masoretic </w:t>
      </w:r>
      <w:r w:rsidR="00C27261">
        <w:t>accent,</w:t>
      </w:r>
      <w:r>
        <w:t xml:space="preserve"> then we would naturally identify both anointed ones as the same figure.</w:t>
      </w:r>
      <w:r>
        <w:rPr>
          <w:rStyle w:val="FootnoteReference"/>
        </w:rPr>
        <w:footnoteReference w:id="17"/>
      </w:r>
      <w:r>
        <w:t xml:space="preserve"> </w:t>
      </w:r>
    </w:p>
    <w:p w:rsidR="000A5F63" w:rsidRDefault="000A5F63" w:rsidP="000A5F63"/>
    <w:p w:rsidR="000A5F63" w:rsidRDefault="000A5F63" w:rsidP="000A5F63">
      <w:r>
        <w:t>The conjoining of the seven-weeks and the sixty-two weeks may seem a little awkward but it is clear</w:t>
      </w:r>
      <w:r w:rsidR="00AF58E9">
        <w:t>ly</w:t>
      </w:r>
      <w:r>
        <w:t xml:space="preserve"> what is intended. The seven</w:t>
      </w:r>
      <w:r w:rsidR="00C27261">
        <w:t>-</w:t>
      </w:r>
      <w:r>
        <w:t xml:space="preserve">weeks </w:t>
      </w:r>
      <w:proofErr w:type="gramStart"/>
      <w:r w:rsidR="00C27261">
        <w:t>is</w:t>
      </w:r>
      <w:proofErr w:type="gramEnd"/>
      <w:r>
        <w:t xml:space="preserve"> the period of the reconstruction of Jerusalem. The sixty-two weeks is the period during which </w:t>
      </w:r>
      <w:smartTag w:uri="urn:schemas-microsoft-com:office:smarttags" w:element="City">
        <w:smartTag w:uri="urn:schemas-microsoft-com:office:smarttags" w:element="place">
          <w:r>
            <w:t>Jerusalem</w:t>
          </w:r>
        </w:smartTag>
      </w:smartTag>
      <w:r>
        <w:t xml:space="preserve"> shall stand before the coming of the </w:t>
      </w:r>
      <w:r w:rsidR="000E2CE6">
        <w:t>“</w:t>
      </w:r>
      <w:r>
        <w:t>anointed one</w:t>
      </w:r>
      <w:r w:rsidR="000E2CE6">
        <w:t>”</w:t>
      </w:r>
      <w:r>
        <w:t xml:space="preserve">. </w:t>
      </w:r>
    </w:p>
    <w:p w:rsidR="000A5F63" w:rsidRDefault="000A5F63" w:rsidP="000A5F63"/>
    <w:p w:rsidR="000A5F63" w:rsidRPr="00C27261" w:rsidRDefault="000A5F63" w:rsidP="000A5F63">
      <w:pPr>
        <w:rPr>
          <w:rFonts w:ascii="Bradley Hand ITC" w:hAnsi="Bradley Hand ITC"/>
          <w:b/>
          <w:sz w:val="28"/>
        </w:rPr>
      </w:pPr>
      <w:r w:rsidRPr="00C27261">
        <w:rPr>
          <w:rFonts w:ascii="Bradley Hand ITC" w:hAnsi="Bradley Hand ITC"/>
          <w:b/>
          <w:sz w:val="28"/>
        </w:rPr>
        <w:t>The Anointed One</w:t>
      </w:r>
    </w:p>
    <w:p w:rsidR="000A5F63" w:rsidRDefault="000A5F63" w:rsidP="000A5F63">
      <w:r>
        <w:t xml:space="preserve">There is no precedent in the OT for the use of </w:t>
      </w:r>
      <w:proofErr w:type="spellStart"/>
      <w:r w:rsidR="005314D3" w:rsidRPr="005314D3">
        <w:rPr>
          <w:rFonts w:ascii="Bwhebb" w:hAnsi="Bwhebb" w:cs="Bwhebb"/>
          <w:color w:val="auto"/>
          <w:sz w:val="28"/>
          <w:szCs w:val="36"/>
          <w:lang w:eastAsia="en-GB" w:bidi="he-IL"/>
        </w:rPr>
        <w:t>xyvm</w:t>
      </w:r>
      <w:proofErr w:type="spellEnd"/>
      <w:r>
        <w:t xml:space="preserve"> </w:t>
      </w:r>
      <w:r w:rsidR="005314D3">
        <w:t>(</w:t>
      </w:r>
      <w:r w:rsidR="005314D3">
        <w:rPr>
          <w:i/>
        </w:rPr>
        <w:t>mashiyach</w:t>
      </w:r>
      <w:r w:rsidR="005314D3">
        <w:t xml:space="preserve">, </w:t>
      </w:r>
      <w:r w:rsidR="000E2CE6">
        <w:t>“</w:t>
      </w:r>
      <w:r>
        <w:t>anointed one</w:t>
      </w:r>
      <w:r w:rsidR="000E2CE6">
        <w:t>”</w:t>
      </w:r>
      <w:r>
        <w:t xml:space="preserve">, </w:t>
      </w:r>
      <w:r w:rsidR="000E2CE6">
        <w:t>“</w:t>
      </w:r>
      <w:r>
        <w:t>Messiah</w:t>
      </w:r>
      <w:r w:rsidR="000E2CE6">
        <w:t>”</w:t>
      </w:r>
      <w:r>
        <w:t xml:space="preserve">) as a title for the high priest. It is true that the word </w:t>
      </w:r>
      <w:r w:rsidR="000E2CE6">
        <w:t>‘</w:t>
      </w:r>
      <w:r>
        <w:rPr>
          <w:i/>
        </w:rPr>
        <w:t>mashiyach</w:t>
      </w:r>
      <w:r w:rsidR="000E2CE6">
        <w:t>’</w:t>
      </w:r>
      <w:r>
        <w:t xml:space="preserve"> was on occasion used adjectively about the priests (cf. Lev 4:3, 5, 16; 6:22; </w:t>
      </w:r>
      <w:proofErr w:type="spellStart"/>
      <w:r>
        <w:t>χριστων</w:t>
      </w:r>
      <w:proofErr w:type="spellEnd"/>
      <w:r>
        <w:t xml:space="preserve"> </w:t>
      </w:r>
      <w:proofErr w:type="spellStart"/>
      <w:r>
        <w:t>ίερέων</w:t>
      </w:r>
      <w:proofErr w:type="spellEnd"/>
      <w:r w:rsidR="005314D3">
        <w:t>—</w:t>
      </w:r>
      <w:r>
        <w:t xml:space="preserve">2 Mac 1:10), but no priest is ever referred to as </w:t>
      </w:r>
      <w:r w:rsidRPr="00BE066A">
        <w:rPr>
          <w:b/>
        </w:rPr>
        <w:t>the</w:t>
      </w:r>
      <w:r>
        <w:t xml:space="preserve"> anointed. The expression </w:t>
      </w:r>
      <w:r w:rsidR="000E2CE6">
        <w:t>“</w:t>
      </w:r>
      <w:r>
        <w:t>the anointed</w:t>
      </w:r>
      <w:r w:rsidR="000E2CE6">
        <w:t>”</w:t>
      </w:r>
      <w:r>
        <w:t>, and its equivalents (</w:t>
      </w:r>
      <w:r w:rsidR="000E2CE6">
        <w:t>“</w:t>
      </w:r>
      <w:r>
        <w:t>the L</w:t>
      </w:r>
      <w:r w:rsidR="005314D3">
        <w:t>ord</w:t>
      </w:r>
      <w:r w:rsidR="000E2CE6">
        <w:t>’</w:t>
      </w:r>
      <w:r>
        <w:t>s anointed</w:t>
      </w:r>
      <w:r w:rsidR="000E2CE6">
        <w:t>”</w:t>
      </w:r>
      <w:r>
        <w:t xml:space="preserve">, </w:t>
      </w:r>
      <w:r w:rsidR="000E2CE6">
        <w:t>“</w:t>
      </w:r>
      <w:r>
        <w:t>his anointed</w:t>
      </w:r>
      <w:r w:rsidR="000E2CE6">
        <w:t>”</w:t>
      </w:r>
      <w:r>
        <w:t>, etc.)</w:t>
      </w:r>
      <w:r w:rsidR="005314D3">
        <w:t>,</w:t>
      </w:r>
      <w:r>
        <w:t xml:space="preserve"> is almost exclusively reserved for the king of Israel, specifically Saul (1 Sam 12:3, 5; 24:6, 10; 26:9, 11, 16, 23; 2 Sam 1:14, 16, 21) and David (2 Sam 19:21; 22:51; 23:1; 2 Chr</w:t>
      </w:r>
      <w:r w:rsidR="005314D3">
        <w:t>on</w:t>
      </w:r>
      <w:r>
        <w:t xml:space="preserve"> 6:42; Ps 18:50; 20:6; 89: 38, 51), and, more generally, as </w:t>
      </w:r>
      <w:r w:rsidR="005314D3">
        <w:t xml:space="preserve">a </w:t>
      </w:r>
      <w:r>
        <w:t>synonym for the office of king (2 Sam 2:10, 35; Ps 2:2; 132:10, 17; cf. Ps 84:9; Lam 4:20). The notable exception is the prophecy regarding Cyrus.</w:t>
      </w:r>
      <w:r>
        <w:rPr>
          <w:rStyle w:val="FootnoteReference"/>
        </w:rPr>
        <w:footnoteReference w:id="18"/>
      </w:r>
      <w:r>
        <w:t xml:space="preserve"> Though this is often interpreted typologically as </w:t>
      </w:r>
      <w:r w:rsidR="005314D3">
        <w:t>referring to</w:t>
      </w:r>
      <w:r>
        <w:t xml:space="preserve"> the Messiah, we should allow that </w:t>
      </w:r>
      <w:r>
        <w:rPr>
          <w:i/>
        </w:rPr>
        <w:t xml:space="preserve">mashiyach </w:t>
      </w:r>
      <w:r>
        <w:t xml:space="preserve">is not directly </w:t>
      </w:r>
      <w:r>
        <w:lastRenderedPageBreak/>
        <w:t xml:space="preserve">synonymous for </w:t>
      </w:r>
      <w:r w:rsidR="000E2CE6">
        <w:t>“</w:t>
      </w:r>
      <w:r>
        <w:t>king of Israel</w:t>
      </w:r>
      <w:r w:rsidR="000E2CE6">
        <w:t>”</w:t>
      </w:r>
      <w:r>
        <w:t>, and is also applied to those appointed to do the will of God.</w:t>
      </w:r>
      <w:r>
        <w:rPr>
          <w:rStyle w:val="FootnoteReference"/>
        </w:rPr>
        <w:footnoteReference w:id="19"/>
      </w:r>
    </w:p>
    <w:p w:rsidR="000A5F63" w:rsidRDefault="000A5F63" w:rsidP="000A5F63"/>
    <w:p w:rsidR="000A5F63" w:rsidRDefault="000A5F63" w:rsidP="000A5F63">
      <w:r>
        <w:t>Dan</w:t>
      </w:r>
      <w:r w:rsidR="00DD73B7">
        <w:t>iel</w:t>
      </w:r>
      <w:r>
        <w:t xml:space="preserve"> 9:24-27 gives little reason for interpreting </w:t>
      </w:r>
      <w:r>
        <w:rPr>
          <w:i/>
        </w:rPr>
        <w:t xml:space="preserve">mashiyach </w:t>
      </w:r>
      <w:r>
        <w:t xml:space="preserve">as a title for a high priest against OT precedent. Though the sanctuary and the offerings are mentioned, the focus of the prophecy is the restoration of </w:t>
      </w:r>
      <w:smartTag w:uri="urn:schemas-microsoft-com:office:smarttags" w:element="City">
        <w:smartTag w:uri="urn:schemas-microsoft-com:office:smarttags" w:element="place">
          <w:r>
            <w:t>Jerusalem</w:t>
          </w:r>
        </w:smartTag>
      </w:smartTag>
      <w:r>
        <w:t xml:space="preserve"> and the nation. In this context we would more naturally expect reference to the r</w:t>
      </w:r>
      <w:r w:rsidR="00DD73B7">
        <w:t>estoration of the nation</w:t>
      </w:r>
      <w:r w:rsidR="000E2CE6">
        <w:t>’</w:t>
      </w:r>
      <w:r w:rsidR="00DD73B7">
        <w:t>s king</w:t>
      </w:r>
      <w:r>
        <w:t xml:space="preserve"> rather than its priests. This is confirmed by the fact that the </w:t>
      </w:r>
      <w:r>
        <w:rPr>
          <w:i/>
        </w:rPr>
        <w:t xml:space="preserve">mashiyach </w:t>
      </w:r>
      <w:r>
        <w:t xml:space="preserve">is also described as </w:t>
      </w:r>
      <w:proofErr w:type="spellStart"/>
      <w:r w:rsidR="00DD73B7" w:rsidRPr="00DD73B7">
        <w:rPr>
          <w:rFonts w:ascii="Bwhebb" w:hAnsi="Bwhebb" w:cs="Bwhebb"/>
          <w:color w:val="auto"/>
          <w:sz w:val="28"/>
          <w:szCs w:val="36"/>
          <w:lang w:eastAsia="en-GB" w:bidi="he-IL"/>
        </w:rPr>
        <w:t>dygn</w:t>
      </w:r>
      <w:proofErr w:type="spellEnd"/>
      <w:r>
        <w:t xml:space="preserve"> </w:t>
      </w:r>
      <w:r w:rsidR="00DD73B7">
        <w:t>(</w:t>
      </w:r>
      <w:r>
        <w:rPr>
          <w:i/>
        </w:rPr>
        <w:t>nagiyd</w:t>
      </w:r>
      <w:r w:rsidR="00DD73B7">
        <w:t xml:space="preserve">, </w:t>
      </w:r>
      <w:r w:rsidR="000E2CE6">
        <w:t>“</w:t>
      </w:r>
      <w:r>
        <w:t>a prince</w:t>
      </w:r>
      <w:r w:rsidR="000E2CE6">
        <w:t>”</w:t>
      </w:r>
      <w:r>
        <w:t xml:space="preserve">, </w:t>
      </w:r>
      <w:r w:rsidR="000E2CE6">
        <w:t>“</w:t>
      </w:r>
      <w:proofErr w:type="gramStart"/>
      <w:r>
        <w:t>a</w:t>
      </w:r>
      <w:proofErr w:type="gramEnd"/>
      <w:r>
        <w:t xml:space="preserve"> ruler</w:t>
      </w:r>
      <w:r w:rsidR="000E2CE6">
        <w:t>”</w:t>
      </w:r>
      <w:r>
        <w:t xml:space="preserve">). The term </w:t>
      </w:r>
      <w:r w:rsidR="000E2CE6">
        <w:t>‘</w:t>
      </w:r>
      <w:r>
        <w:rPr>
          <w:i/>
        </w:rPr>
        <w:t>nagiyd</w:t>
      </w:r>
      <w:r w:rsidR="000E2CE6">
        <w:t>’</w:t>
      </w:r>
      <w:r>
        <w:rPr>
          <w:i/>
        </w:rPr>
        <w:t xml:space="preserve"> </w:t>
      </w:r>
      <w:r>
        <w:t>is used frequently to refer to the king</w:t>
      </w:r>
      <w:r>
        <w:rPr>
          <w:rStyle w:val="FootnoteReference"/>
        </w:rPr>
        <w:footnoteReference w:id="20"/>
      </w:r>
      <w:r>
        <w:t xml:space="preserve"> but never for the office of high priest.</w:t>
      </w:r>
      <w:r>
        <w:rPr>
          <w:rStyle w:val="FootnoteReference"/>
        </w:rPr>
        <w:footnoteReference w:id="21"/>
      </w:r>
      <w:r>
        <w:t xml:space="preserve"> Therefore the </w:t>
      </w:r>
      <w:r>
        <w:rPr>
          <w:i/>
        </w:rPr>
        <w:t xml:space="preserve">mashiyach nagiyd </w:t>
      </w:r>
      <w:r>
        <w:t xml:space="preserve">should be interpreted as the restored king of </w:t>
      </w:r>
      <w:smartTag w:uri="urn:schemas-microsoft-com:office:smarttags" w:element="City">
        <w:smartTag w:uri="urn:schemas-microsoft-com:office:smarttags" w:element="place">
          <w:r>
            <w:t>Jerusalem</w:t>
          </w:r>
        </w:smartTag>
      </w:smartTag>
      <w:r>
        <w:t xml:space="preserve">: the Davidic Messiah. </w:t>
      </w:r>
    </w:p>
    <w:p w:rsidR="000A5F63" w:rsidRDefault="000A5F63" w:rsidP="000A5F63"/>
    <w:p w:rsidR="000A5F63" w:rsidRPr="00DD73B7" w:rsidRDefault="000A5F63" w:rsidP="000A5F63">
      <w:pPr>
        <w:rPr>
          <w:rFonts w:ascii="Bradley Hand ITC" w:hAnsi="Bradley Hand ITC"/>
          <w:b/>
          <w:sz w:val="28"/>
        </w:rPr>
      </w:pPr>
      <w:r w:rsidRPr="00DD73B7">
        <w:rPr>
          <w:rFonts w:ascii="Bradley Hand ITC" w:hAnsi="Bradley Hand ITC"/>
          <w:b/>
          <w:sz w:val="28"/>
        </w:rPr>
        <w:t>The Purpose of the Seventy-Weeks</w:t>
      </w:r>
    </w:p>
    <w:p w:rsidR="000A5F63" w:rsidRDefault="000A5F63" w:rsidP="000A5F63">
      <w:r>
        <w:t>The angel Gabriel lists six objectives to be achieved during the seventy-week dispensation. These are listed as [NKJV]:</w:t>
      </w:r>
    </w:p>
    <w:p w:rsidR="000A5F63" w:rsidRDefault="000A5F63" w:rsidP="000A5F63"/>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393"/>
      </w:tblGrid>
      <w:tr w:rsidR="000A5F63" w:rsidTr="00DD73B7">
        <w:tc>
          <w:tcPr>
            <w:tcW w:w="3524" w:type="dxa"/>
          </w:tcPr>
          <w:p w:rsidR="000A5F63" w:rsidRPr="00982759" w:rsidRDefault="000A5F63" w:rsidP="00DD73B7">
            <w:pPr>
              <w:jc w:val="left"/>
            </w:pPr>
            <w:r w:rsidRPr="00982759">
              <w:t xml:space="preserve">to finish the transgression </w:t>
            </w:r>
          </w:p>
        </w:tc>
        <w:tc>
          <w:tcPr>
            <w:tcW w:w="3393" w:type="dxa"/>
          </w:tcPr>
          <w:p w:rsidR="000A5F63" w:rsidRPr="00982759" w:rsidRDefault="000A5F63" w:rsidP="00DD73B7">
            <w:pPr>
              <w:jc w:val="left"/>
            </w:pPr>
            <w:r w:rsidRPr="00982759">
              <w:t>to bring in everlasting righteousness</w:t>
            </w:r>
          </w:p>
        </w:tc>
      </w:tr>
      <w:tr w:rsidR="000A5F63" w:rsidTr="00DD73B7">
        <w:tc>
          <w:tcPr>
            <w:tcW w:w="3524" w:type="dxa"/>
          </w:tcPr>
          <w:p w:rsidR="000A5F63" w:rsidRPr="00982759" w:rsidRDefault="000A5F63" w:rsidP="00DD73B7">
            <w:pPr>
              <w:jc w:val="left"/>
            </w:pPr>
            <w:r w:rsidRPr="00982759">
              <w:t>to make an end of sins</w:t>
            </w:r>
          </w:p>
        </w:tc>
        <w:tc>
          <w:tcPr>
            <w:tcW w:w="3393" w:type="dxa"/>
          </w:tcPr>
          <w:p w:rsidR="000A5F63" w:rsidRPr="00982759" w:rsidRDefault="000A5F63" w:rsidP="00DD73B7">
            <w:pPr>
              <w:jc w:val="left"/>
            </w:pPr>
            <w:r w:rsidRPr="00982759">
              <w:t xml:space="preserve">to seal up vision and prophecy </w:t>
            </w:r>
          </w:p>
        </w:tc>
      </w:tr>
      <w:tr w:rsidR="000A5F63" w:rsidTr="00DD73B7">
        <w:tc>
          <w:tcPr>
            <w:tcW w:w="3524" w:type="dxa"/>
          </w:tcPr>
          <w:p w:rsidR="000A5F63" w:rsidRPr="00982759" w:rsidRDefault="000A5F63" w:rsidP="00DD73B7">
            <w:pPr>
              <w:jc w:val="left"/>
            </w:pPr>
            <w:r w:rsidRPr="00982759">
              <w:t>to make reconciliation for iniquity</w:t>
            </w:r>
          </w:p>
        </w:tc>
        <w:tc>
          <w:tcPr>
            <w:tcW w:w="3393" w:type="dxa"/>
          </w:tcPr>
          <w:p w:rsidR="000A5F63" w:rsidRPr="00982759" w:rsidRDefault="000A5F63" w:rsidP="00DD73B7">
            <w:pPr>
              <w:jc w:val="left"/>
            </w:pPr>
            <w:r w:rsidRPr="00982759">
              <w:t>to anoint the most holy</w:t>
            </w:r>
          </w:p>
        </w:tc>
      </w:tr>
    </w:tbl>
    <w:p w:rsidR="000A5F63" w:rsidRDefault="000A5F63" w:rsidP="000A5F63"/>
    <w:p w:rsidR="000A5F63" w:rsidRDefault="000A5F63" w:rsidP="000A5F63">
      <w:r>
        <w:t xml:space="preserve">It has been noted that these six can be divided into three negative and three positive objectives. It has been suggested that these two sequences run in parallel (as above) the positive answering the negative. </w:t>
      </w:r>
    </w:p>
    <w:p w:rsidR="000A5F63" w:rsidRDefault="000A5F63" w:rsidP="000A5F63"/>
    <w:p w:rsidR="000A5F63" w:rsidRDefault="000A5F63" w:rsidP="000A5F63">
      <w:r>
        <w:t xml:space="preserve">The first three objectives regard </w:t>
      </w:r>
      <w:r w:rsidR="008929DC" w:rsidRPr="008929DC">
        <w:rPr>
          <w:rFonts w:ascii="Bwhebb" w:hAnsi="Bwhebb" w:cs="Bwhebb"/>
          <w:color w:val="auto"/>
          <w:sz w:val="28"/>
          <w:szCs w:val="36"/>
          <w:lang w:eastAsia="en-GB" w:bidi="he-IL"/>
        </w:rPr>
        <w:t>[</w:t>
      </w:r>
      <w:proofErr w:type="spellStart"/>
      <w:r w:rsidR="008929DC" w:rsidRPr="008929DC">
        <w:rPr>
          <w:rFonts w:ascii="Bwhebb" w:hAnsi="Bwhebb" w:cs="Bwhebb"/>
          <w:color w:val="auto"/>
          <w:sz w:val="28"/>
          <w:szCs w:val="36"/>
          <w:lang w:eastAsia="en-GB" w:bidi="he-IL"/>
        </w:rPr>
        <w:t>vp</w:t>
      </w:r>
      <w:proofErr w:type="spellEnd"/>
      <w:r>
        <w:t xml:space="preserve"> </w:t>
      </w:r>
      <w:r w:rsidR="008929DC">
        <w:t>(</w:t>
      </w:r>
      <w:proofErr w:type="spellStart"/>
      <w:r w:rsidR="008929DC">
        <w:rPr>
          <w:i/>
        </w:rPr>
        <w:t>pesha</w:t>
      </w:r>
      <w:proofErr w:type="spellEnd"/>
      <w:r w:rsidR="008929DC">
        <w:t xml:space="preserve">, </w:t>
      </w:r>
      <w:r w:rsidR="000E2CE6">
        <w:t>“</w:t>
      </w:r>
      <w:r>
        <w:t>transgression</w:t>
      </w:r>
      <w:r w:rsidR="000E2CE6">
        <w:t>”</w:t>
      </w:r>
      <w:r>
        <w:t xml:space="preserve">), </w:t>
      </w:r>
      <w:proofErr w:type="spellStart"/>
      <w:r w:rsidR="008929DC" w:rsidRPr="008929DC">
        <w:rPr>
          <w:rFonts w:ascii="Bwhebb" w:hAnsi="Bwhebb" w:cs="Bwhebb"/>
          <w:color w:val="auto"/>
          <w:sz w:val="28"/>
          <w:szCs w:val="36"/>
          <w:lang w:eastAsia="en-GB" w:bidi="he-IL"/>
        </w:rPr>
        <w:t>hajx</w:t>
      </w:r>
      <w:proofErr w:type="spellEnd"/>
      <w:r>
        <w:t xml:space="preserve"> </w:t>
      </w:r>
      <w:proofErr w:type="spellStart"/>
      <w:r>
        <w:rPr>
          <w:i/>
        </w:rPr>
        <w:t>chatta</w:t>
      </w:r>
      <w:r w:rsidR="000E2CE6">
        <w:rPr>
          <w:i/>
        </w:rPr>
        <w:t>’</w:t>
      </w:r>
      <w:r>
        <w:rPr>
          <w:i/>
        </w:rPr>
        <w:t>ah</w:t>
      </w:r>
      <w:proofErr w:type="spellEnd"/>
      <w:r>
        <w:rPr>
          <w:i/>
        </w:rPr>
        <w:t xml:space="preserve"> </w:t>
      </w:r>
      <w:r w:rsidR="008929DC">
        <w:t>(</w:t>
      </w:r>
      <w:r w:rsidR="000E2CE6">
        <w:t>“</w:t>
      </w:r>
      <w:r w:rsidR="008929DC">
        <w:t>sins</w:t>
      </w:r>
      <w:r w:rsidR="000E2CE6">
        <w:t>”</w:t>
      </w:r>
      <w:r w:rsidR="008929DC">
        <w:t xml:space="preserve">) </w:t>
      </w:r>
      <w:proofErr w:type="gramStart"/>
      <w:r w:rsidR="008929DC">
        <w:t xml:space="preserve">and </w:t>
      </w:r>
      <w:r w:rsidR="008929DC" w:rsidRPr="008929DC">
        <w:rPr>
          <w:rFonts w:ascii="Bwhebb" w:hAnsi="Bwhebb" w:cs="Bwhebb"/>
          <w:color w:val="auto"/>
          <w:sz w:val="28"/>
          <w:szCs w:val="36"/>
          <w:lang w:eastAsia="en-GB" w:bidi="he-IL"/>
        </w:rPr>
        <w:t>!</w:t>
      </w:r>
      <w:proofErr w:type="gramEnd"/>
      <w:r w:rsidR="008929DC" w:rsidRPr="008929DC">
        <w:rPr>
          <w:rFonts w:ascii="Bwhebb" w:hAnsi="Bwhebb" w:cs="Bwhebb"/>
          <w:color w:val="auto"/>
          <w:sz w:val="28"/>
          <w:szCs w:val="36"/>
          <w:lang w:eastAsia="en-GB" w:bidi="he-IL"/>
        </w:rPr>
        <w:t>w[</w:t>
      </w:r>
      <w:r w:rsidR="008929DC">
        <w:rPr>
          <w:i/>
        </w:rPr>
        <w:t xml:space="preserve"> </w:t>
      </w:r>
      <w:r w:rsidR="008929DC">
        <w:t>(</w:t>
      </w:r>
      <w:r w:rsidR="000E2CE6">
        <w:rPr>
          <w:i/>
        </w:rPr>
        <w:t>‘</w:t>
      </w:r>
      <w:proofErr w:type="spellStart"/>
      <w:r>
        <w:rPr>
          <w:i/>
        </w:rPr>
        <w:t>avon</w:t>
      </w:r>
      <w:proofErr w:type="spellEnd"/>
      <w:r w:rsidR="008929DC">
        <w:rPr>
          <w:i/>
        </w:rPr>
        <w:t xml:space="preserve">, </w:t>
      </w:r>
      <w:r w:rsidR="000E2CE6">
        <w:t>“</w:t>
      </w:r>
      <w:r>
        <w:t>iniquity</w:t>
      </w:r>
      <w:r w:rsidR="000E2CE6">
        <w:t>”</w:t>
      </w:r>
      <w:r>
        <w:t xml:space="preserve">). </w:t>
      </w:r>
      <w:proofErr w:type="spellStart"/>
      <w:r>
        <w:rPr>
          <w:i/>
        </w:rPr>
        <w:t>Pesha</w:t>
      </w:r>
      <w:proofErr w:type="spellEnd"/>
      <w:r>
        <w:rPr>
          <w:i/>
        </w:rPr>
        <w:t xml:space="preserve"> </w:t>
      </w:r>
      <w:r>
        <w:t xml:space="preserve">can refer both to personal sins and </w:t>
      </w:r>
      <w:r>
        <w:lastRenderedPageBreak/>
        <w:t>national rebellion</w:t>
      </w:r>
      <w:r w:rsidR="008929DC">
        <w:t>;</w:t>
      </w:r>
      <w:r>
        <w:t xml:space="preserve"> </w:t>
      </w:r>
      <w:proofErr w:type="spellStart"/>
      <w:r w:rsidR="008929DC">
        <w:t>c</w:t>
      </w:r>
      <w:r>
        <w:rPr>
          <w:i/>
        </w:rPr>
        <w:t>hatta</w:t>
      </w:r>
      <w:r w:rsidR="000E2CE6">
        <w:rPr>
          <w:i/>
        </w:rPr>
        <w:t>’</w:t>
      </w:r>
      <w:r>
        <w:rPr>
          <w:i/>
        </w:rPr>
        <w:t>ah</w:t>
      </w:r>
      <w:proofErr w:type="spellEnd"/>
      <w:r>
        <w:rPr>
          <w:i/>
        </w:rPr>
        <w:t xml:space="preserve"> </w:t>
      </w:r>
      <w:r>
        <w:t>can also be used of both personal and national sins,</w:t>
      </w:r>
      <w:r>
        <w:rPr>
          <w:rStyle w:val="FootnoteReference"/>
        </w:rPr>
        <w:footnoteReference w:id="22"/>
      </w:r>
      <w:r>
        <w:t xml:space="preserve"> but is also frequently translated </w:t>
      </w:r>
      <w:r w:rsidR="000E2CE6">
        <w:t>“</w:t>
      </w:r>
      <w:r>
        <w:t>sin offering</w:t>
      </w:r>
      <w:r w:rsidR="000E2CE6">
        <w:t>”</w:t>
      </w:r>
      <w:r>
        <w:t xml:space="preserve"> (116 times in KJV). As this passage follows Daniel</w:t>
      </w:r>
      <w:r w:rsidR="000E2CE6">
        <w:t>’</w:t>
      </w:r>
      <w:r>
        <w:t>s prayer confessing the sins of his people</w:t>
      </w:r>
      <w:r w:rsidR="00654E0A">
        <w:t>,</w:t>
      </w:r>
      <w:r>
        <w:t xml:space="preserve"> we might suppose that it is Israel</w:t>
      </w:r>
      <w:r w:rsidR="000E2CE6">
        <w:t>’</w:t>
      </w:r>
      <w:r>
        <w:t>s rebellion against God that is intended. However, in his prayer</w:t>
      </w:r>
      <w:r w:rsidR="00654E0A">
        <w:t>,</w:t>
      </w:r>
      <w:r>
        <w:t xml:space="preserve"> Daniel specifies his peoples</w:t>
      </w:r>
      <w:r w:rsidR="000E2CE6">
        <w:t>’</w:t>
      </w:r>
      <w:r>
        <w:t xml:space="preserve"> sins as breaking the commandments (Dan 9:5, 11) and connects them with his own sins (Dan 9:20)</w:t>
      </w:r>
      <w:r w:rsidR="008929DC">
        <w:t>,</w:t>
      </w:r>
      <w:r w:rsidR="00654E0A">
        <w:t xml:space="preserve"> so it is probable that Daniel</w:t>
      </w:r>
      <w:r>
        <w:t xml:space="preserve"> has individual transgressions in mind; this is supported by the use of </w:t>
      </w:r>
      <w:r w:rsidR="000E2CE6">
        <w:rPr>
          <w:i/>
        </w:rPr>
        <w:t>‘</w:t>
      </w:r>
      <w:proofErr w:type="spellStart"/>
      <w:r>
        <w:rPr>
          <w:i/>
        </w:rPr>
        <w:t>avon</w:t>
      </w:r>
      <w:proofErr w:type="spellEnd"/>
      <w:r>
        <w:rPr>
          <w:i/>
        </w:rPr>
        <w:t xml:space="preserve">. </w:t>
      </w:r>
      <w:r>
        <w:t xml:space="preserve">Further, the fact that these three negative clauses are followed by </w:t>
      </w:r>
      <w:r w:rsidR="000E2CE6">
        <w:t>“</w:t>
      </w:r>
      <w:r>
        <w:t>to bring in everlasting righteousness</w:t>
      </w:r>
      <w:r w:rsidR="000E2CE6">
        <w:t>”</w:t>
      </w:r>
      <w:r>
        <w:t xml:space="preserve"> suggests that abolition of sin described here is final and universal. </w:t>
      </w:r>
    </w:p>
    <w:p w:rsidR="000A5F63" w:rsidRDefault="000A5F63" w:rsidP="000A5F63"/>
    <w:p w:rsidR="000A5F63" w:rsidRDefault="000A5F63" w:rsidP="000A5F63">
      <w:r>
        <w:t>If the first clause (</w:t>
      </w:r>
      <w:r w:rsidR="000E2CE6">
        <w:t>“</w:t>
      </w:r>
      <w:r>
        <w:t>to finish transgression</w:t>
      </w:r>
      <w:r w:rsidR="000E2CE6">
        <w:t>”</w:t>
      </w:r>
      <w:r>
        <w:t>) is interpreted as the end of all sin, then the second follows logically. The sin-offerings are brought to an end because where there is no sin there is no need for a sin offering. The third c</w:t>
      </w:r>
      <w:r w:rsidR="00654E0A">
        <w:t xml:space="preserve">lause, </w:t>
      </w:r>
      <w:r w:rsidR="000E2CE6">
        <w:t>“</w:t>
      </w:r>
      <w:r w:rsidR="00654E0A">
        <w:t>to make reconciliation (</w:t>
      </w:r>
      <w:proofErr w:type="spellStart"/>
      <w:r w:rsidR="00654E0A" w:rsidRPr="00654E0A">
        <w:rPr>
          <w:rFonts w:ascii="Bwhebb" w:hAnsi="Bwhebb" w:cs="Bwhebb"/>
          <w:color w:val="auto"/>
          <w:sz w:val="28"/>
          <w:szCs w:val="36"/>
          <w:lang w:eastAsia="en-GB" w:bidi="he-IL"/>
        </w:rPr>
        <w:t>rpk</w:t>
      </w:r>
      <w:proofErr w:type="spellEnd"/>
      <w:r>
        <w:t xml:space="preserve"> </w:t>
      </w:r>
      <w:proofErr w:type="spellStart"/>
      <w:r w:rsidRPr="00AA1FB4">
        <w:rPr>
          <w:i/>
        </w:rPr>
        <w:t>kaphar</w:t>
      </w:r>
      <w:proofErr w:type="spellEnd"/>
      <w:r w:rsidR="00654E0A">
        <w:t>)</w:t>
      </w:r>
      <w:r>
        <w:t xml:space="preserve"> </w:t>
      </w:r>
      <w:r w:rsidRPr="00AA1FB4">
        <w:t>for</w:t>
      </w:r>
      <w:r>
        <w:t xml:space="preserve"> iniquity</w:t>
      </w:r>
      <w:r w:rsidR="000E2CE6">
        <w:t>”</w:t>
      </w:r>
      <w:r>
        <w:t xml:space="preserve">, may be interpreted in several ways. The root </w:t>
      </w:r>
      <w:proofErr w:type="spellStart"/>
      <w:r>
        <w:rPr>
          <w:i/>
        </w:rPr>
        <w:t>kaphar</w:t>
      </w:r>
      <w:proofErr w:type="spellEnd"/>
      <w:r>
        <w:rPr>
          <w:i/>
        </w:rPr>
        <w:t xml:space="preserve"> </w:t>
      </w:r>
      <w:r>
        <w:t xml:space="preserve">means </w:t>
      </w:r>
      <w:r w:rsidR="000E2CE6">
        <w:t>“</w:t>
      </w:r>
      <w:r>
        <w:t>to cover</w:t>
      </w:r>
      <w:r w:rsidR="000E2CE6">
        <w:t>”</w:t>
      </w:r>
      <w:r>
        <w:t>, and in this instance refers to the covering of sin</w:t>
      </w:r>
      <w:r w:rsidR="00654E0A">
        <w:t>;</w:t>
      </w:r>
      <w:r>
        <w:t xml:space="preserve"> hence</w:t>
      </w:r>
      <w:r w:rsidR="00654E0A">
        <w:t xml:space="preserve">, </w:t>
      </w:r>
      <w:r w:rsidR="000E2CE6">
        <w:t>“</w:t>
      </w:r>
      <w:r w:rsidR="00654E0A">
        <w:t>to make reconciliation</w:t>
      </w:r>
      <w:r w:rsidR="000E2CE6">
        <w:t>”</w:t>
      </w:r>
      <w:r w:rsidR="00654E0A">
        <w:t xml:space="preserve"> (NKJV) or </w:t>
      </w:r>
      <w:r w:rsidR="000E2CE6">
        <w:t>“</w:t>
      </w:r>
      <w:r w:rsidR="00654E0A">
        <w:t>to atone for</w:t>
      </w:r>
      <w:r w:rsidR="000E2CE6">
        <w:t>”</w:t>
      </w:r>
      <w:r w:rsidR="00654E0A">
        <w:t xml:space="preserve"> (ESV)</w:t>
      </w:r>
      <w:r>
        <w:t>. The question is</w:t>
      </w:r>
      <w:r w:rsidR="00654E0A">
        <w:t>:</w:t>
      </w:r>
      <w:r>
        <w:t xml:space="preserve"> </w:t>
      </w:r>
      <w:r w:rsidR="00654E0A">
        <w:t>W</w:t>
      </w:r>
      <w:r>
        <w:t xml:space="preserve">ho is the subject of the verb, and hence the one doing the covering? As Young summarizes: </w:t>
      </w:r>
    </w:p>
    <w:p w:rsidR="000A5F63" w:rsidRDefault="000A5F63" w:rsidP="000A5F63"/>
    <w:p w:rsidR="000A5F63" w:rsidRPr="00AA1FB4" w:rsidRDefault="000A5F63" w:rsidP="00654E0A">
      <w:pPr>
        <w:pStyle w:val="Quote"/>
      </w:pPr>
      <w:r>
        <w:t>If the subject who covers is a priest, the meaning is to cover the sinner (usually) by means of a propitiatory sacrifice, hence, to make atonement or reconciliation. If God is the subject, it means to forgive, i.e., to regard as covered (cf. Jer. 18:23; Ps. 65:3). In this present instance, it is difficult to make this distinction, since no subject is mentioned</w:t>
      </w:r>
      <w:r w:rsidR="00654E0A">
        <w:t>.</w:t>
      </w:r>
      <w:r w:rsidRPr="007E6FA7">
        <w:rPr>
          <w:rStyle w:val="FootnoteReference"/>
          <w:szCs w:val="20"/>
        </w:rPr>
        <w:footnoteReference w:id="23"/>
      </w:r>
    </w:p>
    <w:p w:rsidR="000A5F63" w:rsidRDefault="000A5F63" w:rsidP="000A5F63"/>
    <w:p w:rsidR="000A5F63" w:rsidRDefault="000A5F63" w:rsidP="000A5F63">
      <w:r>
        <w:t>The subject may be determined from the context: if Gabriel were referring to the normal rituals of the Temple</w:t>
      </w:r>
      <w:r w:rsidR="007E6FA7">
        <w:t>,</w:t>
      </w:r>
      <w:r>
        <w:t xml:space="preserve"> then the high priest would be subject</w:t>
      </w:r>
      <w:r w:rsidR="007E6FA7">
        <w:t>;</w:t>
      </w:r>
      <w:r>
        <w:t xml:space="preserve"> however</w:t>
      </w:r>
      <w:r w:rsidR="007E6FA7">
        <w:t>,</w:t>
      </w:r>
      <w:r>
        <w:t xml:space="preserve"> since the passage gives an impression of finality then a human priest cannot be the subject as his </w:t>
      </w:r>
      <w:r w:rsidR="000E2CE6">
        <w:t>‘</w:t>
      </w:r>
      <w:r>
        <w:t>covering</w:t>
      </w:r>
      <w:r w:rsidR="000E2CE6">
        <w:t>’</w:t>
      </w:r>
      <w:r>
        <w:t xml:space="preserve"> has to be repeated every year. The implication is that </w:t>
      </w:r>
      <w:r w:rsidR="007E6FA7">
        <w:t xml:space="preserve">it is </w:t>
      </w:r>
      <w:r>
        <w:t xml:space="preserve">God who will </w:t>
      </w:r>
      <w:r w:rsidR="000E2CE6">
        <w:t>‘</w:t>
      </w:r>
      <w:r>
        <w:t>cover</w:t>
      </w:r>
      <w:r w:rsidR="000E2CE6">
        <w:t>’</w:t>
      </w:r>
      <w:r>
        <w:t xml:space="preserve"> the iniquity. </w:t>
      </w:r>
    </w:p>
    <w:p w:rsidR="000A5F63" w:rsidRDefault="000A5F63" w:rsidP="000A5F63"/>
    <w:p w:rsidR="000A5F63" w:rsidRDefault="000E2CE6" w:rsidP="000A5F63">
      <w:r>
        <w:lastRenderedPageBreak/>
        <w:t>“</w:t>
      </w:r>
      <w:r w:rsidR="007E6FA7">
        <w:t>To seal up (</w:t>
      </w:r>
      <w:r w:rsidR="007E6FA7" w:rsidRPr="00186D61">
        <w:rPr>
          <w:rFonts w:ascii="Bwhebb" w:hAnsi="Bwhebb" w:cs="Bwhebb"/>
          <w:color w:val="auto"/>
          <w:sz w:val="28"/>
          <w:szCs w:val="36"/>
          <w:lang w:eastAsia="en-GB" w:bidi="he-IL"/>
        </w:rPr>
        <w:t>~</w:t>
      </w:r>
      <w:proofErr w:type="spellStart"/>
      <w:proofErr w:type="gramStart"/>
      <w:r w:rsidR="007E6FA7" w:rsidRPr="00186D61">
        <w:rPr>
          <w:rFonts w:ascii="Bwhebb" w:hAnsi="Bwhebb" w:cs="Bwhebb"/>
          <w:color w:val="auto"/>
          <w:sz w:val="28"/>
          <w:szCs w:val="36"/>
          <w:lang w:eastAsia="en-GB" w:bidi="he-IL"/>
        </w:rPr>
        <w:t>tx</w:t>
      </w:r>
      <w:proofErr w:type="spellEnd"/>
      <w:proofErr w:type="gramEnd"/>
      <w:r w:rsidR="000A5F63" w:rsidRPr="00186D61">
        <w:t xml:space="preserve"> </w:t>
      </w:r>
      <w:proofErr w:type="spellStart"/>
      <w:r w:rsidR="000A5F63">
        <w:rPr>
          <w:i/>
        </w:rPr>
        <w:t>chatham</w:t>
      </w:r>
      <w:proofErr w:type="spellEnd"/>
      <w:r w:rsidR="007E6FA7">
        <w:t>)</w:t>
      </w:r>
      <w:r w:rsidR="000A5F63">
        <w:t xml:space="preserve"> vision and prophecy</w:t>
      </w:r>
      <w:r>
        <w:t>”</w:t>
      </w:r>
      <w:r w:rsidR="000A5F63">
        <w:t xml:space="preserve"> has generally been interpreted either as the ratification of prophecy (by its fulfillment)</w:t>
      </w:r>
      <w:r w:rsidR="000A5F63">
        <w:rPr>
          <w:rStyle w:val="FootnoteReference"/>
        </w:rPr>
        <w:footnoteReference w:id="24"/>
      </w:r>
      <w:r w:rsidR="000A5F63">
        <w:t xml:space="preserve"> or the end of prophecy.</w:t>
      </w:r>
      <w:r w:rsidR="000A5F63">
        <w:rPr>
          <w:rStyle w:val="FootnoteReference"/>
        </w:rPr>
        <w:footnoteReference w:id="25"/>
      </w:r>
      <w:r w:rsidR="000A5F63">
        <w:t xml:space="preserve"> However, neither of these suggestions reflects the usage of </w:t>
      </w:r>
      <w:proofErr w:type="spellStart"/>
      <w:proofErr w:type="gramStart"/>
      <w:r w:rsidR="000A5F63">
        <w:rPr>
          <w:i/>
        </w:rPr>
        <w:t>chatham</w:t>
      </w:r>
      <w:proofErr w:type="spellEnd"/>
      <w:proofErr w:type="gramEnd"/>
      <w:r w:rsidR="000A5F63">
        <w:rPr>
          <w:i/>
        </w:rPr>
        <w:t xml:space="preserve"> </w:t>
      </w:r>
      <w:r w:rsidR="000A5F63">
        <w:t>elsewhere in Daniel:</w:t>
      </w:r>
    </w:p>
    <w:p w:rsidR="000A5F63" w:rsidRDefault="000A5F63" w:rsidP="000A5F63"/>
    <w:p w:rsidR="000A5F63" w:rsidRDefault="000E2CE6" w:rsidP="00186D61">
      <w:pPr>
        <w:pStyle w:val="Quote"/>
      </w:pPr>
      <w:r>
        <w:t>“</w:t>
      </w:r>
      <w:r w:rsidR="000A5F63">
        <w:t xml:space="preserve">But you, Daniel, shut up the words, and </w:t>
      </w:r>
      <w:proofErr w:type="gramStart"/>
      <w:r w:rsidR="000A5F63">
        <w:t>seal</w:t>
      </w:r>
      <w:proofErr w:type="gramEnd"/>
      <w:r w:rsidR="000A5F63">
        <w:t xml:space="preserve"> [</w:t>
      </w:r>
      <w:proofErr w:type="spellStart"/>
      <w:r w:rsidR="000A5F63" w:rsidRPr="007F15AC">
        <w:rPr>
          <w:i/>
        </w:rPr>
        <w:t>chatham</w:t>
      </w:r>
      <w:proofErr w:type="spellEnd"/>
      <w:r w:rsidR="000A5F63">
        <w:t xml:space="preserve">] </w:t>
      </w:r>
      <w:r w:rsidR="000A5F63" w:rsidRPr="007F15AC">
        <w:t>the</w:t>
      </w:r>
      <w:r w:rsidR="000A5F63">
        <w:t xml:space="preserve"> book until the time of the end; many shall run to and fro, and knowledge shall increase</w:t>
      </w:r>
      <w:r>
        <w:t>”</w:t>
      </w:r>
      <w:r w:rsidR="00186D61">
        <w:t>.</w:t>
      </w:r>
      <w:r w:rsidR="00AF73BE">
        <w:t xml:space="preserve"> Dan 12:4 (NKJV)</w:t>
      </w:r>
    </w:p>
    <w:p w:rsidR="000A5F63" w:rsidRDefault="000A5F63" w:rsidP="000A5F63"/>
    <w:p w:rsidR="000A5F63" w:rsidRDefault="000A5F63" w:rsidP="00186D61">
      <w:pPr>
        <w:pStyle w:val="Quote"/>
      </w:pPr>
      <w:r>
        <w:t xml:space="preserve">And he said, </w:t>
      </w:r>
      <w:r w:rsidR="000E2CE6">
        <w:t>“</w:t>
      </w:r>
      <w:r>
        <w:t>Go your way, Daniel, for the words are closed up and sealed [</w:t>
      </w:r>
      <w:proofErr w:type="spellStart"/>
      <w:proofErr w:type="gramStart"/>
      <w:r>
        <w:rPr>
          <w:i/>
        </w:rPr>
        <w:t>chatham</w:t>
      </w:r>
      <w:proofErr w:type="spellEnd"/>
      <w:proofErr w:type="gramEnd"/>
      <w:r w:rsidR="00186D61">
        <w:t>] till t</w:t>
      </w:r>
      <w:r w:rsidR="001530B1">
        <w:t>he time of the end</w:t>
      </w:r>
      <w:r w:rsidR="000E2CE6">
        <w:t>”</w:t>
      </w:r>
      <w:r w:rsidR="00186D61">
        <w:t>.</w:t>
      </w:r>
      <w:r w:rsidR="00AF73BE">
        <w:t xml:space="preserve"> Dan 12:9 (NKJV)</w:t>
      </w:r>
    </w:p>
    <w:p w:rsidR="000F1348" w:rsidRDefault="000F1348" w:rsidP="000A5F63"/>
    <w:p w:rsidR="000A5F63" w:rsidRDefault="000A5F63" w:rsidP="000A5F63">
      <w:r>
        <w:t xml:space="preserve">The </w:t>
      </w:r>
      <w:r w:rsidR="000E2CE6">
        <w:t>“</w:t>
      </w:r>
      <w:r>
        <w:t>words</w:t>
      </w:r>
      <w:r w:rsidR="000E2CE6">
        <w:t>”</w:t>
      </w:r>
      <w:r>
        <w:t xml:space="preserve"> sealed presumably refers to the visions and prophecies given to Daniel. In this context </w:t>
      </w:r>
      <w:r w:rsidR="000E2CE6">
        <w:t>‘</w:t>
      </w:r>
      <w:r>
        <w:t>sealing</w:t>
      </w:r>
      <w:r w:rsidR="000E2CE6">
        <w:t>’</w:t>
      </w:r>
      <w:r>
        <w:t xml:space="preserve"> does not seem to refer to either their ratification or their completion. Instead the </w:t>
      </w:r>
      <w:r w:rsidR="000E2CE6">
        <w:t>“</w:t>
      </w:r>
      <w:r>
        <w:t>sealing</w:t>
      </w:r>
      <w:r w:rsidR="000E2CE6">
        <w:t>”</w:t>
      </w:r>
      <w:r>
        <w:t xml:space="preserve"> seems to imply that the meaning of the visions is hidden until </w:t>
      </w:r>
      <w:r w:rsidR="000E2CE6">
        <w:t>“</w:t>
      </w:r>
      <w:r>
        <w:t>the time of the end</w:t>
      </w:r>
      <w:r w:rsidR="000E2CE6">
        <w:t>”</w:t>
      </w:r>
      <w:r>
        <w:t>.</w:t>
      </w:r>
      <w:r>
        <w:rPr>
          <w:rStyle w:val="FootnoteReference"/>
        </w:rPr>
        <w:footnoteReference w:id="26"/>
      </w:r>
      <w:r>
        <w:t xml:space="preserve"> If this reasoning is sound then </w:t>
      </w:r>
      <w:r w:rsidR="000E2CE6">
        <w:t>“</w:t>
      </w:r>
      <w:r>
        <w:t>to seal up vision and prophecy</w:t>
      </w:r>
      <w:r w:rsidR="000E2CE6">
        <w:t>”</w:t>
      </w:r>
      <w:r>
        <w:t xml:space="preserve"> would imply that a period when vision and prophecy is not understood, when its meaning is hidden. It is possible that the </w:t>
      </w:r>
      <w:r w:rsidR="000E2CE6">
        <w:t>“</w:t>
      </w:r>
      <w:r>
        <w:t>seventy weeks</w:t>
      </w:r>
      <w:r w:rsidR="000E2CE6">
        <w:t>”</w:t>
      </w:r>
      <w:r>
        <w:t xml:space="preserve"> is the intended period when the true interpretation of prophecy (this prophecy?) would be not understood.</w:t>
      </w:r>
    </w:p>
    <w:p w:rsidR="000A5F63" w:rsidRDefault="000A5F63" w:rsidP="000A5F63"/>
    <w:p w:rsidR="00F51F98" w:rsidRDefault="000A5F63" w:rsidP="00F51F98">
      <w:pPr>
        <w:autoSpaceDE w:val="0"/>
        <w:autoSpaceDN w:val="0"/>
        <w:adjustRightInd w:val="0"/>
      </w:pPr>
      <w:r>
        <w:t xml:space="preserve">The referent of the phrase </w:t>
      </w:r>
      <w:r w:rsidR="000E2CE6">
        <w:t>“</w:t>
      </w:r>
      <w:r>
        <w:t>the most holy</w:t>
      </w:r>
      <w:r w:rsidR="000E2CE6">
        <w:t>”</w:t>
      </w:r>
      <w:r>
        <w:t xml:space="preserve"> </w:t>
      </w:r>
      <w:r w:rsidR="00F51F98">
        <w:t>(</w:t>
      </w:r>
      <w:r w:rsidR="00F51F98" w:rsidRPr="00F51F98">
        <w:rPr>
          <w:rFonts w:ascii="Bwhebb" w:hAnsi="Bwhebb" w:cs="Bwhebb"/>
          <w:color w:val="auto"/>
          <w:sz w:val="28"/>
          <w:szCs w:val="36"/>
          <w:lang w:eastAsia="en-GB" w:bidi="he-IL"/>
        </w:rPr>
        <w:t>~</w:t>
      </w:r>
      <w:proofErr w:type="spellStart"/>
      <w:r w:rsidR="00F51F98" w:rsidRPr="00F51F98">
        <w:rPr>
          <w:rFonts w:ascii="Bwhebb" w:hAnsi="Bwhebb" w:cs="Bwhebb"/>
          <w:color w:val="auto"/>
          <w:sz w:val="28"/>
          <w:szCs w:val="36"/>
          <w:lang w:eastAsia="en-GB" w:bidi="he-IL"/>
        </w:rPr>
        <w:t>yvdq</w:t>
      </w:r>
      <w:proofErr w:type="spellEnd"/>
      <w:r w:rsidR="00F51F98" w:rsidRPr="00F51F98">
        <w:rPr>
          <w:rFonts w:ascii="Bwhebb" w:hAnsi="Bwhebb" w:cs="Bwhebb"/>
          <w:color w:val="auto"/>
          <w:sz w:val="28"/>
          <w:szCs w:val="36"/>
          <w:lang w:eastAsia="en-GB" w:bidi="he-IL"/>
        </w:rPr>
        <w:t xml:space="preserve"> </w:t>
      </w:r>
      <w:proofErr w:type="spellStart"/>
      <w:r w:rsidR="00F51F98" w:rsidRPr="00F51F98">
        <w:rPr>
          <w:rFonts w:ascii="Bwhebb" w:hAnsi="Bwhebb" w:cs="Bwhebb"/>
          <w:color w:val="auto"/>
          <w:sz w:val="28"/>
          <w:szCs w:val="36"/>
          <w:lang w:eastAsia="en-GB" w:bidi="he-IL"/>
        </w:rPr>
        <w:t>vdq</w:t>
      </w:r>
      <w:proofErr w:type="spellEnd"/>
      <w:r w:rsidR="00F51F98">
        <w:t xml:space="preserve">) </w:t>
      </w:r>
      <w:r>
        <w:t xml:space="preserve">is not immediately obvious. The phrase </w:t>
      </w:r>
      <w:r w:rsidR="000E2CE6">
        <w:t>“</w:t>
      </w:r>
      <w:r>
        <w:t>the most holy place</w:t>
      </w:r>
      <w:r w:rsidR="000E2CE6">
        <w:t>”</w:t>
      </w:r>
      <w:r>
        <w:t xml:space="preserve"> is used frequently in the OT to denote the innermost part of the Tabernacle, and the Temple, in which the Ark of Covenant dwelt (</w:t>
      </w:r>
      <w:r w:rsidRPr="00EB4751">
        <w:t>Ex</w:t>
      </w:r>
      <w:r w:rsidR="00F20AC6">
        <w:t>od</w:t>
      </w:r>
      <w:r w:rsidRPr="00EB4751">
        <w:t xml:space="preserve"> 26:33; Num 18:10; 1 Kgs 6:16; 7:50; 8:6; 1 Chr</w:t>
      </w:r>
      <w:r w:rsidR="00F20AC6">
        <w:t>on</w:t>
      </w:r>
      <w:r w:rsidRPr="00EB4751">
        <w:t xml:space="preserve"> 6:49; 2 Chr</w:t>
      </w:r>
      <w:r w:rsidR="00F20AC6">
        <w:t>on</w:t>
      </w:r>
      <w:r w:rsidRPr="00EB4751">
        <w:t xml:space="preserve"> 3:8, 10; 4:22; 5:7; Ezek 41:4; 45:3</w:t>
      </w:r>
      <w:r>
        <w:t xml:space="preserve">). It is also </w:t>
      </w:r>
      <w:r w:rsidR="00F51F98">
        <w:t xml:space="preserve">used adjectively </w:t>
      </w:r>
      <w:r>
        <w:t xml:space="preserve">(more frequently) with reference to offerings, altars and places that are dedicated to God, that is </w:t>
      </w:r>
      <w:r w:rsidR="000E2CE6">
        <w:t>“</w:t>
      </w:r>
      <w:r>
        <w:t>the most holy things</w:t>
      </w:r>
      <w:r w:rsidR="000E2CE6">
        <w:t>”</w:t>
      </w:r>
      <w:r>
        <w:t xml:space="preserve"> (Ex</w:t>
      </w:r>
      <w:r w:rsidR="00F20AC6">
        <w:t>od</w:t>
      </w:r>
      <w:r>
        <w:t xml:space="preserve"> 30:10, 29, 36; 40:10; Lev 2:3, 10; 6:25, 29; 7:1, 6; 10:12, 17; 14:13; 24:9; 27:28; Num 18:19; </w:t>
      </w:r>
      <w:r>
        <w:lastRenderedPageBreak/>
        <w:t>Ezek 43:12; 48:12). This second usage can be applied to anything, even people.</w:t>
      </w:r>
      <w:r>
        <w:rPr>
          <w:rStyle w:val="FootnoteReference"/>
        </w:rPr>
        <w:footnoteReference w:id="27"/>
      </w:r>
      <w:r>
        <w:t xml:space="preserve"> </w:t>
      </w:r>
    </w:p>
    <w:p w:rsidR="00F51F98" w:rsidRDefault="00F51F98" w:rsidP="00F51F98">
      <w:pPr>
        <w:autoSpaceDE w:val="0"/>
        <w:autoSpaceDN w:val="0"/>
        <w:adjustRightInd w:val="0"/>
      </w:pPr>
    </w:p>
    <w:p w:rsidR="000A5F63" w:rsidRDefault="000A5F63" w:rsidP="00F51F98">
      <w:pPr>
        <w:autoSpaceDE w:val="0"/>
        <w:autoSpaceDN w:val="0"/>
        <w:adjustRightInd w:val="0"/>
      </w:pPr>
      <w:r>
        <w:t xml:space="preserve">In these instances it is the context that determines the </w:t>
      </w:r>
      <w:r w:rsidR="00F51F98">
        <w:t>referent;</w:t>
      </w:r>
      <w:r>
        <w:t xml:space="preserve"> however</w:t>
      </w:r>
      <w:r w:rsidR="00F51F98">
        <w:t>,</w:t>
      </w:r>
      <w:r>
        <w:t xml:space="preserve"> there is no </w:t>
      </w:r>
      <w:r w:rsidR="00F51F98">
        <w:t>word</w:t>
      </w:r>
      <w:r>
        <w:t xml:space="preserve"> in Dan 9:24 indicating that </w:t>
      </w:r>
      <w:r w:rsidR="000E2CE6">
        <w:t>“</w:t>
      </w:r>
      <w:r w:rsidR="00F20AC6">
        <w:t>the most holy</w:t>
      </w:r>
      <w:r w:rsidR="000E2CE6">
        <w:t>”</w:t>
      </w:r>
      <w:r w:rsidR="00F20AC6">
        <w:t xml:space="preserve"> </w:t>
      </w:r>
      <w:r>
        <w:t xml:space="preserve">is a location or a person. Contextually, rendering </w:t>
      </w:r>
      <w:r w:rsidR="00F20AC6">
        <w:t>the Hebrew</w:t>
      </w:r>
      <w:r>
        <w:t xml:space="preserve"> as </w:t>
      </w:r>
      <w:r w:rsidR="000E2CE6">
        <w:t>“</w:t>
      </w:r>
      <w:r w:rsidR="00F51F98">
        <w:t>a/</w:t>
      </w:r>
      <w:r>
        <w:t>the most holy place</w:t>
      </w:r>
      <w:r w:rsidR="000E2CE6">
        <w:t>”</w:t>
      </w:r>
      <w:r>
        <w:t xml:space="preserve"> </w:t>
      </w:r>
      <w:r w:rsidR="00F51F98">
        <w:t xml:space="preserve">(RSV, NASB) </w:t>
      </w:r>
      <w:r>
        <w:t>would seem inconsistent as the seventy-weeks culminates with the destruction of the sanctuary, not its anointing</w:t>
      </w:r>
      <w:r w:rsidR="00F51F98">
        <w:t>. Similarly, t</w:t>
      </w:r>
      <w:r>
        <w:t xml:space="preserve">he anointed prince is specifically designated by his anointing, </w:t>
      </w:r>
      <w:r w:rsidR="00F51F98">
        <w:t>and</w:t>
      </w:r>
      <w:r>
        <w:t xml:space="preserve"> there is no warrant for assigning </w:t>
      </w:r>
      <w:r w:rsidR="00F51F98">
        <w:t>this</w:t>
      </w:r>
      <w:r>
        <w:t xml:space="preserve"> specific referent to </w:t>
      </w:r>
      <w:r w:rsidR="000E2CE6">
        <w:t>“</w:t>
      </w:r>
      <w:r w:rsidR="00F20AC6">
        <w:t>the most holy</w:t>
      </w:r>
      <w:r w:rsidR="000E2CE6">
        <w:t>”</w:t>
      </w:r>
      <w:r>
        <w:t xml:space="preserve">. Without the definite article, the reference is more likely to </w:t>
      </w:r>
      <w:r w:rsidR="00F51F98">
        <w:t xml:space="preserve">be </w:t>
      </w:r>
      <w:r>
        <w:t>most holy things</w:t>
      </w:r>
      <w:r w:rsidR="00F51F98">
        <w:t>;</w:t>
      </w:r>
      <w:r>
        <w:t xml:space="preserve"> if not physical items of the sanctuary (destroyed)</w:t>
      </w:r>
      <w:r w:rsidR="00F51F98">
        <w:t>,</w:t>
      </w:r>
      <w:r>
        <w:t xml:space="preserve"> then an order of holiness. </w:t>
      </w:r>
    </w:p>
    <w:p w:rsidR="00E41A3C" w:rsidRDefault="00E41A3C" w:rsidP="000A5F63"/>
    <w:p w:rsidR="000A5F63" w:rsidRPr="00F20AC6" w:rsidRDefault="000A5F63" w:rsidP="000A5F63">
      <w:pPr>
        <w:rPr>
          <w:rFonts w:ascii="Bradley Hand ITC" w:hAnsi="Bradley Hand ITC"/>
          <w:b/>
          <w:sz w:val="28"/>
        </w:rPr>
      </w:pPr>
      <w:r w:rsidRPr="00F20AC6">
        <w:rPr>
          <w:rFonts w:ascii="Bradley Hand ITC" w:hAnsi="Bradley Hand ITC"/>
          <w:b/>
          <w:sz w:val="28"/>
        </w:rPr>
        <w:t>The Messiah Cut Off</w:t>
      </w:r>
    </w:p>
    <w:p w:rsidR="000A5F63" w:rsidRDefault="000A5F63" w:rsidP="000A5F63"/>
    <w:p w:rsidR="000A5F63" w:rsidRDefault="000A5F63" w:rsidP="00F20AC6">
      <w:pPr>
        <w:pStyle w:val="Quote"/>
      </w:pPr>
      <w:r>
        <w:t>And after the sixty-two weeks Messiah shall be cut off, but not for himself</w:t>
      </w:r>
      <w:r w:rsidR="00F20AC6">
        <w:t>.</w:t>
      </w:r>
      <w:r>
        <w:t xml:space="preserve"> Dan 9:26a </w:t>
      </w:r>
      <w:r w:rsidR="00F20AC6">
        <w:t>(</w:t>
      </w:r>
      <w:r>
        <w:t>NKJV</w:t>
      </w:r>
      <w:r w:rsidR="00F20AC6">
        <w:t>)</w:t>
      </w:r>
    </w:p>
    <w:p w:rsidR="009D1872" w:rsidRDefault="009D1872" w:rsidP="000A5F63"/>
    <w:p w:rsidR="000A5F63" w:rsidRDefault="000A5F63" w:rsidP="000A5F63">
      <w:r>
        <w:t xml:space="preserve">The verb </w:t>
      </w:r>
      <w:r w:rsidR="000E2CE6">
        <w:t>“</w:t>
      </w:r>
      <w:r>
        <w:t>cut off</w:t>
      </w:r>
      <w:r w:rsidR="000E2CE6">
        <w:t>”</w:t>
      </w:r>
      <w:r>
        <w:t xml:space="preserve"> </w:t>
      </w:r>
      <w:r w:rsidR="007D38FA">
        <w:t>(</w:t>
      </w:r>
      <w:proofErr w:type="spellStart"/>
      <w:r w:rsidR="0098589A" w:rsidRPr="0098589A">
        <w:rPr>
          <w:rFonts w:ascii="Bwhebb" w:hAnsi="Bwhebb" w:cs="Bwhebb"/>
          <w:color w:val="auto"/>
          <w:sz w:val="28"/>
          <w:szCs w:val="36"/>
          <w:lang w:eastAsia="en-GB" w:bidi="he-IL"/>
        </w:rPr>
        <w:t>trk</w:t>
      </w:r>
      <w:proofErr w:type="spellEnd"/>
      <w:r>
        <w:t xml:space="preserve"> </w:t>
      </w:r>
      <w:proofErr w:type="spellStart"/>
      <w:r>
        <w:rPr>
          <w:i/>
        </w:rPr>
        <w:t>karath</w:t>
      </w:r>
      <w:proofErr w:type="spellEnd"/>
      <w:r w:rsidR="007D38FA">
        <w:t>)</w:t>
      </w:r>
      <w:r>
        <w:t xml:space="preserve"> can refer to any action of cutting whether it is of food (i.e. chewing), meat (i.e. butchery), people (i.e. killing) or any object. It can also </w:t>
      </w:r>
      <w:r w:rsidR="0098589A">
        <w:t xml:space="preserve">be </w:t>
      </w:r>
      <w:r>
        <w:t>used of severance from the congregation (i.e. exile; cf. Ex</w:t>
      </w:r>
      <w:r w:rsidR="0098589A">
        <w:t>od</w:t>
      </w:r>
      <w:r>
        <w:t xml:space="preserve"> 12:19)</w:t>
      </w:r>
      <w:r w:rsidR="0098589A">
        <w:t>; it is</w:t>
      </w:r>
      <w:r>
        <w:t xml:space="preserve"> frequently used for penal execution in the Law of Moses. </w:t>
      </w:r>
    </w:p>
    <w:p w:rsidR="000A5F63" w:rsidRDefault="000A5F63" w:rsidP="000A5F63"/>
    <w:p w:rsidR="000A5F63" w:rsidRDefault="000A5F63" w:rsidP="000A5F63">
      <w:r>
        <w:t xml:space="preserve">The phrase </w:t>
      </w:r>
      <w:r w:rsidR="000E2CE6">
        <w:t>“</w:t>
      </w:r>
      <w:r>
        <w:t>but not for himself</w:t>
      </w:r>
      <w:r w:rsidR="000E2CE6">
        <w:t>”</w:t>
      </w:r>
      <w:r>
        <w:t xml:space="preserve"> </w:t>
      </w:r>
      <w:r w:rsidR="0098589A">
        <w:t>(NKJV)</w:t>
      </w:r>
      <w:r>
        <w:t xml:space="preserve"> is disputed and is variously translated: </w:t>
      </w:r>
      <w:r w:rsidR="000E2CE6">
        <w:t>“</w:t>
      </w:r>
      <w:r>
        <w:t>and shall have nothing</w:t>
      </w:r>
      <w:r w:rsidR="000E2CE6">
        <w:t>”</w:t>
      </w:r>
      <w:r>
        <w:t xml:space="preserve"> </w:t>
      </w:r>
      <w:r w:rsidR="0098589A">
        <w:t>(</w:t>
      </w:r>
      <w:r>
        <w:t>ESV</w:t>
      </w:r>
      <w:r w:rsidR="0098589A">
        <w:t>)</w:t>
      </w:r>
      <w:r>
        <w:t xml:space="preserve">, </w:t>
      </w:r>
      <w:r w:rsidR="000E2CE6">
        <w:t>“</w:t>
      </w:r>
      <w:r>
        <w:t>appearing to have accomplished nothing</w:t>
      </w:r>
      <w:r w:rsidR="000E2CE6">
        <w:t>”</w:t>
      </w:r>
      <w:r>
        <w:t xml:space="preserve"> </w:t>
      </w:r>
      <w:r w:rsidR="0098589A">
        <w:t>(</w:t>
      </w:r>
      <w:r>
        <w:t>NLT</w:t>
      </w:r>
      <w:r w:rsidR="0098589A">
        <w:t>)</w:t>
      </w:r>
      <w:r>
        <w:t xml:space="preserve">, </w:t>
      </w:r>
      <w:r w:rsidR="000E2CE6">
        <w:t>“</w:t>
      </w:r>
      <w:r>
        <w:t>and will have no-one</w:t>
      </w:r>
      <w:r w:rsidR="000E2CE6">
        <w:t>”</w:t>
      </w:r>
      <w:r>
        <w:t xml:space="preserve"> </w:t>
      </w:r>
      <w:r w:rsidR="0098589A">
        <w:t>(</w:t>
      </w:r>
      <w:r>
        <w:t>NI</w:t>
      </w:r>
      <w:r w:rsidR="0098589A">
        <w:t>V foot</w:t>
      </w:r>
      <w:r>
        <w:t>n</w:t>
      </w:r>
      <w:r w:rsidR="0098589A">
        <w:t>ote)</w:t>
      </w:r>
      <w:r>
        <w:t xml:space="preserve">, </w:t>
      </w:r>
      <w:r w:rsidR="000E2CE6">
        <w:t>“</w:t>
      </w:r>
      <w:r>
        <w:t>no-one shal</w:t>
      </w:r>
      <w:r w:rsidR="0098589A">
        <w:t>l take his part</w:t>
      </w:r>
      <w:r w:rsidR="000E2CE6">
        <w:t>”</w:t>
      </w:r>
      <w:r w:rsidR="0098589A">
        <w:t xml:space="preserve"> (</w:t>
      </w:r>
      <w:r>
        <w:t>REB</w:t>
      </w:r>
      <w:r w:rsidR="0098589A">
        <w:t>)</w:t>
      </w:r>
      <w:r>
        <w:t xml:space="preserve">, etc. The LXX translates this phrase as </w:t>
      </w:r>
      <w:r w:rsidR="000E2CE6">
        <w:t>“</w:t>
      </w:r>
      <w:r>
        <w:t>and shall not be</w:t>
      </w:r>
      <w:r w:rsidR="000E2CE6">
        <w:t>”</w:t>
      </w:r>
      <w:r>
        <w:t>, while the θ</w:t>
      </w:r>
      <w:r w:rsidR="000E2CE6">
        <w:t>’</w:t>
      </w:r>
      <w:r>
        <w:t xml:space="preserve"> gives καί </w:t>
      </w:r>
      <w:proofErr w:type="spellStart"/>
      <w:r>
        <w:t>κρίμ</w:t>
      </w:r>
      <w:proofErr w:type="spellEnd"/>
      <w:r>
        <w:t xml:space="preserve">α </w:t>
      </w:r>
      <w:proofErr w:type="spellStart"/>
      <w:r>
        <w:t>ούκ</w:t>
      </w:r>
      <w:proofErr w:type="spellEnd"/>
      <w:r>
        <w:t xml:space="preserve"> </w:t>
      </w:r>
      <w:proofErr w:type="spellStart"/>
      <w:r>
        <w:t>έ</w:t>
      </w:r>
      <w:r>
        <w:rPr>
          <w:rFonts w:ascii="Times New Roman" w:hAnsi="Times New Roman"/>
        </w:rPr>
        <w:t>̉</w:t>
      </w:r>
      <w:r>
        <w:rPr>
          <w:rFonts w:cs="Garamond"/>
        </w:rPr>
        <w:t>στιν</w:t>
      </w:r>
      <w:proofErr w:type="spellEnd"/>
      <w:r>
        <w:rPr>
          <w:rFonts w:cs="Garamond"/>
        </w:rPr>
        <w:t xml:space="preserve"> </w:t>
      </w:r>
      <w:proofErr w:type="spellStart"/>
      <w:r>
        <w:rPr>
          <w:rFonts w:cs="Garamond"/>
        </w:rPr>
        <w:t>ε</w:t>
      </w:r>
      <w:r>
        <w:rPr>
          <w:rFonts w:ascii="Times New Roman" w:hAnsi="Times New Roman"/>
        </w:rPr>
        <w:t>̉</w:t>
      </w:r>
      <w:r>
        <w:rPr>
          <w:rFonts w:cs="Garamond"/>
        </w:rPr>
        <w:t>ν</w:t>
      </w:r>
      <w:proofErr w:type="spellEnd"/>
      <w:r>
        <w:rPr>
          <w:rFonts w:cs="Garamond"/>
        </w:rPr>
        <w:t xml:space="preserve"> α</w:t>
      </w:r>
      <w:proofErr w:type="spellStart"/>
      <w:r>
        <w:rPr>
          <w:rFonts w:cs="Garamond"/>
        </w:rPr>
        <w:t>υ</w:t>
      </w:r>
      <w:r>
        <w:rPr>
          <w:rFonts w:ascii="Times New Roman" w:hAnsi="Times New Roman"/>
        </w:rPr>
        <w:t>̉</w:t>
      </w:r>
      <w:r>
        <w:rPr>
          <w:rFonts w:cs="Garamond"/>
        </w:rPr>
        <w:t>τω</w:t>
      </w:r>
      <w:proofErr w:type="spellEnd"/>
      <w:r>
        <w:t xml:space="preserve"> (lit. </w:t>
      </w:r>
      <w:r w:rsidR="000E2CE6">
        <w:t>“</w:t>
      </w:r>
      <w:proofErr w:type="gramStart"/>
      <w:r>
        <w:t>and</w:t>
      </w:r>
      <w:proofErr w:type="gramEnd"/>
      <w:r>
        <w:t xml:space="preserve"> there is no judgment in him</w:t>
      </w:r>
      <w:r w:rsidR="000E2CE6">
        <w:t>”</w:t>
      </w:r>
      <w:r>
        <w:t xml:space="preserve">) implying that he is killed unjustly </w:t>
      </w:r>
      <w:r w:rsidR="0098589A">
        <w:t>(cf. GNB)</w:t>
      </w:r>
      <w:r>
        <w:t xml:space="preserve"> and the Vulgate: </w:t>
      </w:r>
      <w:r>
        <w:rPr>
          <w:i/>
        </w:rPr>
        <w:t xml:space="preserve">et non </w:t>
      </w:r>
      <w:proofErr w:type="spellStart"/>
      <w:r>
        <w:rPr>
          <w:i/>
        </w:rPr>
        <w:t>erit</w:t>
      </w:r>
      <w:proofErr w:type="spellEnd"/>
      <w:r>
        <w:rPr>
          <w:i/>
        </w:rPr>
        <w:t xml:space="preserve"> </w:t>
      </w:r>
      <w:proofErr w:type="spellStart"/>
      <w:r>
        <w:rPr>
          <w:i/>
        </w:rPr>
        <w:t>eius</w:t>
      </w:r>
      <w:proofErr w:type="spellEnd"/>
      <w:r>
        <w:rPr>
          <w:i/>
        </w:rPr>
        <w:t xml:space="preserve"> </w:t>
      </w:r>
      <w:proofErr w:type="spellStart"/>
      <w:r>
        <w:rPr>
          <w:i/>
        </w:rPr>
        <w:t>populus</w:t>
      </w:r>
      <w:proofErr w:type="spellEnd"/>
      <w:r>
        <w:rPr>
          <w:i/>
        </w:rPr>
        <w:t xml:space="preserve">, qui </w:t>
      </w:r>
      <w:proofErr w:type="spellStart"/>
      <w:r>
        <w:rPr>
          <w:i/>
        </w:rPr>
        <w:t>eum</w:t>
      </w:r>
      <w:proofErr w:type="spellEnd"/>
      <w:r>
        <w:rPr>
          <w:i/>
        </w:rPr>
        <w:t xml:space="preserve"> </w:t>
      </w:r>
      <w:proofErr w:type="spellStart"/>
      <w:r>
        <w:rPr>
          <w:i/>
        </w:rPr>
        <w:t>negaturus</w:t>
      </w:r>
      <w:proofErr w:type="spellEnd"/>
      <w:r>
        <w:rPr>
          <w:i/>
        </w:rPr>
        <w:t xml:space="preserve"> </w:t>
      </w:r>
      <w:proofErr w:type="spellStart"/>
      <w:r>
        <w:rPr>
          <w:i/>
        </w:rPr>
        <w:t>est</w:t>
      </w:r>
      <w:proofErr w:type="spellEnd"/>
      <w:r>
        <w:rPr>
          <w:i/>
        </w:rPr>
        <w:t xml:space="preserve"> </w:t>
      </w:r>
      <w:r>
        <w:t>(</w:t>
      </w:r>
      <w:r w:rsidR="000E2CE6">
        <w:t>“</w:t>
      </w:r>
      <w:r>
        <w:t>and there will not be a people of him, who is about to deny him</w:t>
      </w:r>
      <w:r w:rsidR="000E2CE6">
        <w:t>”</w:t>
      </w:r>
      <w:r>
        <w:t xml:space="preserve">). </w:t>
      </w:r>
      <w:r w:rsidR="0098589A">
        <w:t xml:space="preserve">E. J. </w:t>
      </w:r>
      <w:r>
        <w:t xml:space="preserve">Young takes the phrase to imply that </w:t>
      </w:r>
      <w:r w:rsidR="000E2CE6">
        <w:t>“</w:t>
      </w:r>
      <w:r>
        <w:t xml:space="preserve">the </w:t>
      </w:r>
      <w:r>
        <w:lastRenderedPageBreak/>
        <w:t>anointed one</w:t>
      </w:r>
      <w:r w:rsidR="000E2CE6">
        <w:t>”</w:t>
      </w:r>
      <w:r>
        <w:t xml:space="preserve"> shall die without all that properly belongs to him,</w:t>
      </w:r>
      <w:r>
        <w:rPr>
          <w:rStyle w:val="FootnoteReference"/>
        </w:rPr>
        <w:footnoteReference w:id="28"/>
      </w:r>
      <w:r>
        <w:t xml:space="preserve"> and </w:t>
      </w:r>
      <w:r w:rsidR="0098589A">
        <w:t xml:space="preserve">N. W. </w:t>
      </w:r>
      <w:r>
        <w:t>Porteous, that he shall die without trial.</w:t>
      </w:r>
      <w:r>
        <w:rPr>
          <w:rStyle w:val="FootnoteReference"/>
        </w:rPr>
        <w:footnoteReference w:id="29"/>
      </w:r>
      <w:r>
        <w:t xml:space="preserve"> </w:t>
      </w:r>
    </w:p>
    <w:p w:rsidR="000A5F63" w:rsidRDefault="000A5F63" w:rsidP="000A5F63"/>
    <w:p w:rsidR="000F1348" w:rsidRDefault="000F1348" w:rsidP="000A5F63">
      <w:r>
        <w:t xml:space="preserve">Taking the MT text, we could render the whole clause as implying that the one cut off gained nothing for himself through his death (cf. NKJV). However, the phrase might more naturally be read as referring to the situation of his death and not the resultant state of affairs (cf. </w:t>
      </w:r>
      <w:r w:rsidR="000E2CE6">
        <w:t>“</w:t>
      </w:r>
      <w:r>
        <w:t>and none shall help him</w:t>
      </w:r>
      <w:r w:rsidR="000E2CE6">
        <w:t>”</w:t>
      </w:r>
      <w:r>
        <w:t xml:space="preserve"> Dan 11:45).</w:t>
      </w:r>
    </w:p>
    <w:p w:rsidR="000F1348" w:rsidRDefault="000F1348" w:rsidP="000A5F63"/>
    <w:p w:rsidR="000A5F63" w:rsidRDefault="000A5F63" w:rsidP="000A5F63">
      <w:r>
        <w:t xml:space="preserve">The Hebrew literally rendered is </w:t>
      </w:r>
      <w:r w:rsidR="000E2CE6">
        <w:t>“</w:t>
      </w:r>
      <w:r>
        <w:t>and there is not to him</w:t>
      </w:r>
      <w:r w:rsidR="000E2CE6">
        <w:t>”</w:t>
      </w:r>
      <w:r>
        <w:t xml:space="preserve"> or </w:t>
      </w:r>
      <w:r w:rsidR="000E2CE6">
        <w:t>“</w:t>
      </w:r>
      <w:r>
        <w:t>he does not have</w:t>
      </w:r>
      <w:r w:rsidR="000E2CE6">
        <w:t>”</w:t>
      </w:r>
      <w:r>
        <w:t xml:space="preserve">, yet it appears to be without </w:t>
      </w:r>
      <w:r w:rsidR="00D76DC0">
        <w:t>a</w:t>
      </w:r>
      <w:r w:rsidR="009B1086">
        <w:t>n object</w:t>
      </w:r>
      <w:r>
        <w:t xml:space="preserve">. Every possible translation we have considered attempts to a supply an object: accomplishment </w:t>
      </w:r>
      <w:r w:rsidR="00D76DC0">
        <w:t>(</w:t>
      </w:r>
      <w:r>
        <w:t>NLT</w:t>
      </w:r>
      <w:r w:rsidR="00D76DC0">
        <w:t>), defenders (</w:t>
      </w:r>
      <w:r>
        <w:t>NIV</w:t>
      </w:r>
      <w:r w:rsidR="00D76DC0">
        <w:t xml:space="preserve"> </w:t>
      </w:r>
      <w:proofErr w:type="gramStart"/>
      <w:r w:rsidR="00D76DC0">
        <w:t>f</w:t>
      </w:r>
      <w:r>
        <w:t>n</w:t>
      </w:r>
      <w:proofErr w:type="gramEnd"/>
      <w:r>
        <w:t>; REB; cf. Vulgate</w:t>
      </w:r>
      <w:r w:rsidR="00D76DC0">
        <w:t>)</w:t>
      </w:r>
      <w:r>
        <w:t xml:space="preserve">, life </w:t>
      </w:r>
      <w:r w:rsidR="00D76DC0">
        <w:t>(LXX)</w:t>
      </w:r>
      <w:r>
        <w:t xml:space="preserve">, condemnation </w:t>
      </w:r>
      <w:r w:rsidR="00D76DC0">
        <w:t>(</w:t>
      </w:r>
      <w:r>
        <w:t>θ</w:t>
      </w:r>
      <w:r w:rsidR="000E2CE6">
        <w:t>’</w:t>
      </w:r>
      <w:r w:rsidR="00D76DC0">
        <w:t>)</w:t>
      </w:r>
      <w:r>
        <w:t xml:space="preserve">, anything </w:t>
      </w:r>
      <w:r w:rsidR="00D76DC0">
        <w:t>(</w:t>
      </w:r>
      <w:r>
        <w:t>ESV</w:t>
      </w:r>
      <w:r w:rsidR="00D76DC0">
        <w:t>)</w:t>
      </w:r>
      <w:r>
        <w:t xml:space="preserve">. Some translators take the object from the following clause, e.g. </w:t>
      </w:r>
      <w:r w:rsidR="000E2CE6">
        <w:t>“</w:t>
      </w:r>
      <w:r>
        <w:t xml:space="preserve">and the city </w:t>
      </w:r>
      <w:r w:rsidR="00D76DC0">
        <w:t>and the sanctuary are not his</w:t>
      </w:r>
      <w:r w:rsidR="000E2CE6">
        <w:t>”</w:t>
      </w:r>
      <w:r w:rsidR="00D76DC0">
        <w:t xml:space="preserve"> (</w:t>
      </w:r>
      <w:r>
        <w:t>YLT</w:t>
      </w:r>
      <w:r w:rsidR="00D76DC0">
        <w:t>)</w:t>
      </w:r>
      <w:r>
        <w:t>, though this seems improbable. If we assume that a word was omitted then the θ</w:t>
      </w:r>
      <w:r w:rsidR="000E2CE6">
        <w:t>’</w:t>
      </w:r>
      <w:r>
        <w:t>, as an early textual witness, may well preserve the original.</w:t>
      </w:r>
      <w:r>
        <w:rPr>
          <w:rStyle w:val="FootnoteReference"/>
        </w:rPr>
        <w:footnoteReference w:id="30"/>
      </w:r>
      <w:r>
        <w:t xml:space="preserve"> </w:t>
      </w:r>
      <w:r w:rsidR="000F1348">
        <w:t xml:space="preserve">If we do not supply an object then the phrase may refer to an all-surpassing loss at the moment of death (cf. </w:t>
      </w:r>
      <w:r w:rsidR="000E2CE6">
        <w:t>“</w:t>
      </w:r>
      <w:r w:rsidR="000F1348">
        <w:t>my God, my God, why have you forsaken me?</w:t>
      </w:r>
      <w:r w:rsidR="000E2CE6">
        <w:t>”</w:t>
      </w:r>
      <w:r w:rsidR="000F1348">
        <w:t xml:space="preserve"> Matt 27:46).</w:t>
      </w:r>
    </w:p>
    <w:p w:rsidR="000A5F63" w:rsidRDefault="000A5F63" w:rsidP="000A5F63"/>
    <w:p w:rsidR="000A5F63" w:rsidRDefault="000A5F63" w:rsidP="000A5F63">
      <w:pPr>
        <w:rPr>
          <w:rFonts w:ascii="Bradley Hand ITC" w:hAnsi="Bradley Hand ITC"/>
          <w:b/>
          <w:sz w:val="28"/>
        </w:rPr>
      </w:pPr>
      <w:r w:rsidRPr="009B1086">
        <w:rPr>
          <w:rFonts w:ascii="Bradley Hand ITC" w:hAnsi="Bradley Hand ITC"/>
          <w:b/>
          <w:sz w:val="28"/>
        </w:rPr>
        <w:t>Jerusalem Destroyed</w:t>
      </w:r>
    </w:p>
    <w:p w:rsidR="007D38FA" w:rsidRPr="001530B1" w:rsidRDefault="007D38FA" w:rsidP="000A5F63">
      <w:pPr>
        <w:rPr>
          <w:b/>
        </w:rPr>
      </w:pPr>
    </w:p>
    <w:p w:rsidR="000A5F63" w:rsidRDefault="000A5F63" w:rsidP="009B1086">
      <w:pPr>
        <w:pStyle w:val="Quote"/>
      </w:pPr>
      <w:r>
        <w:t>And the people of the prince who is to come shall destroy the city and the sanctuary. The end of it shall be with a flood, and till the end of the war desolations are determined</w:t>
      </w:r>
      <w:r w:rsidR="00F20AC6">
        <w:t xml:space="preserve">. </w:t>
      </w:r>
      <w:r>
        <w:t>Dan</w:t>
      </w:r>
      <w:r w:rsidR="00F20AC6">
        <w:t xml:space="preserve"> 9:26b (</w:t>
      </w:r>
      <w:r>
        <w:t>NKJV</w:t>
      </w:r>
      <w:r w:rsidR="00F20AC6">
        <w:t>)</w:t>
      </w:r>
    </w:p>
    <w:p w:rsidR="000A5F63" w:rsidRDefault="000A5F63" w:rsidP="000A5F63"/>
    <w:p w:rsidR="000A5F63" w:rsidRDefault="000A5F63" w:rsidP="000A5F63">
      <w:r>
        <w:t xml:space="preserve">It is improbable that </w:t>
      </w:r>
      <w:r w:rsidR="000E2CE6">
        <w:t>“</w:t>
      </w:r>
      <w:r>
        <w:t>the prince who is to come</w:t>
      </w:r>
      <w:r w:rsidR="000E2CE6">
        <w:t>”</w:t>
      </w:r>
      <w:r>
        <w:t xml:space="preserve"> is the same as </w:t>
      </w:r>
      <w:r w:rsidR="000E2CE6">
        <w:t>“</w:t>
      </w:r>
      <w:r>
        <w:t>the anointed prince</w:t>
      </w:r>
      <w:r w:rsidR="000E2CE6">
        <w:t>”</w:t>
      </w:r>
      <w:r>
        <w:t xml:space="preserve"> since the latter</w:t>
      </w:r>
      <w:r w:rsidR="000E2CE6">
        <w:t>’</w:t>
      </w:r>
      <w:r>
        <w:t xml:space="preserve">s death is recorded early in the verse. The expression </w:t>
      </w:r>
      <w:r w:rsidR="000E2CE6">
        <w:t>“</w:t>
      </w:r>
      <w:r>
        <w:t>the prince who is to come</w:t>
      </w:r>
      <w:r w:rsidR="000E2CE6">
        <w:t>”</w:t>
      </w:r>
      <w:r>
        <w:t xml:space="preserve"> may be compared with expressions such as </w:t>
      </w:r>
      <w:r w:rsidR="000E2CE6">
        <w:t>“</w:t>
      </w:r>
      <w:r>
        <w:t>a king shall arise</w:t>
      </w:r>
      <w:r w:rsidR="000E2CE6">
        <w:t>”</w:t>
      </w:r>
      <w:r>
        <w:t xml:space="preserve"> (Dan 7:24; 8:23; 11:2-3), and is similarly employed to create a sense of mystery. The </w:t>
      </w:r>
      <w:r w:rsidR="000E2CE6">
        <w:t>“</w:t>
      </w:r>
      <w:r>
        <w:t>people</w:t>
      </w:r>
      <w:r w:rsidR="000E2CE6">
        <w:t>”</w:t>
      </w:r>
      <w:r>
        <w:t xml:space="preserve"> in this context presumably refers to his nation, or more specifically, his nation</w:t>
      </w:r>
      <w:r w:rsidR="000E2CE6">
        <w:t>’</w:t>
      </w:r>
      <w:r>
        <w:t xml:space="preserve">s army. </w:t>
      </w:r>
    </w:p>
    <w:p w:rsidR="000A5F63" w:rsidRDefault="000A5F63" w:rsidP="000A5F63">
      <w:r>
        <w:lastRenderedPageBreak/>
        <w:t xml:space="preserve">The word </w:t>
      </w:r>
      <w:r w:rsidR="000E2CE6">
        <w:t>“</w:t>
      </w:r>
      <w:r>
        <w:t>flood</w:t>
      </w:r>
      <w:r w:rsidR="000E2CE6">
        <w:t>”</w:t>
      </w:r>
      <w:r>
        <w:t xml:space="preserve"> </w:t>
      </w:r>
      <w:r w:rsidR="007D38FA">
        <w:t>(</w:t>
      </w:r>
      <w:r w:rsidR="009B1086" w:rsidRPr="009B1086">
        <w:rPr>
          <w:rFonts w:ascii="Bwhebb" w:hAnsi="Bwhebb" w:cs="Bwhebb"/>
          <w:color w:val="auto"/>
          <w:sz w:val="28"/>
          <w:szCs w:val="36"/>
          <w:lang w:eastAsia="en-GB" w:bidi="he-IL"/>
        </w:rPr>
        <w:t>@</w:t>
      </w:r>
      <w:proofErr w:type="spellStart"/>
      <w:proofErr w:type="gramStart"/>
      <w:r w:rsidR="009B1086" w:rsidRPr="009B1086">
        <w:rPr>
          <w:rFonts w:ascii="Bwhebb" w:hAnsi="Bwhebb" w:cs="Bwhebb"/>
          <w:color w:val="auto"/>
          <w:sz w:val="28"/>
          <w:szCs w:val="36"/>
          <w:lang w:eastAsia="en-GB" w:bidi="he-IL"/>
        </w:rPr>
        <w:t>jv</w:t>
      </w:r>
      <w:proofErr w:type="spellEnd"/>
      <w:proofErr w:type="gramEnd"/>
      <w:r w:rsidRPr="009B1086">
        <w:rPr>
          <w:sz w:val="20"/>
        </w:rPr>
        <w:t xml:space="preserve"> </w:t>
      </w:r>
      <w:proofErr w:type="spellStart"/>
      <w:r>
        <w:rPr>
          <w:i/>
        </w:rPr>
        <w:t>sheteph</w:t>
      </w:r>
      <w:proofErr w:type="spellEnd"/>
      <w:r w:rsidR="007D38FA">
        <w:t>)</w:t>
      </w:r>
      <w:r>
        <w:t xml:space="preserve"> is used metaphorically for armed conflict, as elsewhere (cf. Dan 11:22), possibly indicating that the city</w:t>
      </w:r>
      <w:r w:rsidR="000E2CE6">
        <w:t>’</w:t>
      </w:r>
      <w:r>
        <w:t xml:space="preserve">s defenders are outnumbered and overwhelmed. The </w:t>
      </w:r>
      <w:r w:rsidR="000E2CE6">
        <w:t>“</w:t>
      </w:r>
      <w:r>
        <w:t>desolations</w:t>
      </w:r>
      <w:r w:rsidR="000E2CE6">
        <w:t>”</w:t>
      </w:r>
      <w:r>
        <w:t xml:space="preserve"> </w:t>
      </w:r>
      <w:r w:rsidR="007D38FA">
        <w:t>(</w:t>
      </w:r>
      <w:r w:rsidR="009B1086" w:rsidRPr="009B1086">
        <w:rPr>
          <w:rFonts w:ascii="Bwhebb" w:hAnsi="Bwhebb" w:cs="Bwhebb"/>
          <w:color w:val="auto"/>
          <w:sz w:val="28"/>
          <w:szCs w:val="36"/>
          <w:lang w:eastAsia="en-GB" w:bidi="he-IL"/>
        </w:rPr>
        <w:t>~mv</w:t>
      </w:r>
      <w:r w:rsidRPr="009B1086">
        <w:rPr>
          <w:sz w:val="20"/>
        </w:rPr>
        <w:t xml:space="preserve"> </w:t>
      </w:r>
      <w:proofErr w:type="spellStart"/>
      <w:r>
        <w:rPr>
          <w:i/>
        </w:rPr>
        <w:t>shamem</w:t>
      </w:r>
      <w:proofErr w:type="spellEnd"/>
      <w:r w:rsidR="007D38FA">
        <w:t>)</w:t>
      </w:r>
      <w:r>
        <w:t xml:space="preserve"> are </w:t>
      </w:r>
      <w:r w:rsidR="000E2CE6">
        <w:t>“</w:t>
      </w:r>
      <w:r>
        <w:t>determined</w:t>
      </w:r>
      <w:r w:rsidR="000E2CE6">
        <w:t>”</w:t>
      </w:r>
      <w:r>
        <w:t xml:space="preserve"> or </w:t>
      </w:r>
      <w:r w:rsidR="000E2CE6">
        <w:t>“</w:t>
      </w:r>
      <w:r>
        <w:t>decreed</w:t>
      </w:r>
      <w:r w:rsidR="000E2CE6">
        <w:t>”</w:t>
      </w:r>
      <w:r>
        <w:t xml:space="preserve"> presumably refers to the atrocities of war.</w:t>
      </w:r>
    </w:p>
    <w:p w:rsidR="000A5F63" w:rsidRDefault="000A5F63" w:rsidP="000A5F63"/>
    <w:p w:rsidR="000A5F63" w:rsidRDefault="000A5F63" w:rsidP="000A5F63">
      <w:pPr>
        <w:rPr>
          <w:rFonts w:ascii="Bradley Hand ITC" w:hAnsi="Bradley Hand ITC"/>
          <w:b/>
          <w:sz w:val="28"/>
        </w:rPr>
      </w:pPr>
      <w:r w:rsidRPr="009B1086">
        <w:rPr>
          <w:rFonts w:ascii="Bradley Hand ITC" w:hAnsi="Bradley Hand ITC"/>
          <w:b/>
          <w:sz w:val="28"/>
        </w:rPr>
        <w:t>A Covenant</w:t>
      </w:r>
    </w:p>
    <w:p w:rsidR="009B1086" w:rsidRPr="001530B1" w:rsidRDefault="009B1086" w:rsidP="000A5F63">
      <w:pPr>
        <w:rPr>
          <w:b/>
        </w:rPr>
      </w:pPr>
    </w:p>
    <w:p w:rsidR="000A5F63" w:rsidRDefault="000A5F63" w:rsidP="009B1086">
      <w:pPr>
        <w:pStyle w:val="Quote"/>
      </w:pPr>
      <w:r>
        <w:t>Then he shall confirm a covenant with many for one week; but in the middle of the week he shall bring an end to sacrifice and offering</w:t>
      </w:r>
      <w:r w:rsidR="009B1086">
        <w:t xml:space="preserve">. </w:t>
      </w:r>
      <w:r>
        <w:t>Dan</w:t>
      </w:r>
      <w:r w:rsidR="009B1086">
        <w:t xml:space="preserve"> 9:27a (</w:t>
      </w:r>
      <w:r>
        <w:t>NKJV</w:t>
      </w:r>
      <w:r w:rsidR="009B1086">
        <w:t>)</w:t>
      </w:r>
    </w:p>
    <w:p w:rsidR="000A5F63" w:rsidRDefault="000A5F63" w:rsidP="000A5F63"/>
    <w:p w:rsidR="000A5F63" w:rsidRDefault="000A5F63" w:rsidP="009B1086">
      <w:pPr>
        <w:pStyle w:val="Quote"/>
      </w:pPr>
      <w:r>
        <w:t>And he shall make a strong covenant with many for one week, and for half of the week he shall put an end to sacrifice and offering</w:t>
      </w:r>
      <w:r w:rsidR="009B1086">
        <w:t xml:space="preserve">. </w:t>
      </w:r>
      <w:r>
        <w:t>Dan</w:t>
      </w:r>
      <w:r w:rsidR="009B1086">
        <w:t xml:space="preserve"> 9:27a (</w:t>
      </w:r>
      <w:r>
        <w:t>ESV</w:t>
      </w:r>
      <w:r w:rsidR="009B1086">
        <w:t>)</w:t>
      </w:r>
    </w:p>
    <w:p w:rsidR="000A5F63" w:rsidRDefault="000A5F63" w:rsidP="000A5F63"/>
    <w:p w:rsidR="000A5F63" w:rsidRDefault="009B1086" w:rsidP="000A5F63">
      <w:r>
        <w:t xml:space="preserve">A. </w:t>
      </w:r>
      <w:r w:rsidR="000A5F63">
        <w:t>Laato proposes that v</w:t>
      </w:r>
      <w:r>
        <w:t xml:space="preserve">. </w:t>
      </w:r>
      <w:r w:rsidR="000A5F63">
        <w:t>27 is not the original ending of the Seventy Week Prophecy, arguing that there is a disharmony between verses 26 and 27 since the latter assumes the Temple is still standing while the former prophesies its destruction.</w:t>
      </w:r>
      <w:r w:rsidR="000A5F63">
        <w:rPr>
          <w:rStyle w:val="FootnoteReference"/>
        </w:rPr>
        <w:footnoteReference w:id="31"/>
      </w:r>
      <w:r w:rsidR="000A5F63">
        <w:t xml:space="preserve"> Though evidence for this proposition is not strong, it is clear that v</w:t>
      </w:r>
      <w:r>
        <w:t xml:space="preserve">. </w:t>
      </w:r>
      <w:r w:rsidR="000A5F63">
        <w:t>27 does not follow chronologically from v</w:t>
      </w:r>
      <w:r>
        <w:t xml:space="preserve">. </w:t>
      </w:r>
      <w:r w:rsidR="000A5F63">
        <w:t xml:space="preserve">26 and presumably intended to be read retrospectively. </w:t>
      </w:r>
    </w:p>
    <w:p w:rsidR="007D38FA" w:rsidRDefault="007D38FA" w:rsidP="000A5F63"/>
    <w:p w:rsidR="000A5F63" w:rsidRDefault="000A5F63" w:rsidP="000A5F63">
      <w:r>
        <w:t xml:space="preserve">The </w:t>
      </w:r>
      <w:r w:rsidR="000E2CE6">
        <w:t>‘</w:t>
      </w:r>
      <w:r>
        <w:t>he</w:t>
      </w:r>
      <w:r w:rsidR="000E2CE6">
        <w:t>’</w:t>
      </w:r>
      <w:r>
        <w:t xml:space="preserve"> has no clear referent; conceivably it could refer to </w:t>
      </w:r>
      <w:r w:rsidR="000E2CE6">
        <w:t>“</w:t>
      </w:r>
      <w:r>
        <w:t>the anointed prince</w:t>
      </w:r>
      <w:r w:rsidR="000E2CE6">
        <w:t>”</w:t>
      </w:r>
      <w:r>
        <w:t xml:space="preserve"> or </w:t>
      </w:r>
      <w:r w:rsidR="000E2CE6">
        <w:t>“</w:t>
      </w:r>
      <w:r>
        <w:t>the prince who is to come</w:t>
      </w:r>
      <w:r w:rsidR="000E2CE6">
        <w:t>”</w:t>
      </w:r>
      <w:r>
        <w:t xml:space="preserve">. </w:t>
      </w:r>
    </w:p>
    <w:p w:rsidR="000A5F63" w:rsidRDefault="000A5F63" w:rsidP="000A5F63"/>
    <w:p w:rsidR="000A5F63" w:rsidRDefault="000A5F63" w:rsidP="000A5F63">
      <w:r>
        <w:t xml:space="preserve">The ESV implies that </w:t>
      </w:r>
      <w:r w:rsidR="007D38FA">
        <w:t xml:space="preserve">a </w:t>
      </w:r>
      <w:r>
        <w:t xml:space="preserve">covenant is made at the beginning of the last </w:t>
      </w:r>
      <w:r w:rsidR="000E2CE6">
        <w:t>‘</w:t>
      </w:r>
      <w:r>
        <w:t>week</w:t>
      </w:r>
      <w:r w:rsidR="000E2CE6">
        <w:t>’</w:t>
      </w:r>
      <w:r>
        <w:t xml:space="preserve">, while the NKJV implies that it is a preexisting covenant that it confirmed. This latter translation is the more probable given the use of </w:t>
      </w:r>
      <w:proofErr w:type="spellStart"/>
      <w:r w:rsidR="007D38FA" w:rsidRPr="007D38FA">
        <w:rPr>
          <w:rFonts w:ascii="Bwhebb" w:hAnsi="Bwhebb" w:cs="Bwhebb"/>
          <w:color w:val="auto"/>
          <w:sz w:val="28"/>
          <w:szCs w:val="36"/>
          <w:lang w:eastAsia="en-GB" w:bidi="he-IL"/>
        </w:rPr>
        <w:t>rbg</w:t>
      </w:r>
      <w:proofErr w:type="spellEnd"/>
      <w:r>
        <w:t xml:space="preserve"> </w:t>
      </w:r>
      <w:proofErr w:type="spellStart"/>
      <w:r w:rsidRPr="008F2CF2">
        <w:rPr>
          <w:i/>
        </w:rPr>
        <w:t>gabar</w:t>
      </w:r>
      <w:proofErr w:type="spellEnd"/>
      <w:r>
        <w:rPr>
          <w:i/>
        </w:rPr>
        <w:t xml:space="preserve"> </w:t>
      </w:r>
      <w:r>
        <w:t>(</w:t>
      </w:r>
      <w:r w:rsidR="000E2CE6">
        <w:t>“</w:t>
      </w:r>
      <w:r>
        <w:t>confirm</w:t>
      </w:r>
      <w:r w:rsidR="000E2CE6">
        <w:t>”</w:t>
      </w:r>
      <w:r>
        <w:t xml:space="preserve">, </w:t>
      </w:r>
      <w:r w:rsidR="000E2CE6">
        <w:t>“</w:t>
      </w:r>
      <w:r>
        <w:t>strengthen</w:t>
      </w:r>
      <w:r w:rsidR="000E2CE6">
        <w:t>”</w:t>
      </w:r>
      <w:r>
        <w:t xml:space="preserve">), rather </w:t>
      </w:r>
      <w:proofErr w:type="gramStart"/>
      <w:r>
        <w:t xml:space="preserve">than </w:t>
      </w:r>
      <w:r w:rsidR="007D38FA" w:rsidRPr="007D38FA">
        <w:rPr>
          <w:rFonts w:ascii="Bwhebb" w:hAnsi="Bwhebb" w:cs="Bwhebb"/>
          <w:color w:val="auto"/>
          <w:sz w:val="28"/>
          <w:szCs w:val="36"/>
          <w:lang w:eastAsia="en-GB" w:bidi="he-IL"/>
        </w:rPr>
        <w:t>!</w:t>
      </w:r>
      <w:proofErr w:type="spellStart"/>
      <w:proofErr w:type="gramEnd"/>
      <w:r w:rsidR="007D38FA" w:rsidRPr="007D38FA">
        <w:rPr>
          <w:rFonts w:ascii="Bwhebb" w:hAnsi="Bwhebb" w:cs="Bwhebb"/>
          <w:color w:val="auto"/>
          <w:sz w:val="28"/>
          <w:szCs w:val="36"/>
          <w:lang w:eastAsia="en-GB" w:bidi="he-IL"/>
        </w:rPr>
        <w:t>tn</w:t>
      </w:r>
      <w:proofErr w:type="spellEnd"/>
      <w:r w:rsidR="007D38FA" w:rsidRPr="007D38FA">
        <w:rPr>
          <w:rFonts w:cs="Bwhebb"/>
          <w:color w:val="auto"/>
          <w:szCs w:val="36"/>
          <w:lang w:eastAsia="en-GB" w:bidi="he-IL"/>
        </w:rPr>
        <w:t xml:space="preserve"> </w:t>
      </w:r>
      <w:proofErr w:type="spellStart"/>
      <w:r>
        <w:rPr>
          <w:i/>
        </w:rPr>
        <w:t>nathan</w:t>
      </w:r>
      <w:proofErr w:type="spellEnd"/>
      <w:r>
        <w:rPr>
          <w:i/>
        </w:rPr>
        <w:t xml:space="preserve"> </w:t>
      </w:r>
      <w:r>
        <w:t>(</w:t>
      </w:r>
      <w:r w:rsidR="000E2CE6">
        <w:t>“</w:t>
      </w:r>
      <w:r>
        <w:t>give</w:t>
      </w:r>
      <w:r w:rsidR="000E2CE6">
        <w:t>”</w:t>
      </w:r>
      <w:r>
        <w:t xml:space="preserve">; cf. Gen 9:12; 17:2) or </w:t>
      </w:r>
      <w:proofErr w:type="spellStart"/>
      <w:r w:rsidR="007D38FA" w:rsidRPr="0098589A">
        <w:rPr>
          <w:rFonts w:ascii="Bwhebb" w:hAnsi="Bwhebb" w:cs="Bwhebb"/>
          <w:color w:val="auto"/>
          <w:sz w:val="28"/>
          <w:szCs w:val="36"/>
          <w:lang w:eastAsia="en-GB" w:bidi="he-IL"/>
        </w:rPr>
        <w:t>trk</w:t>
      </w:r>
      <w:proofErr w:type="spellEnd"/>
      <w:r>
        <w:t xml:space="preserve"> </w:t>
      </w:r>
      <w:proofErr w:type="spellStart"/>
      <w:r w:rsidRPr="008F2CF2">
        <w:rPr>
          <w:i/>
        </w:rPr>
        <w:t>karath</w:t>
      </w:r>
      <w:proofErr w:type="spellEnd"/>
      <w:r>
        <w:rPr>
          <w:i/>
        </w:rPr>
        <w:t xml:space="preserve"> </w:t>
      </w:r>
      <w:r>
        <w:t>(</w:t>
      </w:r>
      <w:r w:rsidR="000E2CE6">
        <w:t>“</w:t>
      </w:r>
      <w:r>
        <w:t>make</w:t>
      </w:r>
      <w:r w:rsidR="000E2CE6">
        <w:t>”</w:t>
      </w:r>
      <w:r>
        <w:t xml:space="preserve">; cf. Gen 26:28; 31:44). As such, this phrase is unlikely to imply the making of temporary military alliance. The possibility that this is the Abrahamic covenant cannot be ruled out. In fact, the confirming of that </w:t>
      </w:r>
      <w:r>
        <w:lastRenderedPageBreak/>
        <w:t>covenant</w:t>
      </w:r>
      <w:r w:rsidR="00277670">
        <w:t>,</w:t>
      </w:r>
      <w:r>
        <w:t xml:space="preserve"> which expresses God</w:t>
      </w:r>
      <w:r w:rsidR="000E2CE6">
        <w:t>’</w:t>
      </w:r>
      <w:r>
        <w:t>s relationship with the nation of Israel</w:t>
      </w:r>
      <w:r w:rsidR="00277670">
        <w:t>,</w:t>
      </w:r>
      <w:r>
        <w:t xml:space="preserve"> would be consistent with the dispensational view of this prophecy. </w:t>
      </w:r>
    </w:p>
    <w:p w:rsidR="000A5F63" w:rsidRDefault="000A5F63" w:rsidP="000A5F63"/>
    <w:p w:rsidR="000A5F63" w:rsidRDefault="000A5F63" w:rsidP="000A5F63">
      <w:r>
        <w:t xml:space="preserve">To </w:t>
      </w:r>
      <w:r w:rsidR="000E2CE6">
        <w:t>“</w:t>
      </w:r>
      <w:r>
        <w:t>bring an end to sacrifice and offering</w:t>
      </w:r>
      <w:r w:rsidR="000E2CE6">
        <w:t>”</w:t>
      </w:r>
      <w:r>
        <w:t xml:space="preserve"> is often interpreted as a negative consequence,</w:t>
      </w:r>
      <w:r>
        <w:rPr>
          <w:rStyle w:val="FootnoteReference"/>
        </w:rPr>
        <w:footnoteReference w:id="32"/>
      </w:r>
      <w:r>
        <w:t xml:space="preserve"> as is the case in other visions of Daniel (cf. Dan 8:11; 12:11). Yet here, in contrast to the other examples, there is no mention of the sacrifices being restored, rather there is a sense of finality entailed in </w:t>
      </w:r>
      <w:proofErr w:type="spellStart"/>
      <w:r w:rsidR="00277670" w:rsidRPr="00277670">
        <w:rPr>
          <w:rFonts w:ascii="Bwhebb" w:hAnsi="Bwhebb" w:cs="Bwhebb"/>
          <w:color w:val="auto"/>
          <w:sz w:val="28"/>
          <w:szCs w:val="36"/>
          <w:lang w:eastAsia="en-GB" w:bidi="he-IL"/>
        </w:rPr>
        <w:t>tbv</w:t>
      </w:r>
      <w:proofErr w:type="spellEnd"/>
      <w:r>
        <w:t xml:space="preserve"> </w:t>
      </w:r>
      <w:proofErr w:type="spellStart"/>
      <w:r>
        <w:rPr>
          <w:i/>
        </w:rPr>
        <w:t>shabath</w:t>
      </w:r>
      <w:proofErr w:type="spellEnd"/>
      <w:r>
        <w:rPr>
          <w:i/>
        </w:rPr>
        <w:t xml:space="preserve"> </w:t>
      </w:r>
      <w:r>
        <w:t>(</w:t>
      </w:r>
      <w:r w:rsidR="000E2CE6">
        <w:t>“</w:t>
      </w:r>
      <w:r>
        <w:t>bring an end to</w:t>
      </w:r>
      <w:r w:rsidR="000E2CE6">
        <w:t>”</w:t>
      </w:r>
      <w:r>
        <w:t>).</w:t>
      </w:r>
      <w:r>
        <w:rPr>
          <w:rStyle w:val="FootnoteReference"/>
        </w:rPr>
        <w:footnoteReference w:id="33"/>
      </w:r>
      <w:r>
        <w:t xml:space="preserve"> If </w:t>
      </w:r>
      <w:proofErr w:type="spellStart"/>
      <w:r>
        <w:rPr>
          <w:i/>
        </w:rPr>
        <w:t>chatta</w:t>
      </w:r>
      <w:r w:rsidR="000E2CE6">
        <w:rPr>
          <w:i/>
        </w:rPr>
        <w:t>’</w:t>
      </w:r>
      <w:r>
        <w:rPr>
          <w:i/>
        </w:rPr>
        <w:t>ah</w:t>
      </w:r>
      <w:proofErr w:type="spellEnd"/>
      <w:r>
        <w:rPr>
          <w:i/>
        </w:rPr>
        <w:t xml:space="preserve"> </w:t>
      </w:r>
      <w:r>
        <w:t>in v</w:t>
      </w:r>
      <w:r w:rsidR="00277670">
        <w:t xml:space="preserve">. </w:t>
      </w:r>
      <w:r>
        <w:t xml:space="preserve">24 is interpreted as referring to the sin-offering then this final removal of the sacrifices and offerings would be the fulfillment of one of the objectives listed by Gabriel, and consistent with the final </w:t>
      </w:r>
      <w:r w:rsidR="000E2CE6">
        <w:t>“</w:t>
      </w:r>
      <w:r>
        <w:t>covering</w:t>
      </w:r>
      <w:r w:rsidR="000E2CE6">
        <w:t>”</w:t>
      </w:r>
      <w:r>
        <w:t xml:space="preserve"> of sin. </w:t>
      </w:r>
    </w:p>
    <w:p w:rsidR="000A5F63" w:rsidRDefault="000A5F63" w:rsidP="000A5F63"/>
    <w:p w:rsidR="000A5F63" w:rsidRDefault="000A5F63" w:rsidP="000A5F63">
      <w:r>
        <w:t>Seen in this light</w:t>
      </w:r>
      <w:r w:rsidR="00277670">
        <w:t>,</w:t>
      </w:r>
      <w:r>
        <w:t xml:space="preserve"> then</w:t>
      </w:r>
      <w:r w:rsidR="00277670">
        <w:t>,</w:t>
      </w:r>
      <w:r>
        <w:t xml:space="preserve"> these two clauses become </w:t>
      </w:r>
      <w:proofErr w:type="gramStart"/>
      <w:r>
        <w:t>positive consequences, which implies</w:t>
      </w:r>
      <w:proofErr w:type="gramEnd"/>
      <w:r>
        <w:t xml:space="preserve"> that the </w:t>
      </w:r>
      <w:r w:rsidR="000E2CE6">
        <w:t>“</w:t>
      </w:r>
      <w:r>
        <w:t>he</w:t>
      </w:r>
      <w:r w:rsidR="000E2CE6">
        <w:t>”</w:t>
      </w:r>
      <w:r>
        <w:t xml:space="preserve"> is either God Himself or, more probably, his servant </w:t>
      </w:r>
      <w:r w:rsidR="000E2CE6">
        <w:t>“</w:t>
      </w:r>
      <w:r>
        <w:t>the anointed prince</w:t>
      </w:r>
      <w:r w:rsidR="000E2CE6">
        <w:t>”</w:t>
      </w:r>
      <w:r>
        <w:t xml:space="preserve">. </w:t>
      </w:r>
    </w:p>
    <w:p w:rsidR="000A5F63" w:rsidRDefault="000A5F63" w:rsidP="000A5F63"/>
    <w:p w:rsidR="000A5F63" w:rsidRPr="00277670" w:rsidRDefault="000A5F63" w:rsidP="000A5F63">
      <w:pPr>
        <w:rPr>
          <w:rFonts w:ascii="Bradley Hand ITC" w:hAnsi="Bradley Hand ITC"/>
          <w:b/>
          <w:sz w:val="28"/>
        </w:rPr>
      </w:pPr>
      <w:r w:rsidRPr="00277670">
        <w:rPr>
          <w:rFonts w:ascii="Bradley Hand ITC" w:hAnsi="Bradley Hand ITC"/>
          <w:b/>
          <w:sz w:val="28"/>
        </w:rPr>
        <w:t>The Consummation</w:t>
      </w:r>
    </w:p>
    <w:p w:rsidR="000A5F63" w:rsidRDefault="000A5F63" w:rsidP="000A5F63"/>
    <w:p w:rsidR="000A5F63" w:rsidRDefault="000A5F63" w:rsidP="00277670">
      <w:pPr>
        <w:pStyle w:val="Quote"/>
      </w:pPr>
      <w:r>
        <w:t>And on the wing of abominations shall be one who makes desolate, even until the consummation, which is determined, is poured out on the desolate</w:t>
      </w:r>
      <w:r w:rsidR="00277670">
        <w:t xml:space="preserve">. </w:t>
      </w:r>
      <w:r>
        <w:t>Dan</w:t>
      </w:r>
      <w:r w:rsidR="00277670">
        <w:t xml:space="preserve"> 9:27b (NKJV)</w:t>
      </w:r>
    </w:p>
    <w:p w:rsidR="000A5F63" w:rsidRDefault="000A5F63" w:rsidP="000A5F63"/>
    <w:p w:rsidR="000A5F63" w:rsidRDefault="000E2CE6" w:rsidP="000A5F63">
      <w:r>
        <w:t>“</w:t>
      </w:r>
      <w:r w:rsidR="000A5F63">
        <w:t>Wing</w:t>
      </w:r>
      <w:r>
        <w:t>”</w:t>
      </w:r>
      <w:r w:rsidR="000A5F63">
        <w:t xml:space="preserve"> (</w:t>
      </w:r>
      <w:r w:rsidR="00B04555" w:rsidRPr="00B04555">
        <w:rPr>
          <w:rFonts w:ascii="Bwhebb" w:hAnsi="Bwhebb" w:cs="Bwhebb"/>
          <w:color w:val="auto"/>
          <w:sz w:val="28"/>
          <w:szCs w:val="36"/>
          <w:lang w:eastAsia="en-GB" w:bidi="he-IL"/>
        </w:rPr>
        <w:t>@</w:t>
      </w:r>
      <w:proofErr w:type="spellStart"/>
      <w:r w:rsidR="00B04555" w:rsidRPr="00B04555">
        <w:rPr>
          <w:rFonts w:ascii="Bwhebb" w:hAnsi="Bwhebb" w:cs="Bwhebb"/>
          <w:color w:val="auto"/>
          <w:sz w:val="28"/>
          <w:szCs w:val="36"/>
          <w:lang w:eastAsia="en-GB" w:bidi="he-IL"/>
        </w:rPr>
        <w:t>nk</w:t>
      </w:r>
      <w:proofErr w:type="spellEnd"/>
      <w:r w:rsidR="000A5F63" w:rsidRPr="00B04555">
        <w:t xml:space="preserve"> </w:t>
      </w:r>
      <w:proofErr w:type="spellStart"/>
      <w:r w:rsidR="000A5F63">
        <w:rPr>
          <w:i/>
        </w:rPr>
        <w:t>kanaph</w:t>
      </w:r>
      <w:proofErr w:type="spellEnd"/>
      <w:r w:rsidR="000A5F63">
        <w:t>) is usually used figuratively in the OT and this is likely the case here, though literal fulfillments have been suggested.</w:t>
      </w:r>
      <w:r w:rsidR="000A5F63">
        <w:rPr>
          <w:rStyle w:val="FootnoteReference"/>
        </w:rPr>
        <w:footnoteReference w:id="34"/>
      </w:r>
      <w:r w:rsidR="000A5F63">
        <w:t xml:space="preserve"> Various interpretations have been offered including, </w:t>
      </w:r>
      <w:r>
        <w:t>“</w:t>
      </w:r>
      <w:r w:rsidR="000A5F63">
        <w:t>overspreading</w:t>
      </w:r>
      <w:r>
        <w:t>”</w:t>
      </w:r>
      <w:r w:rsidR="000A5F63">
        <w:t xml:space="preserve"> </w:t>
      </w:r>
      <w:r w:rsidR="00B04555">
        <w:t>(KJV)</w:t>
      </w:r>
      <w:r w:rsidR="000A5F63">
        <w:t xml:space="preserve">, </w:t>
      </w:r>
      <w:r>
        <w:t>“</w:t>
      </w:r>
      <w:r w:rsidR="000A5F63">
        <w:t>protection</w:t>
      </w:r>
      <w:r>
        <w:t>”</w:t>
      </w:r>
      <w:r w:rsidR="000A5F63">
        <w:t xml:space="preserve"> </w:t>
      </w:r>
      <w:r w:rsidR="00B04555">
        <w:t>(</w:t>
      </w:r>
      <w:r w:rsidR="000A5F63">
        <w:t>Darby</w:t>
      </w:r>
      <w:r w:rsidR="00B04555">
        <w:t>)</w:t>
      </w:r>
      <w:r w:rsidR="000A5F63">
        <w:t xml:space="preserve"> (cf. Ps 17:8)</w:t>
      </w:r>
      <w:r w:rsidR="00B04555">
        <w:t>,</w:t>
      </w:r>
      <w:r w:rsidR="000A5F63">
        <w:t xml:space="preserve"> and the wing or corner of the Temple </w:t>
      </w:r>
      <w:r w:rsidR="00B04555">
        <w:t>(</w:t>
      </w:r>
      <w:r w:rsidR="000A5F63">
        <w:t>NIV, HCSB</w:t>
      </w:r>
      <w:r w:rsidR="00B04555">
        <w:t>)</w:t>
      </w:r>
      <w:r w:rsidR="000A5F63">
        <w:t xml:space="preserve"> (cf. Is</w:t>
      </w:r>
      <w:r w:rsidR="00B04555">
        <w:t>a</w:t>
      </w:r>
      <w:r w:rsidR="000A5F63">
        <w:t xml:space="preserve"> 11:12; Ezek 7:2).</w:t>
      </w:r>
      <w:r w:rsidR="000A5F63">
        <w:rPr>
          <w:rStyle w:val="FootnoteReference"/>
        </w:rPr>
        <w:footnoteReference w:id="35"/>
      </w:r>
      <w:r w:rsidR="000A5F63">
        <w:t xml:space="preserve"> However, the phraseology seems to suggest that </w:t>
      </w:r>
      <w:r>
        <w:t>“</w:t>
      </w:r>
      <w:r w:rsidR="000A5F63">
        <w:t>the wing of abominations</w:t>
      </w:r>
      <w:r>
        <w:t>”</w:t>
      </w:r>
      <w:r w:rsidR="000A5F63">
        <w:t xml:space="preserve"> is not a location but rather a </w:t>
      </w:r>
      <w:r w:rsidR="000A5F63">
        <w:lastRenderedPageBreak/>
        <w:t xml:space="preserve">chronological sequence, hence </w:t>
      </w:r>
      <w:r>
        <w:t>“</w:t>
      </w:r>
      <w:r w:rsidR="000A5F63">
        <w:t>upon the wings of…</w:t>
      </w:r>
      <w:r>
        <w:t>”</w:t>
      </w:r>
      <w:r w:rsidR="000A5F63">
        <w:t>,</w:t>
      </w:r>
      <w:r w:rsidR="000A5F63">
        <w:rPr>
          <w:rStyle w:val="FootnoteReference"/>
        </w:rPr>
        <w:footnoteReference w:id="36"/>
      </w:r>
      <w:r w:rsidR="000A5F63">
        <w:t xml:space="preserve"> and even, </w:t>
      </w:r>
      <w:r>
        <w:t>“</w:t>
      </w:r>
      <w:r w:rsidR="000A5F63">
        <w:t>as a climax to …</w:t>
      </w:r>
      <w:r>
        <w:t>”</w:t>
      </w:r>
      <w:r w:rsidR="000A5F63">
        <w:t xml:space="preserve"> </w:t>
      </w:r>
      <w:r w:rsidR="007E6C20">
        <w:t>(</w:t>
      </w:r>
      <w:r w:rsidR="000A5F63">
        <w:t>NLT</w:t>
      </w:r>
      <w:r w:rsidR="007E6C20">
        <w:t>)</w:t>
      </w:r>
      <w:r w:rsidR="000A5F63">
        <w:t xml:space="preserve">. Upon this basis it has been argued that the </w:t>
      </w:r>
      <w:r>
        <w:t>“</w:t>
      </w:r>
      <w:r w:rsidR="000A5F63">
        <w:t>abominations</w:t>
      </w:r>
      <w:r>
        <w:t>”</w:t>
      </w:r>
      <w:r w:rsidR="000A5F63">
        <w:t xml:space="preserve"> are not necessarily deeds committed by the </w:t>
      </w:r>
      <w:r>
        <w:t>“</w:t>
      </w:r>
      <w:r w:rsidR="000A5F63">
        <w:t>one who makes desolate</w:t>
      </w:r>
      <w:r>
        <w:t>”</w:t>
      </w:r>
      <w:r w:rsidR="000A5F63">
        <w:t xml:space="preserve">.  P. J. Ray has argued that the coming of the desolator is a consequence of the </w:t>
      </w:r>
      <w:r>
        <w:t>“</w:t>
      </w:r>
      <w:r w:rsidR="000A5F63">
        <w:t>abominations</w:t>
      </w:r>
      <w:r>
        <w:t>”</w:t>
      </w:r>
      <w:r w:rsidR="000A5F63">
        <w:t xml:space="preserve">, rather than the cause, interpreting </w:t>
      </w:r>
      <w:r>
        <w:t>“</w:t>
      </w:r>
      <w:r w:rsidR="000A5F63">
        <w:t>abominations</w:t>
      </w:r>
      <w:r>
        <w:t>”</w:t>
      </w:r>
      <w:r w:rsidR="000A5F63">
        <w:t xml:space="preserve"> as the idolatrous practices of the Jewish people.</w:t>
      </w:r>
      <w:r w:rsidR="000A5F63">
        <w:rPr>
          <w:rStyle w:val="FootnoteReference"/>
        </w:rPr>
        <w:footnoteReference w:id="37"/>
      </w:r>
      <w:r w:rsidR="000A5F63">
        <w:t xml:space="preserve"> Following</w:t>
      </w:r>
      <w:r w:rsidR="007E6C20">
        <w:t>-up</w:t>
      </w:r>
      <w:r w:rsidR="000A5F63">
        <w:t xml:space="preserve"> the usage of the words </w:t>
      </w:r>
      <w:r>
        <w:t>“</w:t>
      </w:r>
      <w:r w:rsidR="000A5F63">
        <w:t>abomination</w:t>
      </w:r>
      <w:r>
        <w:t>”</w:t>
      </w:r>
      <w:r w:rsidR="000A5F63">
        <w:t xml:space="preserve"> (</w:t>
      </w:r>
      <w:r w:rsidR="007E6C20" w:rsidRPr="007E6C20">
        <w:rPr>
          <w:rFonts w:ascii="Bwhebb" w:hAnsi="Bwhebb" w:cs="Bwhebb"/>
          <w:color w:val="auto"/>
          <w:sz w:val="28"/>
          <w:szCs w:val="36"/>
          <w:lang w:eastAsia="en-GB" w:bidi="he-IL"/>
        </w:rPr>
        <w:t>#</w:t>
      </w:r>
      <w:proofErr w:type="spellStart"/>
      <w:r w:rsidR="007E6C20" w:rsidRPr="007E6C20">
        <w:rPr>
          <w:rFonts w:ascii="Bwhebb" w:hAnsi="Bwhebb" w:cs="Bwhebb"/>
          <w:color w:val="auto"/>
          <w:sz w:val="28"/>
          <w:szCs w:val="36"/>
          <w:lang w:eastAsia="en-GB" w:bidi="he-IL"/>
        </w:rPr>
        <w:t>wqv</w:t>
      </w:r>
      <w:proofErr w:type="spellEnd"/>
      <w:r w:rsidR="000A5F63" w:rsidRPr="007E6C20">
        <w:t xml:space="preserve"> </w:t>
      </w:r>
      <w:proofErr w:type="spellStart"/>
      <w:r w:rsidR="000A5F63">
        <w:rPr>
          <w:i/>
        </w:rPr>
        <w:t>shiqquwts</w:t>
      </w:r>
      <w:proofErr w:type="spellEnd"/>
      <w:r w:rsidR="000A5F63">
        <w:t xml:space="preserve">) and </w:t>
      </w:r>
      <w:r>
        <w:t>“</w:t>
      </w:r>
      <w:r w:rsidR="000A5F63">
        <w:t>desolate</w:t>
      </w:r>
      <w:r>
        <w:t>”</w:t>
      </w:r>
      <w:r w:rsidR="000A5F63">
        <w:t xml:space="preserve"> (</w:t>
      </w:r>
      <w:r w:rsidR="007E6C20" w:rsidRPr="007E6C20">
        <w:rPr>
          <w:rFonts w:ascii="Bwhebb" w:hAnsi="Bwhebb" w:cs="Bwhebb"/>
          <w:color w:val="auto"/>
          <w:sz w:val="28"/>
          <w:szCs w:val="36"/>
          <w:lang w:eastAsia="en-GB" w:bidi="he-IL"/>
        </w:rPr>
        <w:t>~mv</w:t>
      </w:r>
      <w:r w:rsidR="000A5F63" w:rsidRPr="007E6C20">
        <w:t xml:space="preserve"> </w:t>
      </w:r>
      <w:proofErr w:type="spellStart"/>
      <w:r w:rsidR="000A5F63">
        <w:rPr>
          <w:i/>
        </w:rPr>
        <w:t>shamem</w:t>
      </w:r>
      <w:proofErr w:type="spellEnd"/>
      <w:r w:rsidR="000A5F63">
        <w:t xml:space="preserve">) through the OT certainly seems to add weight to this conclusion. </w:t>
      </w:r>
      <w:proofErr w:type="spellStart"/>
      <w:r w:rsidR="000A5F63">
        <w:rPr>
          <w:i/>
        </w:rPr>
        <w:t>Shamem</w:t>
      </w:r>
      <w:proofErr w:type="spellEnd"/>
      <w:r w:rsidR="000A5F63">
        <w:rPr>
          <w:i/>
        </w:rPr>
        <w:t xml:space="preserve"> </w:t>
      </w:r>
      <w:r w:rsidR="000A5F63">
        <w:t xml:space="preserve">is frequently used to describe Jerusalem and the Temple after divine judgment (cf. Dan 9:18; also Lev 26:31-5; Jer 19:1-8; 32:36, 42-44), while </w:t>
      </w:r>
      <w:proofErr w:type="spellStart"/>
      <w:r w:rsidR="000A5F63">
        <w:rPr>
          <w:i/>
        </w:rPr>
        <w:t>shiqquwts</w:t>
      </w:r>
      <w:proofErr w:type="spellEnd"/>
      <w:r w:rsidR="000A5F63">
        <w:rPr>
          <w:i/>
        </w:rPr>
        <w:t xml:space="preserve"> </w:t>
      </w:r>
      <w:r w:rsidR="000A5F63">
        <w:t xml:space="preserve">is used to describe the sins of people preceding such judgment (cf. Ezek 5:11; 7:20; 11:18). On the other hand, the connection with the </w:t>
      </w:r>
      <w:r>
        <w:t>“</w:t>
      </w:r>
      <w:r w:rsidR="000A5F63">
        <w:t>abomination of desolation</w:t>
      </w:r>
      <w:r>
        <w:t>”</w:t>
      </w:r>
      <w:r w:rsidR="000A5F63">
        <w:t xml:space="preserve"> (cf. Dan 11:31; 12:11)</w:t>
      </w:r>
      <w:r w:rsidR="000A5F63">
        <w:rPr>
          <w:rStyle w:val="FootnoteReference"/>
        </w:rPr>
        <w:footnoteReference w:id="38"/>
      </w:r>
      <w:r w:rsidR="000A5F63">
        <w:t xml:space="preserve"> is apparent and this is </w:t>
      </w:r>
      <w:r>
        <w:t>“</w:t>
      </w:r>
      <w:r w:rsidR="000A5F63">
        <w:t>set up</w:t>
      </w:r>
      <w:r>
        <w:t>”</w:t>
      </w:r>
      <w:r w:rsidR="000A5F63">
        <w:t xml:space="preserve"> by a foreign power. This phrase, therefore, may indicate no more than that many abominations (i.e. sacrilegious acts) will feature in the coming of the desolator.</w:t>
      </w:r>
    </w:p>
    <w:p w:rsidR="000A5F63" w:rsidRDefault="000A5F63" w:rsidP="000A5F63"/>
    <w:p w:rsidR="000A5F63" w:rsidRDefault="000E2CE6" w:rsidP="000A5F63">
      <w:r>
        <w:t>“</w:t>
      </w:r>
      <w:r w:rsidR="000A5F63">
        <w:t>Consummation, which is determined</w:t>
      </w:r>
      <w:r>
        <w:t>”</w:t>
      </w:r>
      <w:r w:rsidR="000A5F63">
        <w:t xml:space="preserve">, or </w:t>
      </w:r>
      <w:r>
        <w:t>“</w:t>
      </w:r>
      <w:r w:rsidR="000A5F63">
        <w:t>the decreed end</w:t>
      </w:r>
      <w:r>
        <w:t>”</w:t>
      </w:r>
      <w:r w:rsidR="000A5F63">
        <w:t xml:space="preserve"> </w:t>
      </w:r>
      <w:r w:rsidR="00965702">
        <w:t>(</w:t>
      </w:r>
      <w:r w:rsidR="000A5F63">
        <w:t>ESV</w:t>
      </w:r>
      <w:r w:rsidR="00965702">
        <w:t>)</w:t>
      </w:r>
      <w:r w:rsidR="000A5F63">
        <w:t xml:space="preserve">, probably points to the end of the seventy-weeks and therefore the end of the dispensation. What is not clear is whether this also marks the end (i.e. death) of the </w:t>
      </w:r>
      <w:r>
        <w:t>“</w:t>
      </w:r>
      <w:r w:rsidR="000A5F63">
        <w:t>one who makes desolate</w:t>
      </w:r>
      <w:r>
        <w:t>”</w:t>
      </w:r>
      <w:r w:rsidR="000A5F63">
        <w:t xml:space="preserve">. The object of this final clause, </w:t>
      </w:r>
      <w:proofErr w:type="spellStart"/>
      <w:r w:rsidR="000A5F63">
        <w:rPr>
          <w:i/>
        </w:rPr>
        <w:t>shamem</w:t>
      </w:r>
      <w:proofErr w:type="spellEnd"/>
      <w:r w:rsidR="000A5F63">
        <w:rPr>
          <w:i/>
        </w:rPr>
        <w:t xml:space="preserve">, </w:t>
      </w:r>
      <w:r w:rsidR="000A5F63">
        <w:t xml:space="preserve">may refer to either the one who makes desolate </w:t>
      </w:r>
      <w:r w:rsidR="00965702">
        <w:t>(</w:t>
      </w:r>
      <w:r w:rsidR="000A5F63">
        <w:t>ESV; NLT; HCSB; NIV; NASB</w:t>
      </w:r>
      <w:r w:rsidR="00965702">
        <w:t>)</w:t>
      </w:r>
      <w:r w:rsidR="000A5F63">
        <w:t xml:space="preserve"> or the one who is made desolate </w:t>
      </w:r>
      <w:r w:rsidR="00965702">
        <w:t>(</w:t>
      </w:r>
      <w:r w:rsidR="000A5F63">
        <w:t xml:space="preserve">NKJV; YLT; ASV; Darby; </w:t>
      </w:r>
      <w:proofErr w:type="spellStart"/>
      <w:r w:rsidR="000A5F63">
        <w:t>Websters</w:t>
      </w:r>
      <w:proofErr w:type="spellEnd"/>
      <w:r w:rsidR="00965702">
        <w:t>)</w:t>
      </w:r>
      <w:r w:rsidR="000A5F63">
        <w:t xml:space="preserve">. Interestingly, both the Greek versions translate this final clause as meaning the end of the desolation: </w:t>
      </w:r>
      <w:r>
        <w:t>“</w:t>
      </w:r>
      <w:r w:rsidR="000A5F63">
        <w:t>a consummation will be granted to the desolation</w:t>
      </w:r>
      <w:r>
        <w:t>”</w:t>
      </w:r>
      <w:r w:rsidR="000A5F63">
        <w:t xml:space="preserve"> </w:t>
      </w:r>
      <w:r w:rsidR="00965702">
        <w:t>(</w:t>
      </w:r>
      <w:r w:rsidR="000A5F63">
        <w:t>LXX</w:t>
      </w:r>
      <w:r w:rsidR="00965702">
        <w:t>)</w:t>
      </w:r>
      <w:r w:rsidR="000A5F63">
        <w:t xml:space="preserve">; </w:t>
      </w:r>
      <w:r>
        <w:t>“</w:t>
      </w:r>
      <w:r w:rsidR="000A5F63">
        <w:t>an end shall be put to the desolation</w:t>
      </w:r>
      <w:r>
        <w:t>”</w:t>
      </w:r>
      <w:r w:rsidR="000A5F63">
        <w:t xml:space="preserve"> </w:t>
      </w:r>
      <w:r w:rsidR="00965702">
        <w:t>(</w:t>
      </w:r>
      <w:r w:rsidR="000A5F63">
        <w:t>θ</w:t>
      </w:r>
      <w:r>
        <w:t>’</w:t>
      </w:r>
      <w:r w:rsidR="00965702">
        <w:t>)</w:t>
      </w:r>
      <w:r w:rsidR="000A5F63">
        <w:t xml:space="preserve">. Since there is no reference here to a second restoration of the city and the sanctuary then it is unlikely that this last clause should be interpreted as dramatic reversal of </w:t>
      </w:r>
      <w:r w:rsidR="000A5F63">
        <w:lastRenderedPageBreak/>
        <w:t xml:space="preserve">their desolation. Rather, as this is the end of the seventy-weeks, the desolation should be final. Therefore it is most consistent to interpret this clause as the end </w:t>
      </w:r>
      <w:r>
        <w:t>“</w:t>
      </w:r>
      <w:r w:rsidR="000A5F63">
        <w:t>poured out</w:t>
      </w:r>
      <w:r>
        <w:t>”</w:t>
      </w:r>
      <w:r w:rsidR="000A5F63">
        <w:t xml:space="preserve"> on the city and sanctuary. </w:t>
      </w:r>
    </w:p>
    <w:p w:rsidR="000A5F63" w:rsidRDefault="000A5F63" w:rsidP="000A5F63"/>
    <w:p w:rsidR="000A5F63" w:rsidRPr="00965702" w:rsidRDefault="000A5F63" w:rsidP="000A5F63">
      <w:pPr>
        <w:rPr>
          <w:rFonts w:ascii="Bradley Hand ITC" w:hAnsi="Bradley Hand ITC"/>
          <w:b/>
          <w:sz w:val="28"/>
        </w:rPr>
      </w:pPr>
      <w:r w:rsidRPr="00965702">
        <w:rPr>
          <w:rFonts w:ascii="Bradley Hand ITC" w:hAnsi="Bradley Hand ITC"/>
          <w:b/>
          <w:sz w:val="28"/>
        </w:rPr>
        <w:t>Summary</w:t>
      </w:r>
    </w:p>
    <w:p w:rsidR="000A5F63" w:rsidRDefault="000A5F63" w:rsidP="000A5F63">
      <w:r>
        <w:t>Jeremiah</w:t>
      </w:r>
      <w:r w:rsidR="000E2CE6">
        <w:t>’</w:t>
      </w:r>
      <w:r>
        <w:t xml:space="preserve">s prophecy prophesied a period of seventy years in which Judah, and the surrounding nations would be under the dominion of the Neo-Babylonian Empire, and the Jews would be in captivity. The prophecy had personal relevance to Daniel, who had been in captivity for the duration of this seventy year period and he responds with prayer and supplication. This is no doubt one of the reasons why it is Daniel who is visited by the angel Gabriel with a further revelation. </w:t>
      </w:r>
    </w:p>
    <w:p w:rsidR="000A5F63" w:rsidRDefault="000A5F63" w:rsidP="000A5F63"/>
    <w:p w:rsidR="000A5F63" w:rsidRDefault="000A5F63" w:rsidP="000A5F63">
      <w:r>
        <w:t xml:space="preserve">Juxtaposed against the seventy years of captivity, there are to be seventy year-weeks of a restored nation. Though ultimately this period is to end with the destruction and desolation of Jerusalem, the prophecy hints at a higher purpose. Sin, and the offerings for sin, is to be done away with and the complete covering made for sin. The end of this seventy year-weeks should usher in, directly or indirectly, a period of everlasting righteousness. </w:t>
      </w:r>
    </w:p>
    <w:p w:rsidR="006254DD" w:rsidRDefault="006254DD" w:rsidP="000A5F63"/>
    <w:p w:rsidR="000A5F63" w:rsidRDefault="000A5F63" w:rsidP="000A5F63">
      <w:r>
        <w:t xml:space="preserve">The seventy year-weeks commenced with the decree giving permission to the Jews to rebuilt the wall of Jerusalem c.445 BC. The initial seven year-weeks presumably refer to this period rebuilding. While we have no fixed date for the formal end of construction, or any other relevant event, that might mark the end of the seven weeks, the phrase </w:t>
      </w:r>
      <w:r w:rsidR="000E2CE6">
        <w:t>“</w:t>
      </w:r>
      <w:r>
        <w:t>troublesome times</w:t>
      </w:r>
      <w:r w:rsidR="000E2CE6">
        <w:t>”</w:t>
      </w:r>
      <w:r>
        <w:t xml:space="preserve"> is pertinent to Nehemiah</w:t>
      </w:r>
      <w:r w:rsidR="000E2CE6">
        <w:t>’</w:t>
      </w:r>
      <w:r>
        <w:t xml:space="preserve">s account of the reconstruction. The sixty-two year-weeks are given no description, except that they are to end with the anointed prince, that is, the coming of the Davidic Messiah. This period, therefore, is that period when Jerusalem is to dwell in relative security but without a legitimate king. Though Jerusalem was threatened and captured many times in the </w:t>
      </w:r>
      <w:proofErr w:type="spellStart"/>
      <w:r>
        <w:t>intertestamental</w:t>
      </w:r>
      <w:proofErr w:type="spellEnd"/>
      <w:r>
        <w:t xml:space="preserve"> period, the city and the Temple remained until the renewed building work for Herod the Great. And though, after the Maccabean revolt, a monarchy was established in Judaea, it was not an heir of David who sat upon the throne. </w:t>
      </w:r>
    </w:p>
    <w:p w:rsidR="000A5F63" w:rsidRDefault="000A5F63" w:rsidP="000A5F63"/>
    <w:p w:rsidR="000A5F63" w:rsidRDefault="000A5F63" w:rsidP="000A5F63">
      <w:r>
        <w:t xml:space="preserve">It is the final week that is described in the greatest detail. The week commences with the coming of the Messiah and, presumably through his efforts, an attempt is made to renew the covenant. Since this week ends with </w:t>
      </w:r>
      <w:r>
        <w:lastRenderedPageBreak/>
        <w:t xml:space="preserve">the destruction of the city, it seems this covenantal renewal fails. It may be that what is intended here is almost an ultimatum, the last attempt to renew the Jewish people before the determined end. In the middle of </w:t>
      </w:r>
      <w:r w:rsidR="00833D45">
        <w:t xml:space="preserve">the </w:t>
      </w:r>
      <w:r>
        <w:t xml:space="preserve">week an end is made to the offerings to sin, implying that a complete covering has been made for iniquity. Though the cutting off of the Messiah is not dated, it is legitimate to correlate it with this act of covering, as it is he who is bringing an end of the offerings for sin. If we assume that a prophetic year is used (i.e. 360 days) then, regardless of disputes about exact dating of specific events, there is a figure at the end of the sixty-two year-weeks who answers to the criteria laid out in this prophecy. Jesus of Nazareth claimed to be the Messiah, preached to the Jewish people urging restoration of the true worship of God and was killed - an act which he and his followers claimed was to bring about atonement for sin. The coincidence of details, not least chronological, is extremely compelling. </w:t>
      </w:r>
    </w:p>
    <w:p w:rsidR="000A5F63" w:rsidRDefault="000A5F63" w:rsidP="000A5F63"/>
    <w:p w:rsidR="000A5F63" w:rsidRPr="00762075" w:rsidRDefault="000A5F63" w:rsidP="000A5F63">
      <w:r>
        <w:t xml:space="preserve">The final half-week is characterized by abominations till the coming of some ruler who will come with war against Jerusalem. Ultimately the city is overcome and is destroyed, bringing an end to the seventy year-week dispensation for the Jewish people. </w:t>
      </w:r>
    </w:p>
    <w:p w:rsidR="000A5F63" w:rsidRDefault="000A5F63" w:rsidP="000A5F63"/>
    <w:p w:rsidR="000A5F63" w:rsidRPr="00965702" w:rsidRDefault="000A5F63" w:rsidP="000A5F63">
      <w:pPr>
        <w:rPr>
          <w:rFonts w:ascii="Bradley Hand ITC" w:hAnsi="Bradley Hand ITC"/>
          <w:b/>
          <w:sz w:val="28"/>
        </w:rPr>
      </w:pPr>
      <w:r w:rsidRPr="00965702">
        <w:rPr>
          <w:rFonts w:ascii="Bradley Hand ITC" w:hAnsi="Bradley Hand ITC"/>
          <w:b/>
          <w:sz w:val="28"/>
        </w:rPr>
        <w:t>Conclusion</w:t>
      </w:r>
    </w:p>
    <w:p w:rsidR="000A5F63" w:rsidRDefault="000A5F63" w:rsidP="000A5F63">
      <w:r>
        <w:t xml:space="preserve">The </w:t>
      </w:r>
      <w:r w:rsidR="000E2CE6">
        <w:t>“</w:t>
      </w:r>
      <w:r>
        <w:t>critical</w:t>
      </w:r>
      <w:r w:rsidR="000E2CE6">
        <w:t>”</w:t>
      </w:r>
      <w:r>
        <w:t xml:space="preserve"> interpretation of Dan</w:t>
      </w:r>
      <w:r w:rsidR="00833D45">
        <w:t>iel</w:t>
      </w:r>
      <w:r>
        <w:t xml:space="preserve"> 9 is neither convincing nor compelling. Whilst it is understandable as an attempt to position the chapter in a Maccabean context, it can only be sustained by doing damage to the plain meaning of the text. The </w:t>
      </w:r>
      <w:r w:rsidR="000E2CE6">
        <w:t>“</w:t>
      </w:r>
      <w:r>
        <w:t>conservative</w:t>
      </w:r>
      <w:r w:rsidR="000E2CE6">
        <w:t>”</w:t>
      </w:r>
      <w:r>
        <w:t xml:space="preserve"> interpretation is rich and powerful. The enigmatic language of the prophecy does create the potential for ambiguity that is exploited by </w:t>
      </w:r>
      <w:r w:rsidR="000E2CE6">
        <w:t>“</w:t>
      </w:r>
      <w:r>
        <w:t>critical</w:t>
      </w:r>
      <w:r w:rsidR="000E2CE6">
        <w:t>”</w:t>
      </w:r>
      <w:r>
        <w:t xml:space="preserve"> interpreters, e.g. interpreting </w:t>
      </w:r>
      <w:r w:rsidR="000E2CE6">
        <w:t>“</w:t>
      </w:r>
      <w:r>
        <w:t>anointed one</w:t>
      </w:r>
      <w:r w:rsidR="000E2CE6">
        <w:t>”</w:t>
      </w:r>
      <w:r>
        <w:t xml:space="preserve"> as a priest, rather than Messiah. However, it takes little investigation to demonstrate how weak the </w:t>
      </w:r>
      <w:r w:rsidR="000E2CE6">
        <w:t>“</w:t>
      </w:r>
      <w:r>
        <w:t>critical</w:t>
      </w:r>
      <w:r w:rsidR="000E2CE6">
        <w:t>”</w:t>
      </w:r>
      <w:r>
        <w:t xml:space="preserve"> interpretation is. </w:t>
      </w:r>
    </w:p>
    <w:p w:rsidR="000A5F63" w:rsidRDefault="000A5F63" w:rsidP="000A5F63"/>
    <w:p w:rsidR="000A5F63" w:rsidRDefault="000A5F63" w:rsidP="000A5F63">
      <w:r>
        <w:t xml:space="preserve">In this </w:t>
      </w:r>
      <w:r w:rsidR="00833D45">
        <w:t>two-part article</w:t>
      </w:r>
      <w:r>
        <w:t xml:space="preserve"> we have explored the Seventy Week Prophecy and found the </w:t>
      </w:r>
      <w:r w:rsidR="000E2CE6">
        <w:t>“</w:t>
      </w:r>
      <w:r>
        <w:t>conservative</w:t>
      </w:r>
      <w:r w:rsidR="000E2CE6">
        <w:t>”</w:t>
      </w:r>
      <w:r>
        <w:t xml:space="preserve"> approach to be the more compelling. We are also examined some of the proposed difficulties, including the Masoretic </w:t>
      </w:r>
      <w:r w:rsidR="00833D45">
        <w:t>accents</w:t>
      </w:r>
      <w:r>
        <w:t xml:space="preserve"> and </w:t>
      </w:r>
      <w:r w:rsidR="00833D45">
        <w:t xml:space="preserve">the </w:t>
      </w:r>
      <w:r>
        <w:t xml:space="preserve">basis </w:t>
      </w:r>
      <w:r w:rsidR="00833D45">
        <w:t>up</w:t>
      </w:r>
      <w:r>
        <w:t xml:space="preserve">on which the time periods are calculated. We have found that neither is an insurmountable obstacle to the interpretation. The remaining difficulty is that Jerusalem was not destroyed 3 ½ years after the Crucifixion. Almost all conservative scholars propose some kind of gap or breach in the prophecy, and viewed from a dispensational perspective this is </w:t>
      </w:r>
      <w:r>
        <w:lastRenderedPageBreak/>
        <w:t xml:space="preserve">intelligible. The preaching of John the Baptist, and Jesus himself, is empowered by the presentation of the impending doom to come upon the Jewish people – </w:t>
      </w:r>
      <w:r w:rsidR="000E2CE6">
        <w:t>“</w:t>
      </w:r>
      <w:r>
        <w:t>the ax is laid to the root of the trees</w:t>
      </w:r>
      <w:r w:rsidR="000E2CE6">
        <w:t>”</w:t>
      </w:r>
      <w:r>
        <w:t xml:space="preserve">. Like the message of Jonah to </w:t>
      </w:r>
      <w:r w:rsidR="00833D45">
        <w:t>Nineveh</w:t>
      </w:r>
      <w:r>
        <w:t xml:space="preserve">, John and Jesus called to the Jews to repentance; if the Jews, like the people </w:t>
      </w:r>
      <w:r w:rsidR="00833D45">
        <w:t>Nineveh</w:t>
      </w:r>
      <w:r>
        <w:t xml:space="preserve">, repented (or if sufficient number did so), is it not plausible that the </w:t>
      </w:r>
      <w:r w:rsidR="000E2CE6">
        <w:t>“</w:t>
      </w:r>
      <w:r>
        <w:t>dispensation</w:t>
      </w:r>
      <w:r w:rsidR="000E2CE6">
        <w:t>”</w:t>
      </w:r>
      <w:r>
        <w:t xml:space="preserve"> should be extended until truly no good fruit could be found? </w:t>
      </w:r>
    </w:p>
    <w:p w:rsidR="000A5F63" w:rsidRPr="00D5414E" w:rsidRDefault="000A5F63" w:rsidP="000A5F63"/>
    <w:p w:rsidR="0001765C" w:rsidRDefault="0001765C" w:rsidP="0001765C">
      <w:pPr>
        <w:jc w:val="center"/>
        <w:rPr>
          <w:rFonts w:ascii="Bradley Hand ITC" w:hAnsi="Bradley Hand ITC"/>
          <w:b/>
          <w:sz w:val="28"/>
        </w:rPr>
      </w:pPr>
      <w:r w:rsidRPr="00916AD6">
        <w:rPr>
          <w:rFonts w:ascii="Bradley Hand ITC" w:hAnsi="Bradley Hand ITC"/>
          <w:b/>
          <w:sz w:val="28"/>
        </w:rPr>
        <w:t>Kosmokrator</w:t>
      </w:r>
    </w:p>
    <w:p w:rsidR="0001765C" w:rsidRPr="00916AD6" w:rsidRDefault="0001765C" w:rsidP="0001765C">
      <w:pPr>
        <w:jc w:val="center"/>
        <w:rPr>
          <w:rFonts w:ascii="Bradley Hand ITC" w:hAnsi="Bradley Hand ITC"/>
          <w:b/>
          <w:sz w:val="28"/>
        </w:rPr>
      </w:pPr>
      <w:r>
        <w:rPr>
          <w:rFonts w:ascii="Bradley Hand ITC" w:hAnsi="Bradley Hand ITC"/>
          <w:b/>
          <w:sz w:val="28"/>
        </w:rPr>
        <w:t>P. Wyns</w:t>
      </w:r>
    </w:p>
    <w:p w:rsidR="0001765C" w:rsidRPr="001530B1" w:rsidRDefault="0001765C" w:rsidP="0001765C">
      <w:pPr>
        <w:rPr>
          <w:b/>
        </w:rPr>
      </w:pPr>
    </w:p>
    <w:p w:rsidR="0001765C" w:rsidRPr="0001765C" w:rsidRDefault="0001765C" w:rsidP="0001765C">
      <w:pPr>
        <w:rPr>
          <w:rFonts w:ascii="Bradley Hand ITC" w:hAnsi="Bradley Hand ITC"/>
          <w:b/>
          <w:sz w:val="28"/>
        </w:rPr>
      </w:pPr>
      <w:r w:rsidRPr="0001765C">
        <w:rPr>
          <w:rFonts w:ascii="Bradley Hand ITC" w:hAnsi="Bradley Hand ITC"/>
          <w:b/>
          <w:sz w:val="28"/>
        </w:rPr>
        <w:t>Introduction</w:t>
      </w:r>
    </w:p>
    <w:p w:rsidR="0001765C" w:rsidRPr="00916AD6" w:rsidRDefault="0001765C" w:rsidP="0001765C"/>
    <w:p w:rsidR="0001765C" w:rsidRPr="00916AD6" w:rsidRDefault="0001765C" w:rsidP="0001765C">
      <w:pPr>
        <w:pStyle w:val="Quote"/>
      </w:pPr>
      <w:r w:rsidRPr="00916AD6">
        <w:t>For we do not wrestle against flesh and blood, but against principalities, against powers, against the rulers (</w:t>
      </w:r>
      <w:r w:rsidRPr="006254DD">
        <w:rPr>
          <w:rFonts w:ascii="Bwgrkl" w:hAnsi="Bwgrkl" w:cs="Bwgrkl"/>
          <w:bCs/>
        </w:rPr>
        <w:t>kosmokra,twr</w:t>
      </w:r>
      <w:r w:rsidRPr="00916AD6">
        <w:t xml:space="preserve">) of the darkness of this age, against spiritual </w:t>
      </w:r>
      <w:r w:rsidRPr="00916AD6">
        <w:rPr>
          <w:i/>
          <w:iCs/>
        </w:rPr>
        <w:t xml:space="preserve">hosts </w:t>
      </w:r>
      <w:r w:rsidRPr="00916AD6">
        <w:t xml:space="preserve">of wickedness in the heavenly </w:t>
      </w:r>
      <w:r w:rsidRPr="00916AD6">
        <w:rPr>
          <w:i/>
          <w:iCs/>
        </w:rPr>
        <w:t xml:space="preserve">places. </w:t>
      </w:r>
      <w:r w:rsidRPr="00916AD6">
        <w:rPr>
          <w:iCs/>
        </w:rPr>
        <w:t>Eph</w:t>
      </w:r>
      <w:r w:rsidR="00E47CC8">
        <w:rPr>
          <w:iCs/>
        </w:rPr>
        <w:t xml:space="preserve"> </w:t>
      </w:r>
      <w:r w:rsidRPr="00916AD6">
        <w:rPr>
          <w:iCs/>
        </w:rPr>
        <w:t>6:12</w:t>
      </w:r>
    </w:p>
    <w:p w:rsidR="0001765C" w:rsidRPr="00916AD6" w:rsidRDefault="0001765C" w:rsidP="0001765C"/>
    <w:p w:rsidR="006254DD" w:rsidRDefault="0001765C" w:rsidP="0001765C">
      <w:pPr>
        <w:rPr>
          <w:rFonts w:eastAsia="Calibri"/>
        </w:rPr>
      </w:pPr>
      <w:r w:rsidRPr="00916AD6">
        <w:rPr>
          <w:rFonts w:eastAsia="Calibri"/>
        </w:rPr>
        <w:t xml:space="preserve">Ephesians 6 presents many challenges to exegetes. The foremost problem is how to understand </w:t>
      </w:r>
      <w:r>
        <w:rPr>
          <w:rFonts w:eastAsia="Calibri"/>
          <w:i/>
          <w:iCs/>
        </w:rPr>
        <w:t>k</w:t>
      </w:r>
      <w:r w:rsidRPr="00916AD6">
        <w:rPr>
          <w:rFonts w:eastAsia="Calibri"/>
          <w:i/>
          <w:iCs/>
        </w:rPr>
        <w:t>osmokrator</w:t>
      </w:r>
      <w:r>
        <w:rPr>
          <w:rFonts w:eastAsia="Calibri"/>
          <w:iCs/>
        </w:rPr>
        <w:t xml:space="preserve"> (</w:t>
      </w:r>
      <w:r w:rsidRPr="0001765C">
        <w:rPr>
          <w:rFonts w:ascii="Bwgrkl" w:hAnsi="Bwgrkl" w:cs="Bwgrkl"/>
          <w:bCs/>
        </w:rPr>
        <w:t>kosmokra</w:t>
      </w:r>
      <w:proofErr w:type="gramStart"/>
      <w:r w:rsidRPr="0001765C">
        <w:rPr>
          <w:rFonts w:ascii="Bwgrkl" w:hAnsi="Bwgrkl" w:cs="Bwgrkl"/>
          <w:bCs/>
        </w:rPr>
        <w:t>,twr</w:t>
      </w:r>
      <w:proofErr w:type="gramEnd"/>
      <w:r>
        <w:rPr>
          <w:rFonts w:eastAsia="Calibri"/>
          <w:iCs/>
        </w:rPr>
        <w:t>)</w:t>
      </w:r>
      <w:r w:rsidRPr="00916AD6">
        <w:rPr>
          <w:rFonts w:eastAsia="Calibri"/>
          <w:i/>
          <w:iCs/>
        </w:rPr>
        <w:t>.</w:t>
      </w:r>
      <w:r w:rsidRPr="00916AD6">
        <w:rPr>
          <w:rFonts w:eastAsia="Calibri"/>
        </w:rPr>
        <w:t xml:space="preserve"> </w:t>
      </w:r>
      <w:r w:rsidRPr="00916AD6">
        <w:t xml:space="preserve">The mention of </w:t>
      </w:r>
      <w:r>
        <w:rPr>
          <w:i/>
        </w:rPr>
        <w:t>k</w:t>
      </w:r>
      <w:r w:rsidRPr="00916AD6">
        <w:rPr>
          <w:i/>
        </w:rPr>
        <w:t>osmokrator</w:t>
      </w:r>
      <w:r w:rsidRPr="00916AD6">
        <w:t xml:space="preserve"> in combination with the phrase </w:t>
      </w:r>
      <w:r w:rsidR="000E2CE6">
        <w:t>“</w:t>
      </w:r>
      <w:r w:rsidRPr="00916AD6">
        <w:rPr>
          <w:lang w:val="en-AU"/>
        </w:rPr>
        <w:t>we do not wrestle against flesh and blood</w:t>
      </w:r>
      <w:r w:rsidR="000E2CE6">
        <w:rPr>
          <w:lang w:val="en-AU"/>
        </w:rPr>
        <w:t>”</w:t>
      </w:r>
      <w:r w:rsidRPr="00916AD6">
        <w:rPr>
          <w:lang w:val="en-AU"/>
        </w:rPr>
        <w:t xml:space="preserve"> indicates that these powers are not limited to mere human rulers or institutions; this is supported by the mention of </w:t>
      </w:r>
      <w:r w:rsidR="000E2CE6">
        <w:rPr>
          <w:lang w:val="en-AU"/>
        </w:rPr>
        <w:t>“</w:t>
      </w:r>
      <w:r w:rsidRPr="00916AD6">
        <w:rPr>
          <w:lang w:val="en-AU"/>
        </w:rPr>
        <w:t>spiritual forces of evil in the heavenly realms</w:t>
      </w:r>
      <w:r w:rsidR="000E2CE6">
        <w:rPr>
          <w:lang w:val="en-AU"/>
        </w:rPr>
        <w:t>”</w:t>
      </w:r>
      <w:r w:rsidRPr="00916AD6">
        <w:rPr>
          <w:lang w:val="en-AU"/>
        </w:rPr>
        <w:t xml:space="preserve"> (NIB) and the </w:t>
      </w:r>
      <w:r w:rsidR="000E2CE6">
        <w:rPr>
          <w:lang w:val="en-AU"/>
        </w:rPr>
        <w:t>“</w:t>
      </w:r>
      <w:r w:rsidRPr="00916AD6">
        <w:rPr>
          <w:lang w:val="en-AU"/>
        </w:rPr>
        <w:t>wiles of the devil.</w:t>
      </w:r>
      <w:r w:rsidR="000E2CE6">
        <w:rPr>
          <w:lang w:val="en-AU"/>
        </w:rPr>
        <w:t>”</w:t>
      </w:r>
      <w:proofErr w:type="gramStart"/>
      <w:r w:rsidRPr="00916AD6">
        <w:rPr>
          <w:lang w:val="en-AU"/>
        </w:rPr>
        <w:t>(v.</w:t>
      </w:r>
      <w:r>
        <w:rPr>
          <w:lang w:val="en-AU"/>
        </w:rPr>
        <w:t xml:space="preserve"> </w:t>
      </w:r>
      <w:r w:rsidRPr="00916AD6">
        <w:rPr>
          <w:lang w:val="en-AU"/>
        </w:rPr>
        <w:t>11)</w:t>
      </w:r>
      <w:r w:rsidR="00904DD3">
        <w:rPr>
          <w:lang w:val="en-AU"/>
        </w:rPr>
        <w:t>.</w:t>
      </w:r>
      <w:proofErr w:type="gramEnd"/>
      <w:r w:rsidRPr="00916AD6">
        <w:rPr>
          <w:lang w:val="en-AU"/>
        </w:rPr>
        <w:t xml:space="preserve"> </w:t>
      </w:r>
      <w:r w:rsidRPr="00916AD6">
        <w:rPr>
          <w:rFonts w:eastAsia="Calibri"/>
        </w:rPr>
        <w:t>Are the church and the individual believer</w:t>
      </w:r>
      <w:r>
        <w:rPr>
          <w:rFonts w:eastAsia="Calibri"/>
        </w:rPr>
        <w:t>,</w:t>
      </w:r>
      <w:r w:rsidRPr="00916AD6">
        <w:rPr>
          <w:rFonts w:eastAsia="Calibri"/>
        </w:rPr>
        <w:t xml:space="preserve"> who are encouraged to don the amour of a Roman legionnaire (sic), under attack by supernatural powers?  </w:t>
      </w:r>
    </w:p>
    <w:p w:rsidR="006254DD" w:rsidRDefault="006254DD" w:rsidP="0001765C">
      <w:pPr>
        <w:rPr>
          <w:rFonts w:eastAsia="Calibri"/>
        </w:rPr>
      </w:pPr>
    </w:p>
    <w:p w:rsidR="0001765C" w:rsidRPr="00916AD6" w:rsidRDefault="0001765C" w:rsidP="0001765C">
      <w:r w:rsidRPr="00916AD6">
        <w:rPr>
          <w:rFonts w:eastAsia="Calibri"/>
        </w:rPr>
        <w:t>This article will endeavour to demonstrate that Ephesians 6 employs a Passover metaphor that is crucial to unlocking the narrative.</w:t>
      </w:r>
      <w:r w:rsidRPr="00916AD6">
        <w:t xml:space="preserve"> T</w:t>
      </w:r>
      <w:r w:rsidRPr="00916AD6">
        <w:rPr>
          <w:rFonts w:eastAsia="Calibri"/>
        </w:rPr>
        <w:t xml:space="preserve">here is an underlying typology in the narrative that is not based on a Roman legionnaire, but on the </w:t>
      </w:r>
      <w:r w:rsidRPr="00916AD6">
        <w:rPr>
          <w:rFonts w:eastAsia="Calibri"/>
          <w:u w:val="single"/>
        </w:rPr>
        <w:t>Jewish Passover</w:t>
      </w:r>
      <w:r w:rsidRPr="00916AD6">
        <w:rPr>
          <w:rFonts w:eastAsia="Calibri"/>
        </w:rPr>
        <w:t>. The narrative is constructed to appeal to a mixed audience of Gentile and Jewish believers, with the readily identifiable picture of a Roman legionnaire operating on the surface of the text and more subtle Passover allusions operating at a secondary level.</w:t>
      </w:r>
    </w:p>
    <w:p w:rsidR="0001765C" w:rsidRPr="00916AD6" w:rsidRDefault="0001765C" w:rsidP="0001765C"/>
    <w:p w:rsidR="006254DD" w:rsidRDefault="006254DD" w:rsidP="0001765C">
      <w:pPr>
        <w:rPr>
          <w:rFonts w:ascii="Bradley Hand ITC" w:hAnsi="Bradley Hand ITC"/>
          <w:b/>
          <w:sz w:val="28"/>
          <w:lang w:val="en-AU"/>
        </w:rPr>
      </w:pPr>
    </w:p>
    <w:p w:rsidR="006254DD" w:rsidRDefault="006254DD" w:rsidP="0001765C">
      <w:pPr>
        <w:rPr>
          <w:rFonts w:ascii="Bradley Hand ITC" w:hAnsi="Bradley Hand ITC"/>
          <w:b/>
          <w:sz w:val="28"/>
          <w:lang w:val="en-AU"/>
        </w:rPr>
      </w:pPr>
    </w:p>
    <w:p w:rsidR="0001765C" w:rsidRPr="0001765C" w:rsidRDefault="0001765C" w:rsidP="0001765C">
      <w:pPr>
        <w:rPr>
          <w:rFonts w:ascii="Bradley Hand ITC" w:hAnsi="Bradley Hand ITC"/>
          <w:b/>
          <w:sz w:val="28"/>
          <w:lang w:val="en-AU"/>
        </w:rPr>
      </w:pPr>
      <w:r w:rsidRPr="0001765C">
        <w:rPr>
          <w:rFonts w:ascii="Bradley Hand ITC" w:hAnsi="Bradley Hand ITC"/>
          <w:b/>
          <w:sz w:val="28"/>
          <w:lang w:val="en-AU"/>
        </w:rPr>
        <w:lastRenderedPageBreak/>
        <w:t>Ephesians and Hebrews</w:t>
      </w:r>
    </w:p>
    <w:p w:rsidR="0001765C" w:rsidRPr="00916AD6" w:rsidRDefault="0001765C" w:rsidP="0001765C">
      <w:r w:rsidRPr="00916AD6">
        <w:t xml:space="preserve">The phrase </w:t>
      </w:r>
      <w:r w:rsidR="000E2CE6">
        <w:t>“</w:t>
      </w:r>
      <w:r w:rsidRPr="00916AD6">
        <w:t>flesh and blood</w:t>
      </w:r>
      <w:r w:rsidR="000E2CE6">
        <w:t>”</w:t>
      </w:r>
      <w:r w:rsidRPr="00916AD6">
        <w:t xml:space="preserve"> in Eph 6:12 is literally </w:t>
      </w:r>
      <w:r w:rsidR="000E2CE6">
        <w:t>“</w:t>
      </w:r>
      <w:r w:rsidRPr="00916AD6">
        <w:rPr>
          <w:u w:val="single"/>
        </w:rPr>
        <w:t>blood and flesh</w:t>
      </w:r>
      <w:r w:rsidR="000E2CE6">
        <w:t>”</w:t>
      </w:r>
      <w:r w:rsidR="00E47CC8">
        <w:t xml:space="preserve"> </w:t>
      </w:r>
      <w:r w:rsidRPr="00916AD6">
        <w:t>(</w:t>
      </w:r>
      <w:proofErr w:type="spellStart"/>
      <w:r w:rsidRPr="00916AD6">
        <w:rPr>
          <w:rFonts w:ascii="Bwgrkl" w:hAnsi="Bwgrkl" w:cs="Bwgrkl"/>
          <w:lang w:val="en-AU"/>
        </w:rPr>
        <w:t>ai</w:t>
      </w:r>
      <w:proofErr w:type="spellEnd"/>
      <w:r w:rsidRPr="00916AD6">
        <w:rPr>
          <w:rFonts w:ascii="Bwgrkl" w:hAnsi="Bwgrkl" w:cs="Bwgrkl"/>
          <w:lang w:val="en-AU"/>
        </w:rPr>
        <w:t xml:space="preserve">-ma </w:t>
      </w:r>
      <w:proofErr w:type="spellStart"/>
      <w:r w:rsidRPr="00916AD6">
        <w:rPr>
          <w:rFonts w:ascii="Bwgrkl" w:hAnsi="Bwgrkl" w:cs="Bwgrkl"/>
          <w:lang w:val="en-AU"/>
        </w:rPr>
        <w:t>kai</w:t>
      </w:r>
      <w:proofErr w:type="spellEnd"/>
      <w:r w:rsidRPr="00916AD6">
        <w:rPr>
          <w:rFonts w:ascii="Bwgrkl" w:hAnsi="Bwgrkl" w:cs="Bwgrkl"/>
          <w:lang w:val="en-AU"/>
        </w:rPr>
        <w:t xml:space="preserve">. </w:t>
      </w:r>
      <w:proofErr w:type="spellStart"/>
      <w:r w:rsidRPr="00916AD6">
        <w:rPr>
          <w:rFonts w:ascii="Bwgrkl" w:hAnsi="Bwgrkl" w:cs="Bwgrkl"/>
          <w:lang w:val="en-AU"/>
        </w:rPr>
        <w:t>sa</w:t>
      </w:r>
      <w:proofErr w:type="gramStart"/>
      <w:r w:rsidRPr="00916AD6">
        <w:rPr>
          <w:rFonts w:ascii="Bwgrkl" w:hAnsi="Bwgrkl" w:cs="Bwgrkl"/>
          <w:lang w:val="en-AU"/>
        </w:rPr>
        <w:t>,rka</w:t>
      </w:r>
      <w:proofErr w:type="spellEnd"/>
      <w:proofErr w:type="gramEnd"/>
      <w:r w:rsidRPr="00916AD6">
        <w:t>) and is found in t</w:t>
      </w:r>
      <w:r w:rsidR="00E47CC8">
        <w:t>he same reverse order in Heb</w:t>
      </w:r>
      <w:r w:rsidRPr="00916AD6">
        <w:t xml:space="preserve"> 2:14-15</w:t>
      </w:r>
      <w:r w:rsidR="006254DD">
        <w:t>,</w:t>
      </w:r>
    </w:p>
    <w:p w:rsidR="0001765C" w:rsidRPr="00916AD6" w:rsidRDefault="0001765C" w:rsidP="0001765C"/>
    <w:p w:rsidR="0001765C" w:rsidRPr="00916AD6" w:rsidRDefault="0001765C" w:rsidP="0001765C">
      <w:pPr>
        <w:pStyle w:val="Quote"/>
      </w:pPr>
      <w:r w:rsidRPr="00916AD6">
        <w:t xml:space="preserve">Inasmuch then as the children have partaken of </w:t>
      </w:r>
      <w:r w:rsidRPr="00916AD6">
        <w:rPr>
          <w:u w:val="single"/>
        </w:rPr>
        <w:t>flesh and blood</w:t>
      </w:r>
      <w:r w:rsidRPr="00916AD6">
        <w:t xml:space="preserve"> [</w:t>
      </w:r>
      <w:r w:rsidRPr="00916AD6">
        <w:rPr>
          <w:b/>
        </w:rPr>
        <w:t>blood and flesh</w:t>
      </w:r>
      <w:r w:rsidRPr="00916AD6">
        <w:t>] (</w:t>
      </w:r>
      <w:proofErr w:type="spellStart"/>
      <w:r w:rsidRPr="00916AD6">
        <w:rPr>
          <w:rFonts w:ascii="Bwgrkl" w:hAnsi="Bwgrkl" w:cs="Bwgrkl"/>
        </w:rPr>
        <w:t>ai</w:t>
      </w:r>
      <w:proofErr w:type="spellEnd"/>
      <w:r w:rsidRPr="00916AD6">
        <w:rPr>
          <w:rFonts w:ascii="Bwgrkl" w:hAnsi="Bwgrkl" w:cs="Bwgrkl"/>
        </w:rPr>
        <w:t>[</w:t>
      </w:r>
      <w:proofErr w:type="spellStart"/>
      <w:r w:rsidRPr="00916AD6">
        <w:rPr>
          <w:rFonts w:ascii="Bwgrkl" w:hAnsi="Bwgrkl" w:cs="Bwgrkl"/>
        </w:rPr>
        <w:t>matoj</w:t>
      </w:r>
      <w:proofErr w:type="spellEnd"/>
      <w:r w:rsidRPr="00916AD6">
        <w:rPr>
          <w:rFonts w:ascii="Bwgrkl" w:hAnsi="Bwgrkl" w:cs="Bwgrkl"/>
        </w:rPr>
        <w:t xml:space="preserve"> </w:t>
      </w:r>
      <w:proofErr w:type="spellStart"/>
      <w:r w:rsidRPr="00916AD6">
        <w:rPr>
          <w:rFonts w:ascii="Bwgrkl" w:hAnsi="Bwgrkl" w:cs="Bwgrkl"/>
        </w:rPr>
        <w:t>kai</w:t>
      </w:r>
      <w:proofErr w:type="spellEnd"/>
      <w:r w:rsidRPr="00916AD6">
        <w:rPr>
          <w:rFonts w:ascii="Bwgrkl" w:hAnsi="Bwgrkl" w:cs="Bwgrkl"/>
        </w:rPr>
        <w:t xml:space="preserve">. </w:t>
      </w:r>
      <w:proofErr w:type="spellStart"/>
      <w:r w:rsidRPr="00916AD6">
        <w:rPr>
          <w:rFonts w:ascii="Bwgrkl" w:hAnsi="Bwgrkl" w:cs="Bwgrkl"/>
        </w:rPr>
        <w:t>sarko,j</w:t>
      </w:r>
      <w:proofErr w:type="spellEnd"/>
      <w:r w:rsidRPr="00916AD6">
        <w:rPr>
          <w:rFonts w:cs="Bwgrkl"/>
        </w:rPr>
        <w:t>)</w:t>
      </w:r>
      <w:r w:rsidRPr="00916AD6">
        <w:t>, He Himself likewise shared in the same, that through death He might destroy him who had the power of death, that is, the devil, and release those who through fear of death were all their lifetime subject to bondage.</w:t>
      </w:r>
      <w:r>
        <w:t xml:space="preserve"> Heb 2:14-15 (NKJV)</w:t>
      </w:r>
    </w:p>
    <w:p w:rsidR="0001765C" w:rsidRPr="00916AD6" w:rsidRDefault="0001765C" w:rsidP="0001765C">
      <w:pPr>
        <w:rPr>
          <w:lang w:val="en-AU"/>
        </w:rPr>
      </w:pPr>
    </w:p>
    <w:p w:rsidR="0001765C" w:rsidRDefault="0001765C" w:rsidP="0001765C">
      <w:pPr>
        <w:rPr>
          <w:lang w:val="en-AU"/>
        </w:rPr>
      </w:pPr>
      <w:r w:rsidRPr="00916AD6">
        <w:rPr>
          <w:lang w:val="en-AU"/>
        </w:rPr>
        <w:t xml:space="preserve">The phrase </w:t>
      </w:r>
      <w:r w:rsidR="000E2CE6">
        <w:rPr>
          <w:lang w:val="en-AU"/>
        </w:rPr>
        <w:t>“</w:t>
      </w:r>
      <w:r w:rsidRPr="00916AD6">
        <w:rPr>
          <w:lang w:val="en-AU"/>
        </w:rPr>
        <w:t>flesh and blood</w:t>
      </w:r>
      <w:r w:rsidR="000E2CE6">
        <w:rPr>
          <w:lang w:val="en-AU"/>
        </w:rPr>
        <w:t>”</w:t>
      </w:r>
      <w:r w:rsidRPr="00916AD6">
        <w:rPr>
          <w:lang w:val="en-AU"/>
        </w:rPr>
        <w:t xml:space="preserve"> or more accurately </w:t>
      </w:r>
      <w:r w:rsidR="000E2CE6">
        <w:rPr>
          <w:lang w:val="en-AU"/>
        </w:rPr>
        <w:t>“</w:t>
      </w:r>
      <w:r w:rsidRPr="00916AD6">
        <w:rPr>
          <w:lang w:val="en-AU"/>
        </w:rPr>
        <w:t>blood and flesh</w:t>
      </w:r>
      <w:r w:rsidR="000E2CE6">
        <w:rPr>
          <w:lang w:val="en-AU"/>
        </w:rPr>
        <w:t>”</w:t>
      </w:r>
      <w:r w:rsidRPr="00916AD6">
        <w:rPr>
          <w:lang w:val="en-AU"/>
        </w:rPr>
        <w:t xml:space="preserve"> signifies by </w:t>
      </w:r>
      <w:r w:rsidRPr="00916AD6">
        <w:rPr>
          <w:i/>
          <w:lang w:val="en-AU"/>
        </w:rPr>
        <w:t>synecdoche</w:t>
      </w:r>
      <w:r w:rsidRPr="00916AD6">
        <w:rPr>
          <w:lang w:val="en-AU"/>
        </w:rPr>
        <w:t>, man or human beings. By why is the order reversed only here and in Ephesians?  The correspondence between Hebrews and Ephesians is more than casual as both epistles are intertextually linked with Psalm 8 and both epistles are directed to the same church (but not the same audience).</w:t>
      </w:r>
      <w:r w:rsidRPr="00916AD6">
        <w:rPr>
          <w:rStyle w:val="FootnoteReference"/>
          <w:lang w:val="en-AU"/>
        </w:rPr>
        <w:footnoteReference w:id="39"/>
      </w:r>
    </w:p>
    <w:p w:rsidR="001530B1" w:rsidRDefault="001530B1" w:rsidP="0001765C">
      <w:pPr>
        <w:rPr>
          <w:lang w:val="en-AU"/>
        </w:rPr>
      </w:pPr>
    </w:p>
    <w:tbl>
      <w:tblPr>
        <w:tblStyle w:val="TableGrid"/>
        <w:tblW w:w="0" w:type="auto"/>
        <w:tblInd w:w="250" w:type="dxa"/>
        <w:tblLook w:val="04A0" w:firstRow="1" w:lastRow="0" w:firstColumn="1" w:lastColumn="0" w:noHBand="0" w:noVBand="1"/>
      </w:tblPr>
      <w:tblGrid>
        <w:gridCol w:w="2315"/>
        <w:gridCol w:w="2315"/>
        <w:gridCol w:w="2316"/>
      </w:tblGrid>
      <w:tr w:rsidR="0001765C" w:rsidRPr="00916AD6" w:rsidTr="0001765C">
        <w:tc>
          <w:tcPr>
            <w:tcW w:w="2315" w:type="dxa"/>
            <w:shd w:val="pct25" w:color="auto" w:fill="auto"/>
          </w:tcPr>
          <w:p w:rsidR="0001765C" w:rsidRPr="00916AD6" w:rsidRDefault="0001765C" w:rsidP="0001765C">
            <w:pPr>
              <w:jc w:val="center"/>
              <w:rPr>
                <w:b/>
              </w:rPr>
            </w:pPr>
            <w:r w:rsidRPr="00916AD6">
              <w:rPr>
                <w:b/>
              </w:rPr>
              <w:t>Psalm 8</w:t>
            </w:r>
          </w:p>
        </w:tc>
        <w:tc>
          <w:tcPr>
            <w:tcW w:w="2315" w:type="dxa"/>
            <w:shd w:val="pct25" w:color="auto" w:fill="auto"/>
          </w:tcPr>
          <w:p w:rsidR="0001765C" w:rsidRPr="00916AD6" w:rsidRDefault="0001765C" w:rsidP="0001765C">
            <w:pPr>
              <w:jc w:val="center"/>
              <w:rPr>
                <w:b/>
              </w:rPr>
            </w:pPr>
            <w:r w:rsidRPr="00916AD6">
              <w:rPr>
                <w:b/>
              </w:rPr>
              <w:t>Ephesians 1</w:t>
            </w:r>
          </w:p>
        </w:tc>
        <w:tc>
          <w:tcPr>
            <w:tcW w:w="2316" w:type="dxa"/>
            <w:shd w:val="pct25" w:color="auto" w:fill="auto"/>
          </w:tcPr>
          <w:p w:rsidR="0001765C" w:rsidRPr="00916AD6" w:rsidRDefault="0001765C" w:rsidP="0001765C">
            <w:pPr>
              <w:jc w:val="center"/>
              <w:rPr>
                <w:b/>
              </w:rPr>
            </w:pPr>
            <w:r w:rsidRPr="00916AD6">
              <w:rPr>
                <w:b/>
              </w:rPr>
              <w:t>Hebrews 2</w:t>
            </w:r>
          </w:p>
        </w:tc>
      </w:tr>
      <w:tr w:rsidR="0001765C" w:rsidRPr="00916AD6" w:rsidTr="0001765C">
        <w:tc>
          <w:tcPr>
            <w:tcW w:w="2315" w:type="dxa"/>
          </w:tcPr>
          <w:p w:rsidR="0001765C" w:rsidRPr="00916AD6" w:rsidRDefault="0001765C" w:rsidP="006254DD">
            <w:pPr>
              <w:jc w:val="left"/>
            </w:pPr>
            <w:r w:rsidRPr="00916AD6">
              <w:rPr>
                <w:b/>
              </w:rPr>
              <w:t>v.</w:t>
            </w:r>
            <w:r>
              <w:rPr>
                <w:b/>
              </w:rPr>
              <w:t xml:space="preserve"> </w:t>
            </w:r>
            <w:r w:rsidRPr="00916AD6">
              <w:rPr>
                <w:b/>
              </w:rPr>
              <w:t>1</w:t>
            </w:r>
            <w:r w:rsidRPr="00916AD6">
              <w:t xml:space="preserve"> </w:t>
            </w:r>
            <w:r w:rsidRPr="00916AD6">
              <w:rPr>
                <w:lang w:val="en-AU"/>
              </w:rPr>
              <w:t>O L</w:t>
            </w:r>
            <w:r>
              <w:rPr>
                <w:lang w:val="en-AU"/>
              </w:rPr>
              <w:t>ord</w:t>
            </w:r>
            <w:r w:rsidRPr="00916AD6">
              <w:rPr>
                <w:lang w:val="en-AU"/>
              </w:rPr>
              <w:t xml:space="preserve">, our Lord, How excellent </w:t>
            </w:r>
            <w:r w:rsidRPr="00916AD6">
              <w:rPr>
                <w:i/>
                <w:iCs/>
                <w:lang w:val="en-AU"/>
              </w:rPr>
              <w:t xml:space="preserve">is </w:t>
            </w:r>
            <w:r w:rsidRPr="00916AD6">
              <w:rPr>
                <w:lang w:val="en-AU"/>
              </w:rPr>
              <w:t>Your name in all the earth, Who have set Your glory above the heavens!</w:t>
            </w:r>
          </w:p>
        </w:tc>
        <w:tc>
          <w:tcPr>
            <w:tcW w:w="2315" w:type="dxa"/>
          </w:tcPr>
          <w:p w:rsidR="0001765C" w:rsidRPr="00916AD6" w:rsidRDefault="0001765C" w:rsidP="0001765C">
            <w:pPr>
              <w:jc w:val="left"/>
            </w:pPr>
            <w:r w:rsidRPr="00916AD6">
              <w:rPr>
                <w:b/>
              </w:rPr>
              <w:t>v.</w:t>
            </w:r>
            <w:r>
              <w:rPr>
                <w:b/>
              </w:rPr>
              <w:t xml:space="preserve"> </w:t>
            </w:r>
            <w:r w:rsidRPr="00916AD6">
              <w:rPr>
                <w:b/>
              </w:rPr>
              <w:t xml:space="preserve">17 </w:t>
            </w:r>
            <w:r w:rsidRPr="00916AD6">
              <w:t>Father of Glory</w:t>
            </w:r>
          </w:p>
        </w:tc>
        <w:tc>
          <w:tcPr>
            <w:tcW w:w="2316" w:type="dxa"/>
          </w:tcPr>
          <w:p w:rsidR="0001765C" w:rsidRPr="00916AD6" w:rsidRDefault="0001765C" w:rsidP="0001765C">
            <w:pPr>
              <w:jc w:val="left"/>
            </w:pPr>
          </w:p>
        </w:tc>
      </w:tr>
      <w:tr w:rsidR="0001765C" w:rsidRPr="00916AD6" w:rsidTr="0001765C">
        <w:tc>
          <w:tcPr>
            <w:tcW w:w="2315" w:type="dxa"/>
          </w:tcPr>
          <w:p w:rsidR="0001765C" w:rsidRPr="00916AD6" w:rsidRDefault="0001765C" w:rsidP="00F949EA">
            <w:pPr>
              <w:jc w:val="left"/>
            </w:pPr>
            <w:r w:rsidRPr="00916AD6">
              <w:rPr>
                <w:b/>
                <w:lang w:val="en-AU"/>
              </w:rPr>
              <w:t>v.</w:t>
            </w:r>
            <w:r>
              <w:rPr>
                <w:b/>
                <w:lang w:val="en-AU"/>
              </w:rPr>
              <w:t xml:space="preserve"> </w:t>
            </w:r>
            <w:r w:rsidRPr="00916AD6">
              <w:rPr>
                <w:b/>
                <w:lang w:val="en-AU"/>
              </w:rPr>
              <w:t>2b</w:t>
            </w:r>
            <w:r w:rsidR="00F949EA">
              <w:rPr>
                <w:b/>
                <w:lang w:val="en-AU"/>
              </w:rPr>
              <w:t xml:space="preserve"> </w:t>
            </w:r>
            <w:r w:rsidRPr="00916AD6">
              <w:rPr>
                <w:lang w:val="en-AU"/>
              </w:rPr>
              <w:t>...</w:t>
            </w:r>
            <w:r w:rsidR="00F949EA">
              <w:rPr>
                <w:lang w:val="en-AU"/>
              </w:rPr>
              <w:t>Y</w:t>
            </w:r>
            <w:r w:rsidRPr="00916AD6">
              <w:rPr>
                <w:lang w:val="en-AU"/>
              </w:rPr>
              <w:t>ou have ordained strength</w:t>
            </w:r>
          </w:p>
        </w:tc>
        <w:tc>
          <w:tcPr>
            <w:tcW w:w="2315" w:type="dxa"/>
          </w:tcPr>
          <w:p w:rsidR="0001765C" w:rsidRPr="006254DD" w:rsidRDefault="0001765C" w:rsidP="006254DD">
            <w:pPr>
              <w:autoSpaceDE w:val="0"/>
              <w:autoSpaceDN w:val="0"/>
              <w:adjustRightInd w:val="0"/>
              <w:jc w:val="left"/>
              <w:rPr>
                <w:lang w:val="en-AU"/>
              </w:rPr>
            </w:pPr>
            <w:r w:rsidRPr="00916AD6">
              <w:rPr>
                <w:b/>
                <w:bCs/>
                <w:lang w:val="en-AU"/>
              </w:rPr>
              <w:t>v.</w:t>
            </w:r>
            <w:r>
              <w:rPr>
                <w:b/>
                <w:bCs/>
                <w:lang w:val="en-AU"/>
              </w:rPr>
              <w:t xml:space="preserve"> </w:t>
            </w:r>
            <w:r w:rsidRPr="00916AD6">
              <w:rPr>
                <w:b/>
                <w:bCs/>
                <w:lang w:val="en-AU"/>
              </w:rPr>
              <w:t xml:space="preserve">19 </w:t>
            </w:r>
            <w:r w:rsidRPr="00916AD6">
              <w:rPr>
                <w:bCs/>
                <w:lang w:val="en-AU"/>
              </w:rPr>
              <w:t>...</w:t>
            </w:r>
            <w:r w:rsidRPr="00916AD6">
              <w:rPr>
                <w:lang w:val="en-AU"/>
              </w:rPr>
              <w:t xml:space="preserve">and what </w:t>
            </w:r>
            <w:r w:rsidRPr="00916AD6">
              <w:rPr>
                <w:i/>
                <w:iCs/>
                <w:lang w:val="en-AU"/>
              </w:rPr>
              <w:t xml:space="preserve">is </w:t>
            </w:r>
            <w:r w:rsidRPr="00916AD6">
              <w:rPr>
                <w:lang w:val="en-AU"/>
              </w:rPr>
              <w:t>the exceeding greatness of His power toward us who believe, according to the working of His mighty power</w:t>
            </w:r>
          </w:p>
        </w:tc>
        <w:tc>
          <w:tcPr>
            <w:tcW w:w="2316" w:type="dxa"/>
          </w:tcPr>
          <w:p w:rsidR="0001765C" w:rsidRPr="00916AD6" w:rsidRDefault="0001765C" w:rsidP="0001765C">
            <w:pPr>
              <w:jc w:val="left"/>
              <w:rPr>
                <w:b/>
              </w:rPr>
            </w:pPr>
          </w:p>
        </w:tc>
      </w:tr>
    </w:tbl>
    <w:p w:rsidR="00E47CC8" w:rsidRDefault="00E47CC8">
      <w:r>
        <w:br w:type="page"/>
      </w:r>
    </w:p>
    <w:tbl>
      <w:tblPr>
        <w:tblStyle w:val="TableGrid"/>
        <w:tblW w:w="0" w:type="auto"/>
        <w:tblInd w:w="250" w:type="dxa"/>
        <w:tblLook w:val="04A0" w:firstRow="1" w:lastRow="0" w:firstColumn="1" w:lastColumn="0" w:noHBand="0" w:noVBand="1"/>
      </w:tblPr>
      <w:tblGrid>
        <w:gridCol w:w="2315"/>
        <w:gridCol w:w="2315"/>
        <w:gridCol w:w="2316"/>
      </w:tblGrid>
      <w:tr w:rsidR="001530B1" w:rsidRPr="00916AD6" w:rsidTr="00400A62">
        <w:tc>
          <w:tcPr>
            <w:tcW w:w="2315" w:type="dxa"/>
            <w:shd w:val="pct25" w:color="auto" w:fill="auto"/>
          </w:tcPr>
          <w:p w:rsidR="001530B1" w:rsidRPr="00916AD6" w:rsidRDefault="006254DD" w:rsidP="00400A62">
            <w:pPr>
              <w:jc w:val="center"/>
              <w:rPr>
                <w:b/>
              </w:rPr>
            </w:pPr>
            <w:r>
              <w:lastRenderedPageBreak/>
              <w:br w:type="page"/>
            </w:r>
            <w:r w:rsidR="001530B1">
              <w:br w:type="page"/>
            </w:r>
            <w:r w:rsidR="001530B1" w:rsidRPr="00916AD6">
              <w:rPr>
                <w:b/>
              </w:rPr>
              <w:t>Psalm 8</w:t>
            </w:r>
          </w:p>
        </w:tc>
        <w:tc>
          <w:tcPr>
            <w:tcW w:w="2315" w:type="dxa"/>
            <w:shd w:val="pct25" w:color="auto" w:fill="auto"/>
          </w:tcPr>
          <w:p w:rsidR="001530B1" w:rsidRPr="00916AD6" w:rsidRDefault="001530B1" w:rsidP="00400A62">
            <w:pPr>
              <w:jc w:val="center"/>
              <w:rPr>
                <w:b/>
              </w:rPr>
            </w:pPr>
            <w:r w:rsidRPr="00916AD6">
              <w:rPr>
                <w:b/>
              </w:rPr>
              <w:t>Ephesians 1</w:t>
            </w:r>
          </w:p>
        </w:tc>
        <w:tc>
          <w:tcPr>
            <w:tcW w:w="2316" w:type="dxa"/>
            <w:shd w:val="pct25" w:color="auto" w:fill="auto"/>
          </w:tcPr>
          <w:p w:rsidR="001530B1" w:rsidRPr="00916AD6" w:rsidRDefault="001530B1" w:rsidP="00400A62">
            <w:pPr>
              <w:jc w:val="center"/>
              <w:rPr>
                <w:b/>
              </w:rPr>
            </w:pPr>
            <w:r w:rsidRPr="00916AD6">
              <w:rPr>
                <w:b/>
              </w:rPr>
              <w:t>Hebrews 2</w:t>
            </w:r>
          </w:p>
        </w:tc>
      </w:tr>
      <w:tr w:rsidR="0001765C" w:rsidRPr="00916AD6" w:rsidTr="0001765C">
        <w:tc>
          <w:tcPr>
            <w:tcW w:w="2315" w:type="dxa"/>
          </w:tcPr>
          <w:p w:rsidR="0001765C" w:rsidRPr="00916AD6" w:rsidRDefault="0001765C" w:rsidP="0001765C">
            <w:pPr>
              <w:autoSpaceDE w:val="0"/>
              <w:autoSpaceDN w:val="0"/>
              <w:adjustRightInd w:val="0"/>
              <w:jc w:val="left"/>
              <w:rPr>
                <w:lang w:val="en-AU"/>
              </w:rPr>
            </w:pPr>
            <w:r w:rsidRPr="00916AD6">
              <w:rPr>
                <w:b/>
                <w:bCs/>
                <w:lang w:val="en-AU"/>
              </w:rPr>
              <w:t>v.</w:t>
            </w:r>
            <w:r>
              <w:rPr>
                <w:b/>
                <w:bCs/>
                <w:lang w:val="en-AU"/>
              </w:rPr>
              <w:t xml:space="preserve"> </w:t>
            </w:r>
            <w:r w:rsidRPr="00916AD6">
              <w:rPr>
                <w:b/>
                <w:bCs/>
                <w:lang w:val="en-AU"/>
              </w:rPr>
              <w:t xml:space="preserve">4 </w:t>
            </w:r>
            <w:r w:rsidRPr="00916AD6">
              <w:rPr>
                <w:lang w:val="en-AU"/>
              </w:rPr>
              <w:t>What is man that You are mindful of him, And the son of man that You visit him?</w:t>
            </w:r>
          </w:p>
          <w:p w:rsidR="0001765C" w:rsidRPr="00916AD6" w:rsidRDefault="0001765C" w:rsidP="0001765C">
            <w:pPr>
              <w:jc w:val="left"/>
              <w:rPr>
                <w:b/>
                <w:lang w:val="en-AU"/>
              </w:rPr>
            </w:pPr>
          </w:p>
        </w:tc>
        <w:tc>
          <w:tcPr>
            <w:tcW w:w="2315" w:type="dxa"/>
          </w:tcPr>
          <w:p w:rsidR="0001765C" w:rsidRPr="00916AD6" w:rsidRDefault="0001765C" w:rsidP="0001765C">
            <w:pPr>
              <w:autoSpaceDE w:val="0"/>
              <w:autoSpaceDN w:val="0"/>
              <w:adjustRightInd w:val="0"/>
              <w:jc w:val="left"/>
              <w:rPr>
                <w:b/>
                <w:bCs/>
                <w:lang w:val="en-AU"/>
              </w:rPr>
            </w:pPr>
          </w:p>
        </w:tc>
        <w:tc>
          <w:tcPr>
            <w:tcW w:w="2316" w:type="dxa"/>
          </w:tcPr>
          <w:p w:rsidR="0001765C" w:rsidRPr="00916AD6" w:rsidRDefault="0001765C" w:rsidP="0001765C">
            <w:pPr>
              <w:autoSpaceDE w:val="0"/>
              <w:autoSpaceDN w:val="0"/>
              <w:adjustRightInd w:val="0"/>
              <w:jc w:val="left"/>
              <w:rPr>
                <w:lang w:val="en-AU"/>
              </w:rPr>
            </w:pPr>
            <w:r w:rsidRPr="00916AD6">
              <w:rPr>
                <w:b/>
                <w:bCs/>
                <w:lang w:val="en-AU"/>
              </w:rPr>
              <w:t>v.</w:t>
            </w:r>
            <w:r>
              <w:rPr>
                <w:b/>
                <w:bCs/>
                <w:lang w:val="en-AU"/>
              </w:rPr>
              <w:t xml:space="preserve"> </w:t>
            </w:r>
            <w:r w:rsidRPr="00916AD6">
              <w:rPr>
                <w:b/>
                <w:bCs/>
                <w:lang w:val="en-AU"/>
              </w:rPr>
              <w:t xml:space="preserve">6 </w:t>
            </w:r>
            <w:r w:rsidRPr="00916AD6">
              <w:rPr>
                <w:lang w:val="en-AU"/>
              </w:rPr>
              <w:t xml:space="preserve">But one testified in a certain place, saying: </w:t>
            </w:r>
            <w:r w:rsidR="000E2CE6">
              <w:rPr>
                <w:lang w:val="en-AU"/>
              </w:rPr>
              <w:t>“</w:t>
            </w:r>
            <w:r w:rsidRPr="00916AD6">
              <w:rPr>
                <w:lang w:val="en-AU"/>
              </w:rPr>
              <w:t>What is man that You are mindful of him, Or the son of man that You take care of him?</w:t>
            </w:r>
            <w:r w:rsidR="000E2CE6">
              <w:rPr>
                <w:lang w:val="en-AU"/>
              </w:rPr>
              <w:t>”</w:t>
            </w:r>
          </w:p>
          <w:p w:rsidR="0001765C" w:rsidRPr="00916AD6" w:rsidRDefault="0001765C" w:rsidP="0001765C">
            <w:pPr>
              <w:jc w:val="left"/>
              <w:rPr>
                <w:b/>
              </w:rPr>
            </w:pPr>
          </w:p>
        </w:tc>
      </w:tr>
      <w:tr w:rsidR="0001765C" w:rsidRPr="00916AD6" w:rsidTr="0001765C">
        <w:tc>
          <w:tcPr>
            <w:tcW w:w="2315" w:type="dxa"/>
          </w:tcPr>
          <w:p w:rsidR="0001765C" w:rsidRPr="00916AD6" w:rsidRDefault="0001765C" w:rsidP="0001765C">
            <w:pPr>
              <w:autoSpaceDE w:val="0"/>
              <w:autoSpaceDN w:val="0"/>
              <w:adjustRightInd w:val="0"/>
              <w:jc w:val="left"/>
              <w:rPr>
                <w:lang w:val="en-AU"/>
              </w:rPr>
            </w:pPr>
            <w:r w:rsidRPr="00916AD6">
              <w:rPr>
                <w:b/>
                <w:bCs/>
                <w:lang w:val="en-AU"/>
              </w:rPr>
              <w:t>v.</w:t>
            </w:r>
            <w:r>
              <w:rPr>
                <w:b/>
                <w:bCs/>
                <w:lang w:val="en-AU"/>
              </w:rPr>
              <w:t xml:space="preserve"> </w:t>
            </w:r>
            <w:r w:rsidRPr="00916AD6">
              <w:rPr>
                <w:b/>
                <w:bCs/>
                <w:lang w:val="en-AU"/>
              </w:rPr>
              <w:t xml:space="preserve">5 </w:t>
            </w:r>
            <w:r w:rsidRPr="00916AD6">
              <w:rPr>
                <w:lang w:val="en-AU"/>
              </w:rPr>
              <w:t>For You have made him a little lower than the angels, And You have crowned him with glory and honour.</w:t>
            </w:r>
          </w:p>
          <w:p w:rsidR="0001765C" w:rsidRPr="00916AD6" w:rsidRDefault="0001765C" w:rsidP="0001765C">
            <w:pPr>
              <w:autoSpaceDE w:val="0"/>
              <w:autoSpaceDN w:val="0"/>
              <w:adjustRightInd w:val="0"/>
              <w:jc w:val="left"/>
              <w:rPr>
                <w:b/>
                <w:bCs/>
                <w:lang w:val="en-AU"/>
              </w:rPr>
            </w:pPr>
          </w:p>
        </w:tc>
        <w:tc>
          <w:tcPr>
            <w:tcW w:w="2315" w:type="dxa"/>
          </w:tcPr>
          <w:p w:rsidR="0001765C" w:rsidRPr="00916AD6" w:rsidRDefault="0001765C" w:rsidP="0001765C">
            <w:pPr>
              <w:autoSpaceDE w:val="0"/>
              <w:autoSpaceDN w:val="0"/>
              <w:adjustRightInd w:val="0"/>
              <w:jc w:val="left"/>
              <w:rPr>
                <w:b/>
                <w:bCs/>
                <w:lang w:val="en-AU"/>
              </w:rPr>
            </w:pPr>
          </w:p>
        </w:tc>
        <w:tc>
          <w:tcPr>
            <w:tcW w:w="2316" w:type="dxa"/>
          </w:tcPr>
          <w:p w:rsidR="0001765C" w:rsidRPr="00916AD6" w:rsidRDefault="0001765C" w:rsidP="0001765C">
            <w:pPr>
              <w:autoSpaceDE w:val="0"/>
              <w:autoSpaceDN w:val="0"/>
              <w:adjustRightInd w:val="0"/>
              <w:jc w:val="left"/>
              <w:rPr>
                <w:lang w:val="en-AU"/>
              </w:rPr>
            </w:pPr>
            <w:r w:rsidRPr="00916AD6">
              <w:rPr>
                <w:b/>
                <w:bCs/>
                <w:lang w:val="en-AU"/>
              </w:rPr>
              <w:t>v.</w:t>
            </w:r>
            <w:r>
              <w:rPr>
                <w:b/>
                <w:bCs/>
                <w:lang w:val="en-AU"/>
              </w:rPr>
              <w:t xml:space="preserve"> </w:t>
            </w:r>
            <w:r w:rsidRPr="00916AD6">
              <w:rPr>
                <w:b/>
                <w:bCs/>
                <w:lang w:val="en-AU"/>
              </w:rPr>
              <w:t xml:space="preserve">7 </w:t>
            </w:r>
            <w:r w:rsidRPr="00916AD6">
              <w:rPr>
                <w:lang w:val="en-AU"/>
              </w:rPr>
              <w:t>You have made him a little lower than the angels; You have crowned him with glory and honour, And set him over the works of Your hands.</w:t>
            </w:r>
          </w:p>
          <w:p w:rsidR="0001765C" w:rsidRPr="00916AD6" w:rsidRDefault="0001765C" w:rsidP="0001765C">
            <w:pPr>
              <w:autoSpaceDE w:val="0"/>
              <w:autoSpaceDN w:val="0"/>
              <w:adjustRightInd w:val="0"/>
              <w:jc w:val="left"/>
              <w:rPr>
                <w:b/>
                <w:bCs/>
                <w:lang w:val="en-AU"/>
              </w:rPr>
            </w:pPr>
          </w:p>
        </w:tc>
      </w:tr>
      <w:tr w:rsidR="0001765C" w:rsidRPr="00916AD6" w:rsidTr="0001765C">
        <w:tc>
          <w:tcPr>
            <w:tcW w:w="2315" w:type="dxa"/>
          </w:tcPr>
          <w:p w:rsidR="0001765C" w:rsidRPr="00916AD6" w:rsidRDefault="0001765C" w:rsidP="0001765C">
            <w:pPr>
              <w:autoSpaceDE w:val="0"/>
              <w:autoSpaceDN w:val="0"/>
              <w:adjustRightInd w:val="0"/>
              <w:jc w:val="left"/>
              <w:rPr>
                <w:b/>
                <w:bCs/>
                <w:lang w:val="en-AU"/>
              </w:rPr>
            </w:pPr>
            <w:r w:rsidRPr="00916AD6">
              <w:rPr>
                <w:b/>
                <w:lang w:val="en-AU"/>
              </w:rPr>
              <w:t>v.</w:t>
            </w:r>
            <w:r>
              <w:rPr>
                <w:b/>
                <w:lang w:val="en-AU"/>
              </w:rPr>
              <w:t xml:space="preserve"> </w:t>
            </w:r>
            <w:r w:rsidRPr="00916AD6">
              <w:rPr>
                <w:b/>
                <w:lang w:val="en-AU"/>
              </w:rPr>
              <w:t>6b</w:t>
            </w:r>
            <w:r w:rsidRPr="00916AD6">
              <w:rPr>
                <w:lang w:val="en-AU"/>
              </w:rPr>
              <w:t xml:space="preserve"> You have put all </w:t>
            </w:r>
            <w:r w:rsidRPr="00916AD6">
              <w:rPr>
                <w:i/>
                <w:iCs/>
                <w:lang w:val="en-AU"/>
              </w:rPr>
              <w:t xml:space="preserve">things </w:t>
            </w:r>
            <w:r w:rsidRPr="00916AD6">
              <w:rPr>
                <w:lang w:val="en-AU"/>
              </w:rPr>
              <w:t>under his feet</w:t>
            </w:r>
          </w:p>
        </w:tc>
        <w:tc>
          <w:tcPr>
            <w:tcW w:w="2315" w:type="dxa"/>
          </w:tcPr>
          <w:p w:rsidR="0001765C" w:rsidRPr="00916AD6" w:rsidRDefault="0001765C" w:rsidP="0001765C">
            <w:pPr>
              <w:autoSpaceDE w:val="0"/>
              <w:autoSpaceDN w:val="0"/>
              <w:adjustRightInd w:val="0"/>
              <w:jc w:val="left"/>
              <w:rPr>
                <w:b/>
                <w:bCs/>
                <w:lang w:val="en-AU"/>
              </w:rPr>
            </w:pPr>
            <w:r w:rsidRPr="00916AD6">
              <w:rPr>
                <w:b/>
              </w:rPr>
              <w:t>v.</w:t>
            </w:r>
            <w:r>
              <w:rPr>
                <w:b/>
              </w:rPr>
              <w:t xml:space="preserve"> </w:t>
            </w:r>
            <w:r w:rsidRPr="00916AD6">
              <w:rPr>
                <w:b/>
              </w:rPr>
              <w:t>22</w:t>
            </w:r>
            <w:r w:rsidRPr="00916AD6">
              <w:t xml:space="preserve"> </w:t>
            </w:r>
            <w:r w:rsidRPr="00916AD6">
              <w:rPr>
                <w:lang w:val="en-AU"/>
              </w:rPr>
              <w:t xml:space="preserve">And He put all </w:t>
            </w:r>
            <w:r w:rsidRPr="00916AD6">
              <w:rPr>
                <w:i/>
                <w:iCs/>
                <w:lang w:val="en-AU"/>
              </w:rPr>
              <w:t xml:space="preserve">things </w:t>
            </w:r>
            <w:r w:rsidRPr="00916AD6">
              <w:rPr>
                <w:lang w:val="en-AU"/>
              </w:rPr>
              <w:t>under His feet</w:t>
            </w:r>
          </w:p>
        </w:tc>
        <w:tc>
          <w:tcPr>
            <w:tcW w:w="2316" w:type="dxa"/>
          </w:tcPr>
          <w:p w:rsidR="0001765C" w:rsidRPr="00916AD6" w:rsidRDefault="0001765C" w:rsidP="0001765C">
            <w:pPr>
              <w:autoSpaceDE w:val="0"/>
              <w:autoSpaceDN w:val="0"/>
              <w:adjustRightInd w:val="0"/>
              <w:jc w:val="left"/>
              <w:rPr>
                <w:lang w:val="en-AU"/>
              </w:rPr>
            </w:pPr>
            <w:r w:rsidRPr="00916AD6">
              <w:rPr>
                <w:b/>
                <w:bCs/>
                <w:lang w:val="en-AU"/>
              </w:rPr>
              <w:t>v.</w:t>
            </w:r>
            <w:r>
              <w:rPr>
                <w:b/>
                <w:bCs/>
                <w:lang w:val="en-AU"/>
              </w:rPr>
              <w:t xml:space="preserve"> </w:t>
            </w:r>
            <w:r w:rsidRPr="00916AD6">
              <w:rPr>
                <w:b/>
                <w:bCs/>
                <w:lang w:val="en-AU"/>
              </w:rPr>
              <w:t xml:space="preserve">8 </w:t>
            </w:r>
            <w:r w:rsidRPr="00916AD6">
              <w:rPr>
                <w:lang w:val="en-AU"/>
              </w:rPr>
              <w:t xml:space="preserve">You have put all things in subjection under his feet. For in that He put all in subjection under him, He left nothing </w:t>
            </w:r>
            <w:r w:rsidRPr="00916AD6">
              <w:rPr>
                <w:i/>
                <w:iCs/>
                <w:lang w:val="en-AU"/>
              </w:rPr>
              <w:t xml:space="preserve">that is </w:t>
            </w:r>
            <w:r w:rsidRPr="00916AD6">
              <w:rPr>
                <w:lang w:val="en-AU"/>
              </w:rPr>
              <w:t>not put under him. But now we do not yet see all things put under him.</w:t>
            </w:r>
          </w:p>
          <w:p w:rsidR="0001765C" w:rsidRPr="00916AD6" w:rsidRDefault="0001765C" w:rsidP="0001765C">
            <w:pPr>
              <w:autoSpaceDE w:val="0"/>
              <w:autoSpaceDN w:val="0"/>
              <w:adjustRightInd w:val="0"/>
              <w:jc w:val="left"/>
              <w:rPr>
                <w:b/>
                <w:bCs/>
                <w:lang w:val="en-AU"/>
              </w:rPr>
            </w:pPr>
          </w:p>
        </w:tc>
      </w:tr>
      <w:tr w:rsidR="0001765C" w:rsidRPr="00916AD6" w:rsidTr="0001765C">
        <w:tc>
          <w:tcPr>
            <w:tcW w:w="2315" w:type="dxa"/>
          </w:tcPr>
          <w:p w:rsidR="0001765C" w:rsidRPr="00916AD6" w:rsidRDefault="0001765C" w:rsidP="0001765C">
            <w:pPr>
              <w:jc w:val="left"/>
              <w:rPr>
                <w:lang w:val="en-AU"/>
              </w:rPr>
            </w:pPr>
            <w:r w:rsidRPr="00916AD6">
              <w:rPr>
                <w:b/>
              </w:rPr>
              <w:t>v.</w:t>
            </w:r>
            <w:r>
              <w:rPr>
                <w:b/>
              </w:rPr>
              <w:t xml:space="preserve"> </w:t>
            </w:r>
            <w:r w:rsidRPr="00916AD6">
              <w:rPr>
                <w:b/>
              </w:rPr>
              <w:t>1b</w:t>
            </w:r>
            <w:r w:rsidRPr="00916AD6">
              <w:t xml:space="preserve"> </w:t>
            </w:r>
            <w:r w:rsidRPr="00916AD6">
              <w:rPr>
                <w:lang w:val="en-AU"/>
              </w:rPr>
              <w:t>Your glory above the heavens!</w:t>
            </w:r>
          </w:p>
          <w:p w:rsidR="0001765C" w:rsidRPr="00916AD6" w:rsidRDefault="0001765C" w:rsidP="0001765C">
            <w:pPr>
              <w:jc w:val="left"/>
              <w:rPr>
                <w:b/>
                <w:lang w:val="en-AU"/>
              </w:rPr>
            </w:pPr>
          </w:p>
          <w:p w:rsidR="0001765C" w:rsidRPr="00916AD6" w:rsidRDefault="0001765C" w:rsidP="0001765C">
            <w:pPr>
              <w:jc w:val="left"/>
              <w:rPr>
                <w:b/>
                <w:lang w:val="en-AU"/>
              </w:rPr>
            </w:pPr>
          </w:p>
          <w:p w:rsidR="0001765C" w:rsidRPr="00916AD6" w:rsidRDefault="0001765C" w:rsidP="0001765C">
            <w:pPr>
              <w:jc w:val="left"/>
            </w:pPr>
            <w:r w:rsidRPr="00916AD6">
              <w:rPr>
                <w:b/>
                <w:lang w:val="en-AU"/>
              </w:rPr>
              <w:t>v.</w:t>
            </w:r>
            <w:r>
              <w:rPr>
                <w:b/>
                <w:lang w:val="en-AU"/>
              </w:rPr>
              <w:t xml:space="preserve"> </w:t>
            </w:r>
            <w:r w:rsidRPr="00916AD6">
              <w:rPr>
                <w:b/>
                <w:lang w:val="en-AU"/>
              </w:rPr>
              <w:t>6a</w:t>
            </w:r>
            <w:r w:rsidRPr="00916AD6">
              <w:rPr>
                <w:lang w:val="en-AU"/>
              </w:rPr>
              <w:t xml:space="preserve"> You have made him to have dominion </w:t>
            </w:r>
          </w:p>
        </w:tc>
        <w:tc>
          <w:tcPr>
            <w:tcW w:w="2315" w:type="dxa"/>
          </w:tcPr>
          <w:p w:rsidR="0001765C" w:rsidRPr="00916AD6" w:rsidRDefault="0001765C" w:rsidP="00F949EA">
            <w:pPr>
              <w:jc w:val="left"/>
            </w:pPr>
            <w:r w:rsidRPr="00916AD6">
              <w:rPr>
                <w:b/>
              </w:rPr>
              <w:t>vv.</w:t>
            </w:r>
            <w:r>
              <w:rPr>
                <w:b/>
              </w:rPr>
              <w:t xml:space="preserve"> </w:t>
            </w:r>
            <w:r w:rsidRPr="00916AD6">
              <w:rPr>
                <w:b/>
              </w:rPr>
              <w:t>20b-21</w:t>
            </w:r>
            <w:r w:rsidR="00F949EA">
              <w:rPr>
                <w:b/>
              </w:rPr>
              <w:t xml:space="preserve"> </w:t>
            </w:r>
            <w:r w:rsidRPr="00916AD6">
              <w:t>...in the heavenly places</w:t>
            </w:r>
            <w:r w:rsidRPr="00916AD6">
              <w:rPr>
                <w:lang w:val="en-AU"/>
              </w:rPr>
              <w:t xml:space="preserve"> far above all principality and power and might and dominion,</w:t>
            </w:r>
          </w:p>
        </w:tc>
        <w:tc>
          <w:tcPr>
            <w:tcW w:w="2316" w:type="dxa"/>
          </w:tcPr>
          <w:p w:rsidR="0001765C" w:rsidRPr="00916AD6" w:rsidRDefault="0001765C" w:rsidP="0001765C">
            <w:pPr>
              <w:jc w:val="left"/>
            </w:pPr>
          </w:p>
        </w:tc>
      </w:tr>
      <w:tr w:rsidR="0001765C" w:rsidRPr="00916AD6" w:rsidTr="0001765C">
        <w:tc>
          <w:tcPr>
            <w:tcW w:w="2315" w:type="dxa"/>
          </w:tcPr>
          <w:p w:rsidR="0001765C" w:rsidRPr="00916AD6" w:rsidRDefault="0001765C" w:rsidP="0001765C">
            <w:pPr>
              <w:jc w:val="left"/>
            </w:pPr>
            <w:r w:rsidRPr="00916AD6">
              <w:rPr>
                <w:b/>
                <w:lang w:val="en-AU"/>
              </w:rPr>
              <w:t>v.</w:t>
            </w:r>
            <w:r>
              <w:rPr>
                <w:b/>
                <w:lang w:val="en-AU"/>
              </w:rPr>
              <w:t xml:space="preserve"> </w:t>
            </w:r>
            <w:r w:rsidRPr="00916AD6">
              <w:rPr>
                <w:b/>
                <w:lang w:val="en-AU"/>
              </w:rPr>
              <w:t>9</w:t>
            </w:r>
            <w:r w:rsidRPr="00916AD6">
              <w:rPr>
                <w:lang w:val="en-AU"/>
              </w:rPr>
              <w:t xml:space="preserve"> How excellent </w:t>
            </w:r>
            <w:r w:rsidRPr="00916AD6">
              <w:rPr>
                <w:i/>
                <w:iCs/>
                <w:lang w:val="en-AU"/>
              </w:rPr>
              <w:t xml:space="preserve">is </w:t>
            </w:r>
            <w:r w:rsidRPr="00916AD6">
              <w:rPr>
                <w:lang w:val="en-AU"/>
              </w:rPr>
              <w:t>Your name in all the earth</w:t>
            </w:r>
          </w:p>
        </w:tc>
        <w:tc>
          <w:tcPr>
            <w:tcW w:w="2315" w:type="dxa"/>
          </w:tcPr>
          <w:p w:rsidR="0001765C" w:rsidRPr="00916AD6" w:rsidRDefault="0001765C" w:rsidP="00F949EA">
            <w:pPr>
              <w:jc w:val="left"/>
            </w:pPr>
            <w:r w:rsidRPr="00916AD6">
              <w:rPr>
                <w:b/>
              </w:rPr>
              <w:t>v.</w:t>
            </w:r>
            <w:r>
              <w:rPr>
                <w:b/>
              </w:rPr>
              <w:t xml:space="preserve"> </w:t>
            </w:r>
            <w:r w:rsidRPr="00916AD6">
              <w:rPr>
                <w:b/>
              </w:rPr>
              <w:t>23</w:t>
            </w:r>
            <w:r w:rsidR="00F949EA">
              <w:t xml:space="preserve"> </w:t>
            </w:r>
            <w:r w:rsidRPr="00916AD6">
              <w:t>...</w:t>
            </w:r>
            <w:r w:rsidRPr="00916AD6">
              <w:rPr>
                <w:lang w:val="en-AU"/>
              </w:rPr>
              <w:t>the fullness of Him who fills all in all.</w:t>
            </w:r>
          </w:p>
        </w:tc>
        <w:tc>
          <w:tcPr>
            <w:tcW w:w="2316" w:type="dxa"/>
          </w:tcPr>
          <w:p w:rsidR="0001765C" w:rsidRPr="00916AD6" w:rsidRDefault="0001765C" w:rsidP="0001765C">
            <w:pPr>
              <w:jc w:val="left"/>
            </w:pPr>
          </w:p>
        </w:tc>
      </w:tr>
    </w:tbl>
    <w:p w:rsidR="0001765C" w:rsidRPr="00916AD6" w:rsidRDefault="0001765C" w:rsidP="0001765C"/>
    <w:p w:rsidR="0001765C" w:rsidRDefault="0001765C" w:rsidP="001530B1">
      <w:pPr>
        <w:rPr>
          <w:lang w:val="en-AU"/>
        </w:rPr>
      </w:pPr>
      <w:r w:rsidRPr="00916AD6">
        <w:rPr>
          <w:lang w:val="en-AU"/>
        </w:rPr>
        <w:lastRenderedPageBreak/>
        <w:t>The author of Hebrews (ca.</w:t>
      </w:r>
      <w:r w:rsidR="00A12D12">
        <w:rPr>
          <w:lang w:val="en-AU"/>
        </w:rPr>
        <w:t xml:space="preserve"> </w:t>
      </w:r>
      <w:r w:rsidRPr="00916AD6">
        <w:rPr>
          <w:lang w:val="en-AU"/>
        </w:rPr>
        <w:t>67) was aware of the Pauline epistle to the Ephesians (ca.</w:t>
      </w:r>
      <w:r w:rsidR="00E47CC8">
        <w:rPr>
          <w:lang w:val="en-AU"/>
        </w:rPr>
        <w:t xml:space="preserve"> 5</w:t>
      </w:r>
      <w:r w:rsidRPr="00916AD6">
        <w:rPr>
          <w:lang w:val="en-AU"/>
        </w:rPr>
        <w:t xml:space="preserve">8) and therefore employed similar phraseology and allusions. It is suggested that the reference to </w:t>
      </w:r>
      <w:r w:rsidRPr="00916AD6">
        <w:rPr>
          <w:u w:val="single"/>
          <w:lang w:val="en-AU"/>
        </w:rPr>
        <w:t>blood and flesh</w:t>
      </w:r>
      <w:r w:rsidRPr="00916AD6">
        <w:rPr>
          <w:lang w:val="en-AU"/>
        </w:rPr>
        <w:t xml:space="preserve"> in Hebrews and Ephesians serves a dual function in denoting humanit</w:t>
      </w:r>
      <w:r w:rsidR="00F949EA">
        <w:rPr>
          <w:lang w:val="en-AU"/>
        </w:rPr>
        <w:t xml:space="preserve">y, </w:t>
      </w:r>
      <w:r w:rsidRPr="00916AD6">
        <w:rPr>
          <w:lang w:val="en-AU"/>
        </w:rPr>
        <w:t xml:space="preserve">but that humanity is symbolised in the Passover blood (splashed on the lintel) and the flesh (that was eaten by the </w:t>
      </w:r>
      <w:r w:rsidR="000E2CE6">
        <w:rPr>
          <w:lang w:val="en-AU"/>
        </w:rPr>
        <w:t>“</w:t>
      </w:r>
      <w:r w:rsidRPr="00916AD6">
        <w:rPr>
          <w:lang w:val="en-AU"/>
        </w:rPr>
        <w:t>children</w:t>
      </w:r>
      <w:r w:rsidR="000E2CE6">
        <w:rPr>
          <w:lang w:val="en-AU"/>
        </w:rPr>
        <w:t>”</w:t>
      </w:r>
      <w:r w:rsidRPr="00916AD6">
        <w:rPr>
          <w:lang w:val="en-AU"/>
        </w:rPr>
        <w:t xml:space="preserve">). The Lord and his </w:t>
      </w:r>
      <w:r w:rsidR="000E2CE6">
        <w:rPr>
          <w:lang w:val="en-AU"/>
        </w:rPr>
        <w:t>“</w:t>
      </w:r>
      <w:r w:rsidRPr="00916AD6">
        <w:rPr>
          <w:lang w:val="en-AU"/>
        </w:rPr>
        <w:t>children</w:t>
      </w:r>
      <w:r w:rsidR="000E2CE6">
        <w:rPr>
          <w:lang w:val="en-AU"/>
        </w:rPr>
        <w:t>”</w:t>
      </w:r>
      <w:r w:rsidRPr="00916AD6">
        <w:rPr>
          <w:lang w:val="en-AU"/>
        </w:rPr>
        <w:t xml:space="preserve"> partake of the same </w:t>
      </w:r>
      <w:r w:rsidR="000E2CE6">
        <w:rPr>
          <w:lang w:val="en-AU"/>
        </w:rPr>
        <w:t>“</w:t>
      </w:r>
      <w:r w:rsidRPr="00916AD6">
        <w:rPr>
          <w:lang w:val="en-AU"/>
        </w:rPr>
        <w:t>blood and flesh</w:t>
      </w:r>
      <w:r w:rsidR="000E2CE6">
        <w:rPr>
          <w:lang w:val="en-AU"/>
        </w:rPr>
        <w:t>”</w:t>
      </w:r>
      <w:r w:rsidRPr="00916AD6">
        <w:rPr>
          <w:lang w:val="en-AU"/>
        </w:rPr>
        <w:t xml:space="preserve"> at the Passover meal, this signifies that the Lord is fully human, and like them shares in the same sacrifice.  However, like Adam (before his apostasy), Jesus</w:t>
      </w:r>
      <w:r w:rsidR="000E2CE6">
        <w:rPr>
          <w:lang w:val="en-AU"/>
        </w:rPr>
        <w:t>’</w:t>
      </w:r>
      <w:r w:rsidRPr="00916AD6">
        <w:rPr>
          <w:lang w:val="en-AU"/>
        </w:rPr>
        <w:t xml:space="preserve"> humanity was only marginally lower than the angels</w:t>
      </w:r>
      <w:r w:rsidR="00F949EA">
        <w:rPr>
          <w:lang w:val="en-AU"/>
        </w:rPr>
        <w:t xml:space="preserve">, </w:t>
      </w:r>
      <w:r w:rsidRPr="00916AD6">
        <w:rPr>
          <w:lang w:val="en-AU"/>
        </w:rPr>
        <w:t xml:space="preserve">but now, after his suffering, Christ sits in </w:t>
      </w:r>
      <w:r w:rsidR="000E2CE6">
        <w:rPr>
          <w:lang w:val="en-AU"/>
        </w:rPr>
        <w:t>“</w:t>
      </w:r>
      <w:r w:rsidRPr="00916AD6">
        <w:rPr>
          <w:lang w:val="en-AU"/>
        </w:rPr>
        <w:t>heavenly places</w:t>
      </w:r>
      <w:r w:rsidR="000E2CE6">
        <w:rPr>
          <w:lang w:val="en-AU"/>
        </w:rPr>
        <w:t>”</w:t>
      </w:r>
      <w:r w:rsidRPr="00916AD6">
        <w:rPr>
          <w:lang w:val="en-AU"/>
        </w:rPr>
        <w:t xml:space="preserve"> with a more excellent name than the angels thus fulfilling the destiny originally intended for Adam. Jesus achieved this by destroying </w:t>
      </w:r>
      <w:r w:rsidR="000E2CE6">
        <w:rPr>
          <w:lang w:val="en-AU"/>
        </w:rPr>
        <w:t>“</w:t>
      </w:r>
      <w:r w:rsidRPr="00916AD6">
        <w:rPr>
          <w:lang w:val="en-AU"/>
        </w:rPr>
        <w:t>him who had the power of death, that is, the</w:t>
      </w:r>
      <w:r w:rsidR="00F949EA">
        <w:rPr>
          <w:lang w:val="en-AU"/>
        </w:rPr>
        <w:t xml:space="preserve"> devil</w:t>
      </w:r>
      <w:r w:rsidR="000E2CE6">
        <w:rPr>
          <w:lang w:val="en-AU"/>
        </w:rPr>
        <w:t>”</w:t>
      </w:r>
      <w:r w:rsidR="00F949EA">
        <w:rPr>
          <w:lang w:val="en-AU"/>
        </w:rPr>
        <w:t>.  Interestingly, Heb</w:t>
      </w:r>
      <w:r w:rsidRPr="00916AD6">
        <w:rPr>
          <w:lang w:val="en-AU"/>
        </w:rPr>
        <w:t xml:space="preserve"> 2:14-15</w:t>
      </w:r>
      <w:r w:rsidR="00E47CC8">
        <w:rPr>
          <w:lang w:val="en-AU"/>
        </w:rPr>
        <w:t xml:space="preserve"> ends with an allusion to Isa</w:t>
      </w:r>
      <w:r w:rsidRPr="00916AD6">
        <w:rPr>
          <w:lang w:val="en-AU"/>
        </w:rPr>
        <w:t xml:space="preserve"> 14:3 </w:t>
      </w:r>
      <w:r w:rsidR="000E2CE6">
        <w:rPr>
          <w:lang w:val="en-AU"/>
        </w:rPr>
        <w:t>“</w:t>
      </w:r>
      <w:r w:rsidRPr="00916AD6">
        <w:rPr>
          <w:lang w:val="en-AU"/>
        </w:rPr>
        <w:t xml:space="preserve">and release those who through </w:t>
      </w:r>
      <w:r w:rsidRPr="00916AD6">
        <w:rPr>
          <w:u w:val="single"/>
          <w:lang w:val="en-AU"/>
        </w:rPr>
        <w:t>fear of death</w:t>
      </w:r>
      <w:r w:rsidRPr="00916AD6">
        <w:rPr>
          <w:lang w:val="en-AU"/>
        </w:rPr>
        <w:t xml:space="preserve"> were </w:t>
      </w:r>
      <w:proofErr w:type="gramStart"/>
      <w:r w:rsidRPr="00916AD6">
        <w:rPr>
          <w:lang w:val="en-AU"/>
        </w:rPr>
        <w:t>all their</w:t>
      </w:r>
      <w:proofErr w:type="gramEnd"/>
      <w:r w:rsidRPr="00916AD6">
        <w:rPr>
          <w:lang w:val="en-AU"/>
        </w:rPr>
        <w:t xml:space="preserve"> lifetime subject to </w:t>
      </w:r>
      <w:r w:rsidRPr="00916AD6">
        <w:rPr>
          <w:u w:val="single"/>
          <w:lang w:val="en-AU"/>
        </w:rPr>
        <w:t>bondage</w:t>
      </w:r>
      <w:r w:rsidR="000E2CE6">
        <w:rPr>
          <w:lang w:val="en-AU"/>
        </w:rPr>
        <w:t>”</w:t>
      </w:r>
      <w:r w:rsidR="00F949EA">
        <w:rPr>
          <w:lang w:val="en-AU"/>
        </w:rPr>
        <w:t>,</w:t>
      </w:r>
    </w:p>
    <w:p w:rsidR="001530B1" w:rsidRPr="00916AD6" w:rsidRDefault="001530B1" w:rsidP="001530B1">
      <w:pPr>
        <w:rPr>
          <w:lang w:val="en-AU"/>
        </w:rPr>
      </w:pPr>
    </w:p>
    <w:p w:rsidR="0001765C" w:rsidRPr="00F949EA" w:rsidRDefault="0001765C" w:rsidP="00F949EA">
      <w:pPr>
        <w:pStyle w:val="Quote"/>
      </w:pPr>
      <w:r w:rsidRPr="00916AD6">
        <w:t>It shall come to pass in the day the L</w:t>
      </w:r>
      <w:r w:rsidR="00F949EA">
        <w:t>ord</w:t>
      </w:r>
      <w:r w:rsidRPr="00916AD6">
        <w:t xml:space="preserve"> gives you rest from your sorrow, and from your </w:t>
      </w:r>
      <w:r w:rsidRPr="00916AD6">
        <w:rPr>
          <w:u w:val="single"/>
        </w:rPr>
        <w:t>fear</w:t>
      </w:r>
      <w:r w:rsidRPr="00916AD6">
        <w:t xml:space="preserve"> and the hard </w:t>
      </w:r>
      <w:r w:rsidRPr="00916AD6">
        <w:rPr>
          <w:u w:val="single"/>
        </w:rPr>
        <w:t>bondage</w:t>
      </w:r>
      <w:r w:rsidRPr="00916AD6">
        <w:t xml:space="preserve"> </w:t>
      </w:r>
      <w:r w:rsidR="00F949EA">
        <w:t>in which you were made to serve.</w:t>
      </w:r>
      <w:r w:rsidRPr="00916AD6">
        <w:t xml:space="preserve"> </w:t>
      </w:r>
      <w:r w:rsidR="00E47CC8" w:rsidRPr="00916AD6">
        <w:t>Isa</w:t>
      </w:r>
      <w:r w:rsidR="00E47CC8">
        <w:t xml:space="preserve"> </w:t>
      </w:r>
      <w:r w:rsidR="00E47CC8" w:rsidRPr="00916AD6">
        <w:t>14:3</w:t>
      </w:r>
      <w:r w:rsidR="00F949EA">
        <w:t xml:space="preserve"> (NKJV)</w:t>
      </w:r>
    </w:p>
    <w:p w:rsidR="0001765C" w:rsidRPr="00916AD6" w:rsidRDefault="0001765C" w:rsidP="0001765C"/>
    <w:p w:rsidR="0001765C" w:rsidRPr="00916AD6" w:rsidRDefault="0001765C" w:rsidP="0001765C">
      <w:pPr>
        <w:rPr>
          <w:rFonts w:eastAsia="SimSun"/>
        </w:rPr>
      </w:pPr>
      <w:r w:rsidRPr="00916AD6">
        <w:t>Hard bondage is a reference to slavery in Egypt (Ex</w:t>
      </w:r>
      <w:r w:rsidR="00F949EA">
        <w:t xml:space="preserve">od </w:t>
      </w:r>
      <w:r w:rsidRPr="00916AD6">
        <w:t>20:2)</w:t>
      </w:r>
      <w:r w:rsidR="00F949EA">
        <w:t>,</w:t>
      </w:r>
      <w:r w:rsidRPr="00916AD6">
        <w:rPr>
          <w:rStyle w:val="FootnoteReference"/>
        </w:rPr>
        <w:footnoteReference w:id="40"/>
      </w:r>
      <w:r w:rsidRPr="00916AD6">
        <w:t xml:space="preserve"> but in Isaiah it is employed as a metaphor for the Assyrian yoke. The nation was delivered from the Assyrian yoke by the angel of death on the Passover night</w:t>
      </w:r>
      <w:r w:rsidRPr="00916AD6">
        <w:rPr>
          <w:rStyle w:val="FootnoteReference"/>
        </w:rPr>
        <w:footnoteReference w:id="41"/>
      </w:r>
      <w:r w:rsidRPr="00916AD6">
        <w:t xml:space="preserve"> </w:t>
      </w:r>
      <w:r w:rsidRPr="00916AD6">
        <w:rPr>
          <w:rFonts w:eastAsia="SimSun"/>
        </w:rPr>
        <w:t>(Isa</w:t>
      </w:r>
      <w:r w:rsidR="007F77F1">
        <w:rPr>
          <w:rFonts w:eastAsia="SimSun"/>
        </w:rPr>
        <w:t xml:space="preserve"> </w:t>
      </w:r>
      <w:r w:rsidRPr="00916AD6">
        <w:rPr>
          <w:rFonts w:eastAsia="SimSun"/>
        </w:rPr>
        <w:t>37:36), the same angel that had delivered Israel some centuri</w:t>
      </w:r>
      <w:r w:rsidR="00121029">
        <w:rPr>
          <w:rFonts w:eastAsia="SimSun"/>
        </w:rPr>
        <w:t>es before from Egyptian bondage.</w:t>
      </w:r>
    </w:p>
    <w:p w:rsidR="0001765C" w:rsidRPr="00916AD6" w:rsidRDefault="0001765C" w:rsidP="0001765C">
      <w:pPr>
        <w:rPr>
          <w:rFonts w:eastAsia="SimSun"/>
        </w:rPr>
      </w:pPr>
    </w:p>
    <w:p w:rsidR="0001765C" w:rsidRPr="007F77F1" w:rsidRDefault="0001765C" w:rsidP="007F77F1">
      <w:pPr>
        <w:pStyle w:val="Quote"/>
        <w:rPr>
          <w:i/>
          <w:iCs/>
        </w:rPr>
      </w:pPr>
      <w:r w:rsidRPr="00916AD6">
        <w:t>For the L</w:t>
      </w:r>
      <w:r w:rsidR="007F77F1">
        <w:t>ord</w:t>
      </w:r>
      <w:r w:rsidRPr="00916AD6">
        <w:t xml:space="preserve"> will pass through to strike the Egyptians; and when He sees the blood on the lintel and on the two doorposts, the L</w:t>
      </w:r>
      <w:r w:rsidR="007F77F1">
        <w:t>ord</w:t>
      </w:r>
      <w:r w:rsidRPr="00916AD6">
        <w:t xml:space="preserve"> will pass over the door and not allow the destroyer to come into your houses to strike </w:t>
      </w:r>
      <w:r w:rsidRPr="00916AD6">
        <w:rPr>
          <w:i/>
          <w:iCs/>
        </w:rPr>
        <w:t>you.</w:t>
      </w:r>
      <w:r w:rsidR="007F77F1">
        <w:rPr>
          <w:i/>
          <w:iCs/>
        </w:rPr>
        <w:t xml:space="preserve"> </w:t>
      </w:r>
      <w:r w:rsidRPr="00916AD6">
        <w:rPr>
          <w:iCs/>
        </w:rPr>
        <w:t>Ex</w:t>
      </w:r>
      <w:r w:rsidR="007F77F1">
        <w:rPr>
          <w:iCs/>
        </w:rPr>
        <w:t>od</w:t>
      </w:r>
      <w:r w:rsidRPr="00916AD6">
        <w:rPr>
          <w:iCs/>
        </w:rPr>
        <w:t xml:space="preserve"> 12:23</w:t>
      </w:r>
      <w:r w:rsidR="007F77F1">
        <w:rPr>
          <w:iCs/>
        </w:rPr>
        <w:t xml:space="preserve"> (NKJV)</w:t>
      </w:r>
    </w:p>
    <w:p w:rsidR="0001765C" w:rsidRPr="00916AD6" w:rsidRDefault="0001765C" w:rsidP="0001765C"/>
    <w:p w:rsidR="0001765C" w:rsidRPr="00916AD6" w:rsidRDefault="0001765C" w:rsidP="0001765C">
      <w:pPr>
        <w:rPr>
          <w:rFonts w:eastAsia="SimSun"/>
        </w:rPr>
      </w:pPr>
      <w:r w:rsidRPr="00916AD6">
        <w:rPr>
          <w:rFonts w:eastAsia="SimSun"/>
        </w:rPr>
        <w:lastRenderedPageBreak/>
        <w:t>Just as the Egyptians had become dead men, so now also the Assyrians</w:t>
      </w:r>
      <w:r w:rsidR="00121029">
        <w:rPr>
          <w:rFonts w:eastAsia="SimSun"/>
        </w:rPr>
        <w:t>—</w:t>
      </w:r>
      <w:r w:rsidR="00121029" w:rsidRPr="00916AD6">
        <w:rPr>
          <w:rFonts w:eastAsia="SimSun"/>
        </w:rPr>
        <w:t>messengers</w:t>
      </w:r>
      <w:r w:rsidRPr="00916AD6">
        <w:rPr>
          <w:rFonts w:eastAsia="SimSun"/>
        </w:rPr>
        <w:t xml:space="preserve"> arrived post-haste to </w:t>
      </w:r>
      <w:proofErr w:type="gramStart"/>
      <w:r w:rsidRPr="00916AD6">
        <w:rPr>
          <w:rFonts w:eastAsia="SimSun"/>
        </w:rPr>
        <w:t>inform</w:t>
      </w:r>
      <w:proofErr w:type="gramEnd"/>
      <w:r w:rsidRPr="00916AD6">
        <w:rPr>
          <w:rFonts w:eastAsia="SimSun"/>
        </w:rPr>
        <w:t xml:space="preserve"> He</w:t>
      </w:r>
      <w:r w:rsidR="00121029">
        <w:rPr>
          <w:rFonts w:eastAsia="SimSun"/>
        </w:rPr>
        <w:t xml:space="preserve">zekiah of the </w:t>
      </w:r>
      <w:r w:rsidR="000E2CE6">
        <w:rPr>
          <w:rFonts w:eastAsia="SimSun"/>
        </w:rPr>
        <w:t>“</w:t>
      </w:r>
      <w:r w:rsidR="00121029">
        <w:rPr>
          <w:rFonts w:eastAsia="SimSun"/>
        </w:rPr>
        <w:t>good news</w:t>
      </w:r>
      <w:r w:rsidR="000E2CE6">
        <w:rPr>
          <w:rFonts w:eastAsia="SimSun"/>
        </w:rPr>
        <w:t>”</w:t>
      </w:r>
      <w:r w:rsidR="00121029">
        <w:rPr>
          <w:rFonts w:eastAsia="SimSun"/>
        </w:rPr>
        <w:t>—the crisis was over—</w:t>
      </w:r>
      <w:r w:rsidRPr="00916AD6">
        <w:rPr>
          <w:rFonts w:eastAsia="SimSun"/>
        </w:rPr>
        <w:t>the enemy was dead</w:t>
      </w:r>
      <w:r w:rsidR="00121029">
        <w:rPr>
          <w:rFonts w:eastAsia="SimSun"/>
        </w:rPr>
        <w:t>.</w:t>
      </w:r>
    </w:p>
    <w:p w:rsidR="0001765C" w:rsidRPr="00916AD6" w:rsidRDefault="0001765C" w:rsidP="0001765C">
      <w:pPr>
        <w:rPr>
          <w:rFonts w:eastAsia="SimSun"/>
        </w:rPr>
      </w:pPr>
    </w:p>
    <w:p w:rsidR="0001765C" w:rsidRPr="00916AD6" w:rsidRDefault="0001765C" w:rsidP="007F77F1">
      <w:pPr>
        <w:pStyle w:val="Quote"/>
      </w:pPr>
      <w:r w:rsidRPr="00916AD6">
        <w:t xml:space="preserve">How beautiful upon the mountains </w:t>
      </w:r>
      <w:proofErr w:type="gramStart"/>
      <w:r w:rsidRPr="00916AD6">
        <w:t>Are</w:t>
      </w:r>
      <w:proofErr w:type="gramEnd"/>
      <w:r w:rsidRPr="00916AD6">
        <w:t xml:space="preserve"> </w:t>
      </w:r>
      <w:r w:rsidRPr="00916AD6">
        <w:rPr>
          <w:u w:val="single"/>
        </w:rPr>
        <w:t>the feet of him</w:t>
      </w:r>
      <w:r w:rsidRPr="00916AD6">
        <w:t xml:space="preserve"> who brings good news, Who </w:t>
      </w:r>
      <w:r w:rsidRPr="00916AD6">
        <w:rPr>
          <w:u w:val="single"/>
        </w:rPr>
        <w:t>proclaims peace</w:t>
      </w:r>
      <w:r w:rsidRPr="00916AD6">
        <w:t xml:space="preserve">, Who brings glad tidings of good </w:t>
      </w:r>
      <w:r w:rsidRPr="00916AD6">
        <w:rPr>
          <w:i/>
          <w:iCs/>
        </w:rPr>
        <w:t xml:space="preserve">things, </w:t>
      </w:r>
      <w:r w:rsidRPr="00916AD6">
        <w:t xml:space="preserve">Who proclaims salvation, Who says to Zion, </w:t>
      </w:r>
      <w:r w:rsidR="000E2CE6">
        <w:t>“</w:t>
      </w:r>
      <w:r w:rsidRPr="00916AD6">
        <w:t>Your God reigns!</w:t>
      </w:r>
      <w:r w:rsidR="000E2CE6">
        <w:t>”</w:t>
      </w:r>
      <w:r w:rsidR="00E47CC8">
        <w:t xml:space="preserve"> </w:t>
      </w:r>
      <w:r w:rsidRPr="00916AD6">
        <w:t>Isa</w:t>
      </w:r>
      <w:r w:rsidR="00E47CC8">
        <w:t xml:space="preserve"> </w:t>
      </w:r>
      <w:r w:rsidRPr="00916AD6">
        <w:t>52:7</w:t>
      </w:r>
      <w:r w:rsidR="00E47CC8">
        <w:t xml:space="preserve"> (NKJV</w:t>
      </w:r>
      <w:r w:rsidRPr="00916AD6">
        <w:t>)</w:t>
      </w:r>
    </w:p>
    <w:p w:rsidR="0001765C" w:rsidRPr="00916AD6" w:rsidRDefault="0001765C" w:rsidP="0001765C">
      <w:pPr>
        <w:autoSpaceDE w:val="0"/>
        <w:autoSpaceDN w:val="0"/>
        <w:adjustRightInd w:val="0"/>
        <w:rPr>
          <w:rFonts w:ascii="Arial" w:hAnsi="Arial"/>
          <w:lang w:val="en-AU"/>
        </w:rPr>
      </w:pPr>
    </w:p>
    <w:p w:rsidR="00121029" w:rsidRDefault="0001765C" w:rsidP="0001765C">
      <w:pPr>
        <w:autoSpaceDE w:val="0"/>
        <w:autoSpaceDN w:val="0"/>
        <w:adjustRightInd w:val="0"/>
        <w:rPr>
          <w:lang w:val="en-AU"/>
        </w:rPr>
      </w:pPr>
      <w:r w:rsidRPr="00916AD6">
        <w:rPr>
          <w:lang w:val="en-AU"/>
        </w:rPr>
        <w:t xml:space="preserve">The feet that bear the </w:t>
      </w:r>
      <w:r w:rsidR="000E2CE6">
        <w:rPr>
          <w:lang w:val="en-AU"/>
        </w:rPr>
        <w:t>“</w:t>
      </w:r>
      <w:r w:rsidRPr="00916AD6">
        <w:rPr>
          <w:lang w:val="en-AU"/>
        </w:rPr>
        <w:t>good news</w:t>
      </w:r>
      <w:r w:rsidR="000E2CE6">
        <w:rPr>
          <w:lang w:val="en-AU"/>
        </w:rPr>
        <w:t>”</w:t>
      </w:r>
      <w:r w:rsidRPr="00916AD6">
        <w:rPr>
          <w:lang w:val="en-AU"/>
        </w:rPr>
        <w:t xml:space="preserve"> of the Passover triumph over the Assyrian enemy form part of the armoury of the Pauline soldier of Christ, </w:t>
      </w:r>
    </w:p>
    <w:p w:rsidR="00121029" w:rsidRDefault="00121029" w:rsidP="0001765C">
      <w:pPr>
        <w:autoSpaceDE w:val="0"/>
        <w:autoSpaceDN w:val="0"/>
        <w:adjustRightInd w:val="0"/>
        <w:rPr>
          <w:lang w:val="en-AU"/>
        </w:rPr>
      </w:pPr>
    </w:p>
    <w:p w:rsidR="0001765C" w:rsidRDefault="0001765C" w:rsidP="00121029">
      <w:pPr>
        <w:pStyle w:val="Quote"/>
      </w:pPr>
      <w:r w:rsidRPr="00916AD6">
        <w:t xml:space="preserve">...and having shod </w:t>
      </w:r>
      <w:r w:rsidRPr="00916AD6">
        <w:rPr>
          <w:u w:val="single"/>
        </w:rPr>
        <w:t>your feet</w:t>
      </w:r>
      <w:r w:rsidRPr="00916AD6">
        <w:t xml:space="preserve"> with the preparation of the </w:t>
      </w:r>
      <w:r w:rsidRPr="00916AD6">
        <w:rPr>
          <w:u w:val="single"/>
        </w:rPr>
        <w:t>gospel of peace</w:t>
      </w:r>
      <w:r w:rsidR="00121029" w:rsidRPr="00121029">
        <w:t>.</w:t>
      </w:r>
      <w:r w:rsidRPr="00916AD6">
        <w:t xml:space="preserve"> Eph</w:t>
      </w:r>
      <w:r w:rsidR="00E47CC8">
        <w:t xml:space="preserve"> </w:t>
      </w:r>
      <w:r w:rsidRPr="00916AD6">
        <w:t>6:15</w:t>
      </w:r>
      <w:r w:rsidR="00121029">
        <w:t xml:space="preserve"> (NKJV)</w:t>
      </w:r>
    </w:p>
    <w:p w:rsidR="0001765C" w:rsidRPr="00916AD6" w:rsidRDefault="0001765C" w:rsidP="0001765C">
      <w:pPr>
        <w:autoSpaceDE w:val="0"/>
        <w:autoSpaceDN w:val="0"/>
        <w:adjustRightInd w:val="0"/>
        <w:rPr>
          <w:lang w:val="en-AU"/>
        </w:rPr>
      </w:pPr>
    </w:p>
    <w:p w:rsidR="0001765C" w:rsidRPr="00121029" w:rsidRDefault="0001765C" w:rsidP="0001765C">
      <w:pPr>
        <w:rPr>
          <w:rFonts w:ascii="Bradley Hand ITC" w:eastAsia="SimSun" w:hAnsi="Bradley Hand ITC"/>
          <w:b/>
          <w:sz w:val="28"/>
        </w:rPr>
      </w:pPr>
      <w:r w:rsidRPr="00121029">
        <w:rPr>
          <w:rFonts w:ascii="Bradley Hand ITC" w:eastAsia="SimSun" w:hAnsi="Bradley Hand ITC"/>
          <w:b/>
          <w:sz w:val="28"/>
        </w:rPr>
        <w:t>Angels of Evil</w:t>
      </w:r>
    </w:p>
    <w:p w:rsidR="0001765C" w:rsidRPr="00916AD6" w:rsidRDefault="0001765C" w:rsidP="0001765C">
      <w:r w:rsidRPr="00916AD6">
        <w:t xml:space="preserve">Describing the plagues of Egypt the Psalmist says; </w:t>
      </w:r>
    </w:p>
    <w:p w:rsidR="0001765C" w:rsidRPr="00916AD6" w:rsidRDefault="0001765C" w:rsidP="0001765C"/>
    <w:p w:rsidR="0001765C" w:rsidRPr="00916AD6" w:rsidRDefault="0001765C" w:rsidP="00121029">
      <w:pPr>
        <w:pStyle w:val="Quote"/>
        <w:rPr>
          <w:iCs/>
        </w:rPr>
      </w:pPr>
      <w:r w:rsidRPr="00916AD6">
        <w:t xml:space="preserve">He cast on them the fierceness of </w:t>
      </w:r>
      <w:r w:rsidR="00121029">
        <w:t>h</w:t>
      </w:r>
      <w:r w:rsidRPr="00916AD6">
        <w:t xml:space="preserve">is anger, </w:t>
      </w:r>
      <w:r w:rsidR="00121029">
        <w:t>w</w:t>
      </w:r>
      <w:r w:rsidRPr="00916AD6">
        <w:t xml:space="preserve">rath, indignation, and trouble, by sending </w:t>
      </w:r>
      <w:r w:rsidRPr="00916AD6">
        <w:rPr>
          <w:u w:val="single"/>
        </w:rPr>
        <w:t>angels of destruction</w:t>
      </w:r>
      <w:r w:rsidRPr="00916AD6">
        <w:t xml:space="preserve"> </w:t>
      </w:r>
      <w:r w:rsidRPr="00916AD6">
        <w:rPr>
          <w:i/>
          <w:iCs/>
        </w:rPr>
        <w:t xml:space="preserve">among them. </w:t>
      </w:r>
      <w:r w:rsidRPr="00916AD6">
        <w:rPr>
          <w:iCs/>
        </w:rPr>
        <w:t>Ps</w:t>
      </w:r>
      <w:r w:rsidR="00E47CC8">
        <w:rPr>
          <w:iCs/>
        </w:rPr>
        <w:t xml:space="preserve"> </w:t>
      </w:r>
      <w:r w:rsidRPr="00916AD6">
        <w:rPr>
          <w:iCs/>
        </w:rPr>
        <w:t>78:49</w:t>
      </w:r>
      <w:r w:rsidR="00121029">
        <w:rPr>
          <w:iCs/>
        </w:rPr>
        <w:t xml:space="preserve"> (NKJV)</w:t>
      </w:r>
    </w:p>
    <w:p w:rsidR="0001765C" w:rsidRPr="00916AD6" w:rsidRDefault="0001765C" w:rsidP="0001765C">
      <w:pPr>
        <w:autoSpaceDE w:val="0"/>
        <w:autoSpaceDN w:val="0"/>
        <w:adjustRightInd w:val="0"/>
        <w:ind w:left="1134" w:right="1134"/>
        <w:rPr>
          <w:iCs/>
          <w:lang w:val="en-AU"/>
        </w:rPr>
      </w:pPr>
    </w:p>
    <w:p w:rsidR="00121029" w:rsidRDefault="0001765C" w:rsidP="0001765C">
      <w:r w:rsidRPr="00916AD6">
        <w:rPr>
          <w:iCs/>
          <w:lang w:val="en-AU"/>
        </w:rPr>
        <w:t xml:space="preserve">This band of </w:t>
      </w:r>
      <w:r w:rsidR="000E2CE6">
        <w:rPr>
          <w:iCs/>
          <w:lang w:val="en-AU"/>
        </w:rPr>
        <w:t>“</w:t>
      </w:r>
      <w:r w:rsidRPr="00916AD6">
        <w:rPr>
          <w:iCs/>
          <w:lang w:val="en-AU"/>
        </w:rPr>
        <w:t>evil angels</w:t>
      </w:r>
      <w:r w:rsidR="000E2CE6">
        <w:rPr>
          <w:iCs/>
          <w:lang w:val="en-AU"/>
        </w:rPr>
        <w:t>”</w:t>
      </w:r>
      <w:r w:rsidRPr="00916AD6">
        <w:rPr>
          <w:iCs/>
          <w:lang w:val="en-AU"/>
        </w:rPr>
        <w:t xml:space="preserve"> is not of </w:t>
      </w:r>
      <w:r w:rsidR="00121029">
        <w:rPr>
          <w:iCs/>
          <w:lang w:val="en-AU"/>
        </w:rPr>
        <w:t>itself</w:t>
      </w:r>
      <w:r w:rsidRPr="00916AD6">
        <w:rPr>
          <w:iCs/>
          <w:lang w:val="en-AU"/>
        </w:rPr>
        <w:t xml:space="preserve"> evil but they dispense evil (messengers o</w:t>
      </w:r>
      <w:r w:rsidR="00121029">
        <w:rPr>
          <w:iCs/>
          <w:lang w:val="en-AU"/>
        </w:rPr>
        <w:t>f evil (YLT), evil angels (LXE), destroying angels (</w:t>
      </w:r>
      <w:r w:rsidRPr="00916AD6">
        <w:rPr>
          <w:iCs/>
          <w:lang w:val="en-AU"/>
        </w:rPr>
        <w:t>RSV, N</w:t>
      </w:r>
      <w:r w:rsidR="00121029">
        <w:rPr>
          <w:iCs/>
          <w:lang w:val="en-AU"/>
        </w:rPr>
        <w:t>RS, NLT, NIV, NIB</w:t>
      </w:r>
      <w:r w:rsidRPr="00916AD6">
        <w:rPr>
          <w:iCs/>
          <w:lang w:val="en-AU"/>
        </w:rPr>
        <w:t>)</w:t>
      </w:r>
      <w:r w:rsidR="00121029">
        <w:rPr>
          <w:iCs/>
          <w:lang w:val="en-AU"/>
        </w:rPr>
        <w:t>,</w:t>
      </w:r>
      <w:r w:rsidRPr="00916AD6">
        <w:rPr>
          <w:iCs/>
          <w:lang w:val="en-AU"/>
        </w:rPr>
        <w:t xml:space="preserve"> and are the equivalent to the </w:t>
      </w:r>
      <w:r w:rsidR="000E2CE6">
        <w:rPr>
          <w:iCs/>
          <w:lang w:val="en-AU"/>
        </w:rPr>
        <w:t>“</w:t>
      </w:r>
      <w:r w:rsidRPr="00916AD6">
        <w:rPr>
          <w:lang w:val="en-AU"/>
        </w:rPr>
        <w:t xml:space="preserve">spiritual </w:t>
      </w:r>
      <w:r w:rsidRPr="00916AD6">
        <w:rPr>
          <w:i/>
          <w:iCs/>
          <w:lang w:val="en-AU"/>
        </w:rPr>
        <w:t xml:space="preserve">hosts </w:t>
      </w:r>
      <w:r w:rsidRPr="00916AD6">
        <w:rPr>
          <w:lang w:val="en-AU"/>
        </w:rPr>
        <w:t xml:space="preserve">of wickedness in the heavenly </w:t>
      </w:r>
      <w:r w:rsidRPr="00916AD6">
        <w:rPr>
          <w:i/>
          <w:iCs/>
          <w:lang w:val="en-AU"/>
        </w:rPr>
        <w:t>places</w:t>
      </w:r>
      <w:r w:rsidR="000E2CE6">
        <w:rPr>
          <w:i/>
          <w:iCs/>
          <w:lang w:val="en-AU"/>
        </w:rPr>
        <w:t>”</w:t>
      </w:r>
      <w:r w:rsidRPr="00916AD6">
        <w:rPr>
          <w:i/>
          <w:iCs/>
          <w:lang w:val="en-AU"/>
        </w:rPr>
        <w:t xml:space="preserve"> </w:t>
      </w:r>
      <w:r w:rsidRPr="00916AD6">
        <w:rPr>
          <w:iCs/>
          <w:lang w:val="en-AU"/>
        </w:rPr>
        <w:t>(Eph</w:t>
      </w:r>
      <w:r w:rsidR="00E47CC8">
        <w:rPr>
          <w:iCs/>
          <w:lang w:val="en-AU"/>
        </w:rPr>
        <w:t xml:space="preserve"> </w:t>
      </w:r>
      <w:r w:rsidRPr="00916AD6">
        <w:rPr>
          <w:iCs/>
          <w:lang w:val="en-AU"/>
        </w:rPr>
        <w:t>6:12)</w:t>
      </w:r>
      <w:r w:rsidRPr="00916AD6">
        <w:rPr>
          <w:rStyle w:val="FootnoteReference"/>
          <w:iCs/>
          <w:lang w:val="en-AU"/>
        </w:rPr>
        <w:footnoteReference w:id="42"/>
      </w:r>
      <w:r w:rsidRPr="00916AD6">
        <w:rPr>
          <w:iCs/>
          <w:lang w:val="en-AU"/>
        </w:rPr>
        <w:t xml:space="preserve"> with the destroyer (angel of death) </w:t>
      </w:r>
      <w:r w:rsidR="00121029">
        <w:rPr>
          <w:i/>
          <w:iCs/>
          <w:lang w:val="en-AU"/>
        </w:rPr>
        <w:t>k</w:t>
      </w:r>
      <w:r w:rsidRPr="00916AD6">
        <w:rPr>
          <w:i/>
          <w:iCs/>
          <w:lang w:val="en-AU"/>
        </w:rPr>
        <w:t>osmokrator</w:t>
      </w:r>
      <w:r w:rsidRPr="00916AD6">
        <w:rPr>
          <w:iCs/>
          <w:lang w:val="en-AU"/>
        </w:rPr>
        <w:t xml:space="preserve"> as their leader.</w:t>
      </w:r>
      <w:r w:rsidRPr="00916AD6">
        <w:t xml:space="preserve"> </w:t>
      </w:r>
    </w:p>
    <w:p w:rsidR="00121029" w:rsidRDefault="00121029" w:rsidP="0001765C"/>
    <w:p w:rsidR="0001765C" w:rsidRPr="00916AD6" w:rsidRDefault="0001765C" w:rsidP="0001765C">
      <w:pPr>
        <w:rPr>
          <w:iCs/>
          <w:lang w:val="en-AU"/>
        </w:rPr>
      </w:pPr>
      <w:r w:rsidRPr="00916AD6">
        <w:rPr>
          <w:iCs/>
          <w:lang w:val="en-AU"/>
        </w:rPr>
        <w:t xml:space="preserve">The word </w:t>
      </w:r>
      <w:r w:rsidR="00121029">
        <w:rPr>
          <w:i/>
          <w:iCs/>
          <w:lang w:val="en-AU"/>
        </w:rPr>
        <w:t>k</w:t>
      </w:r>
      <w:r w:rsidRPr="00916AD6">
        <w:rPr>
          <w:i/>
          <w:iCs/>
          <w:lang w:val="en-AU"/>
        </w:rPr>
        <w:t>osmokrator</w:t>
      </w:r>
      <w:r w:rsidRPr="00916AD6">
        <w:rPr>
          <w:iCs/>
          <w:lang w:val="en-AU"/>
        </w:rPr>
        <w:t xml:space="preserve"> hardly occurs in early Judaism and is not found in the LXX, nor in Philo, Josephus, or in early pseudepigraph</w:t>
      </w:r>
      <w:r w:rsidR="00121029">
        <w:rPr>
          <w:iCs/>
          <w:lang w:val="en-AU"/>
        </w:rPr>
        <w:t>a</w:t>
      </w:r>
      <w:r w:rsidRPr="00916AD6">
        <w:rPr>
          <w:iCs/>
          <w:lang w:val="en-AU"/>
        </w:rPr>
        <w:t>. R</w:t>
      </w:r>
      <w:r w:rsidR="00121029">
        <w:rPr>
          <w:iCs/>
          <w:lang w:val="en-AU"/>
        </w:rPr>
        <w:t>.</w:t>
      </w:r>
      <w:r w:rsidRPr="00916AD6">
        <w:rPr>
          <w:iCs/>
          <w:lang w:val="en-AU"/>
        </w:rPr>
        <w:t xml:space="preserve"> Feldmeier note</w:t>
      </w:r>
      <w:r w:rsidR="008718D1">
        <w:rPr>
          <w:iCs/>
          <w:lang w:val="en-AU"/>
        </w:rPr>
        <w:t xml:space="preserve">s that, </w:t>
      </w:r>
      <w:r w:rsidR="000E2CE6">
        <w:rPr>
          <w:iCs/>
          <w:lang w:val="en-AU"/>
        </w:rPr>
        <w:t>“</w:t>
      </w:r>
      <w:r w:rsidR="008718D1">
        <w:rPr>
          <w:iCs/>
          <w:lang w:val="en-AU"/>
        </w:rPr>
        <w:t>In Rabbinic literature...</w:t>
      </w:r>
      <w:r w:rsidRPr="00916AD6">
        <w:rPr>
          <w:iCs/>
          <w:lang w:val="en-AU"/>
        </w:rPr>
        <w:t xml:space="preserve">the Greek term occurs as a foreign word for the </w:t>
      </w:r>
      <w:r w:rsidRPr="008718D1">
        <w:rPr>
          <w:iCs/>
          <w:lang w:val="en-AU"/>
        </w:rPr>
        <w:t>angel of death</w:t>
      </w:r>
      <w:r w:rsidRPr="00916AD6">
        <w:rPr>
          <w:iCs/>
          <w:lang w:val="en-AU"/>
        </w:rPr>
        <w:t>, who is identical to the Devil</w:t>
      </w:r>
      <w:r w:rsidR="000E2CE6">
        <w:rPr>
          <w:iCs/>
          <w:lang w:val="en-AU"/>
        </w:rPr>
        <w:t>”</w:t>
      </w:r>
      <w:r w:rsidRPr="00916AD6">
        <w:rPr>
          <w:iCs/>
          <w:lang w:val="en-AU"/>
        </w:rPr>
        <w:t>.</w:t>
      </w:r>
      <w:r w:rsidRPr="00916AD6">
        <w:rPr>
          <w:rStyle w:val="FootnoteReference"/>
          <w:iCs/>
          <w:lang w:val="en-AU"/>
        </w:rPr>
        <w:footnoteReference w:id="43"/>
      </w:r>
    </w:p>
    <w:p w:rsidR="0001765C" w:rsidRPr="00916AD6" w:rsidRDefault="0001765C" w:rsidP="0001765C">
      <w:pPr>
        <w:rPr>
          <w:lang w:val="en-AU"/>
        </w:rPr>
      </w:pPr>
      <w:r w:rsidRPr="00916AD6">
        <w:lastRenderedPageBreak/>
        <w:t xml:space="preserve">The angel of death holds universal sway in a world given over to sin and is literally </w:t>
      </w:r>
      <w:r w:rsidR="000E2CE6">
        <w:t>“</w:t>
      </w:r>
      <w:r w:rsidRPr="00916AD6">
        <w:t>the ruler (</w:t>
      </w:r>
      <w:r w:rsidRPr="00916AD6">
        <w:rPr>
          <w:i/>
        </w:rPr>
        <w:t>kosm</w:t>
      </w:r>
      <w:r w:rsidR="008718D1">
        <w:rPr>
          <w:i/>
        </w:rPr>
        <w:t>o</w:t>
      </w:r>
      <w:r w:rsidRPr="00916AD6">
        <w:rPr>
          <w:i/>
        </w:rPr>
        <w:t>krator</w:t>
      </w:r>
      <w:r w:rsidRPr="00916AD6">
        <w:t xml:space="preserve">) </w:t>
      </w:r>
      <w:r w:rsidRPr="00916AD6">
        <w:rPr>
          <w:lang w:val="en-AU"/>
        </w:rPr>
        <w:t>of the darkness of this age</w:t>
      </w:r>
      <w:r w:rsidR="000E2CE6">
        <w:rPr>
          <w:lang w:val="en-AU"/>
        </w:rPr>
        <w:t>”</w:t>
      </w:r>
      <w:r w:rsidR="008718D1">
        <w:rPr>
          <w:lang w:val="en-AU"/>
        </w:rPr>
        <w:t xml:space="preserve">; </w:t>
      </w:r>
      <w:r w:rsidRPr="00916AD6">
        <w:rPr>
          <w:lang w:val="en-AU"/>
        </w:rPr>
        <w:t xml:space="preserve">however, Jesus could say </w:t>
      </w:r>
      <w:r w:rsidR="000E2CE6">
        <w:rPr>
          <w:lang w:val="en-AU"/>
        </w:rPr>
        <w:t>“</w:t>
      </w:r>
      <w:r w:rsidRPr="00916AD6">
        <w:rPr>
          <w:lang w:val="en-AU"/>
        </w:rPr>
        <w:t xml:space="preserve">the ruler of this world is coming, and he has nothing in </w:t>
      </w:r>
      <w:r w:rsidR="008718D1">
        <w:rPr>
          <w:lang w:val="en-AU"/>
        </w:rPr>
        <w:t>m</w:t>
      </w:r>
      <w:r w:rsidRPr="00916AD6">
        <w:rPr>
          <w:lang w:val="en-AU"/>
        </w:rPr>
        <w:t>e</w:t>
      </w:r>
      <w:r w:rsidR="000E2CE6">
        <w:rPr>
          <w:lang w:val="en-AU"/>
        </w:rPr>
        <w:t>”</w:t>
      </w:r>
      <w:r w:rsidR="008718D1">
        <w:rPr>
          <w:lang w:val="en-AU"/>
        </w:rPr>
        <w:t xml:space="preserve"> </w:t>
      </w:r>
      <w:r w:rsidRPr="00916AD6">
        <w:rPr>
          <w:lang w:val="en-AU"/>
        </w:rPr>
        <w:t>(John 14:30). Jesus Christ was the only man over whom the angel of death had no hold because he was sinless.</w:t>
      </w:r>
    </w:p>
    <w:p w:rsidR="0001765C" w:rsidRPr="00916AD6" w:rsidRDefault="0001765C" w:rsidP="0001765C">
      <w:pPr>
        <w:rPr>
          <w:lang w:val="en-AU"/>
        </w:rPr>
      </w:pPr>
    </w:p>
    <w:p w:rsidR="0001765C" w:rsidRPr="008718D1" w:rsidRDefault="0001765C" w:rsidP="008718D1">
      <w:pPr>
        <w:pStyle w:val="Quote"/>
      </w:pPr>
      <w:r w:rsidRPr="00916AD6">
        <w:t xml:space="preserve">But we see Jesus, who was made a little lower than the angels, for the suffering of death crowned with glory and </w:t>
      </w:r>
      <w:r w:rsidR="008718D1" w:rsidRPr="00916AD6">
        <w:t>honour</w:t>
      </w:r>
      <w:r w:rsidR="008718D1">
        <w:t>, that h</w:t>
      </w:r>
      <w:r w:rsidRPr="00916AD6">
        <w:t>e, by the grace of God, might taste death for everyone.</w:t>
      </w:r>
      <w:r w:rsidR="008718D1">
        <w:t xml:space="preserve"> </w:t>
      </w:r>
      <w:r w:rsidRPr="00916AD6">
        <w:rPr>
          <w:lang w:val="en-AU"/>
        </w:rPr>
        <w:t>Heb 2:9</w:t>
      </w:r>
      <w:r w:rsidR="008718D1">
        <w:rPr>
          <w:lang w:val="en-AU"/>
        </w:rPr>
        <w:t xml:space="preserve"> (NKJV)</w:t>
      </w:r>
    </w:p>
    <w:p w:rsidR="0001765C" w:rsidRPr="00916AD6" w:rsidRDefault="0001765C" w:rsidP="0001765C">
      <w:pPr>
        <w:rPr>
          <w:lang w:val="en-AU"/>
        </w:rPr>
      </w:pPr>
    </w:p>
    <w:p w:rsidR="0001765C" w:rsidRPr="00916AD6" w:rsidRDefault="008718D1" w:rsidP="0001765C">
      <w:pPr>
        <w:autoSpaceDE w:val="0"/>
        <w:autoSpaceDN w:val="0"/>
        <w:adjustRightInd w:val="0"/>
        <w:rPr>
          <w:lang w:val="en-AU"/>
        </w:rPr>
      </w:pPr>
      <w:r>
        <w:rPr>
          <w:lang w:val="en-AU"/>
        </w:rPr>
        <w:t xml:space="preserve">Since, the </w:t>
      </w:r>
      <w:r w:rsidRPr="008718D1">
        <w:rPr>
          <w:i/>
          <w:lang w:val="en-AU"/>
        </w:rPr>
        <w:t>k</w:t>
      </w:r>
      <w:r w:rsidR="0001765C" w:rsidRPr="00916AD6">
        <w:rPr>
          <w:i/>
          <w:lang w:val="en-AU"/>
        </w:rPr>
        <w:t>osmokrator</w:t>
      </w:r>
      <w:r w:rsidR="0001765C" w:rsidRPr="00916AD6">
        <w:rPr>
          <w:lang w:val="en-AU"/>
        </w:rPr>
        <w:t xml:space="preserve"> holds sway over the dispensation of </w:t>
      </w:r>
      <w:r w:rsidR="000E2CE6">
        <w:rPr>
          <w:lang w:val="en-AU"/>
        </w:rPr>
        <w:t>“</w:t>
      </w:r>
      <w:r w:rsidR="0001765C" w:rsidRPr="00916AD6">
        <w:rPr>
          <w:lang w:val="en-AU"/>
        </w:rPr>
        <w:t>sin and death</w:t>
      </w:r>
      <w:r w:rsidR="000E2CE6">
        <w:rPr>
          <w:lang w:val="en-AU"/>
        </w:rPr>
        <w:t>”</w:t>
      </w:r>
      <w:r>
        <w:rPr>
          <w:lang w:val="en-AU"/>
        </w:rPr>
        <w:t>,</w:t>
      </w:r>
      <w:r w:rsidR="0001765C" w:rsidRPr="00916AD6">
        <w:rPr>
          <w:lang w:val="en-AU"/>
        </w:rPr>
        <w:t xml:space="preserve"> he is the </w:t>
      </w:r>
      <w:r w:rsidR="000E2CE6">
        <w:rPr>
          <w:lang w:val="en-AU"/>
        </w:rPr>
        <w:t>“</w:t>
      </w:r>
      <w:r w:rsidR="0001765C" w:rsidRPr="00916AD6">
        <w:rPr>
          <w:lang w:val="en-AU"/>
        </w:rPr>
        <w:t>prince of the power of the air</w:t>
      </w:r>
      <w:r w:rsidR="000E2CE6">
        <w:rPr>
          <w:lang w:val="en-AU"/>
        </w:rPr>
        <w:t>”</w:t>
      </w:r>
      <w:r w:rsidR="0001765C" w:rsidRPr="00916AD6">
        <w:rPr>
          <w:lang w:val="en-AU"/>
        </w:rPr>
        <w:t xml:space="preserve"> (Eph</w:t>
      </w:r>
      <w:r>
        <w:rPr>
          <w:lang w:val="en-AU"/>
        </w:rPr>
        <w:t xml:space="preserve"> </w:t>
      </w:r>
      <w:r w:rsidR="0001765C" w:rsidRPr="00916AD6">
        <w:rPr>
          <w:lang w:val="en-AU"/>
        </w:rPr>
        <w:t>2:2)</w:t>
      </w:r>
      <w:r>
        <w:rPr>
          <w:lang w:val="en-AU"/>
        </w:rPr>
        <w:t>;</w:t>
      </w:r>
      <w:r w:rsidR="0001765C" w:rsidRPr="00916AD6">
        <w:rPr>
          <w:lang w:val="en-AU"/>
        </w:rPr>
        <w:t xml:space="preserve"> not the </w:t>
      </w:r>
      <w:r w:rsidR="000E2CE6">
        <w:rPr>
          <w:lang w:val="en-AU"/>
        </w:rPr>
        <w:t>“</w:t>
      </w:r>
      <w:r w:rsidR="0001765C" w:rsidRPr="00916AD6">
        <w:rPr>
          <w:lang w:val="en-AU"/>
        </w:rPr>
        <w:t>prince of the power of heaven</w:t>
      </w:r>
      <w:r w:rsidR="000E2CE6">
        <w:rPr>
          <w:lang w:val="en-AU"/>
        </w:rPr>
        <w:t>”</w:t>
      </w:r>
      <w:r>
        <w:rPr>
          <w:lang w:val="en-AU"/>
        </w:rPr>
        <w:t>,</w:t>
      </w:r>
      <w:r w:rsidR="0001765C" w:rsidRPr="00916AD6">
        <w:rPr>
          <w:lang w:val="en-AU"/>
        </w:rPr>
        <w:t xml:space="preserve"> because heavenly beings are sinless and immortal</w:t>
      </w:r>
      <w:r>
        <w:rPr>
          <w:lang w:val="en-AU"/>
        </w:rPr>
        <w:t>—</w:t>
      </w:r>
      <w:r w:rsidR="0001765C" w:rsidRPr="00916AD6">
        <w:rPr>
          <w:lang w:val="en-AU"/>
        </w:rPr>
        <w:t>the destroyer</w:t>
      </w:r>
      <w:r w:rsidR="000E2CE6">
        <w:rPr>
          <w:lang w:val="en-AU"/>
        </w:rPr>
        <w:t>’</w:t>
      </w:r>
      <w:r w:rsidR="0001765C" w:rsidRPr="00916AD6">
        <w:rPr>
          <w:lang w:val="en-AU"/>
        </w:rPr>
        <w:t>s jurisdiction is limited to God</w:t>
      </w:r>
      <w:r w:rsidR="000E2CE6">
        <w:rPr>
          <w:lang w:val="en-AU"/>
        </w:rPr>
        <w:t>’</w:t>
      </w:r>
      <w:r w:rsidR="0001765C" w:rsidRPr="00916AD6">
        <w:rPr>
          <w:lang w:val="en-AU"/>
        </w:rPr>
        <w:t xml:space="preserve">s earthly </w:t>
      </w:r>
      <w:r w:rsidR="0001765C" w:rsidRPr="00916AD6">
        <w:rPr>
          <w:u w:val="single"/>
          <w:lang w:val="en-AU"/>
        </w:rPr>
        <w:t>children of disobedience</w:t>
      </w:r>
      <w:r w:rsidR="0001765C" w:rsidRPr="00916AD6">
        <w:rPr>
          <w:lang w:val="en-AU"/>
        </w:rPr>
        <w:t xml:space="preserve"> (Eph</w:t>
      </w:r>
      <w:r>
        <w:rPr>
          <w:lang w:val="en-AU"/>
        </w:rPr>
        <w:t xml:space="preserve"> </w:t>
      </w:r>
      <w:r w:rsidR="0001765C" w:rsidRPr="00916AD6">
        <w:rPr>
          <w:lang w:val="en-AU"/>
        </w:rPr>
        <w:t xml:space="preserve">2:2), who are in possession of the spirit of </w:t>
      </w:r>
      <w:r w:rsidR="000E2CE6">
        <w:rPr>
          <w:lang w:val="en-AU"/>
        </w:rPr>
        <w:t>“</w:t>
      </w:r>
      <w:r w:rsidR="0001765C" w:rsidRPr="00916AD6">
        <w:rPr>
          <w:lang w:val="en-AU"/>
        </w:rPr>
        <w:t>sin and death</w:t>
      </w:r>
      <w:r w:rsidR="000E2CE6">
        <w:rPr>
          <w:lang w:val="en-AU"/>
        </w:rPr>
        <w:t>”</w:t>
      </w:r>
      <w:r w:rsidR="0001765C" w:rsidRPr="00916AD6">
        <w:rPr>
          <w:lang w:val="en-AU"/>
        </w:rPr>
        <w:t xml:space="preserve"> and therefore the destroyer has them in his power. God can and does use human agents as instruments of punishment as described in the apocryphal Judith (2:2), where Nebuchadnezzar </w:t>
      </w:r>
      <w:r w:rsidR="000E2CE6">
        <w:rPr>
          <w:lang w:val="en-AU"/>
        </w:rPr>
        <w:t>“</w:t>
      </w:r>
      <w:r w:rsidR="0001765C" w:rsidRPr="00916AD6">
        <w:rPr>
          <w:lang w:val="en-AU"/>
        </w:rPr>
        <w:t xml:space="preserve">said that his thoughts were to </w:t>
      </w:r>
      <w:r w:rsidR="0001765C" w:rsidRPr="00916AD6">
        <w:rPr>
          <w:u w:val="single"/>
          <w:lang w:val="en-AU"/>
        </w:rPr>
        <w:t>bring all the earth under his empire</w:t>
      </w:r>
      <w:r w:rsidR="000E2CE6">
        <w:rPr>
          <w:lang w:val="en-AU"/>
        </w:rPr>
        <w:t>”</w:t>
      </w:r>
      <w:r w:rsidR="0001765C" w:rsidRPr="00916AD6">
        <w:rPr>
          <w:lang w:val="en-AU"/>
        </w:rPr>
        <w:t xml:space="preserve"> </w:t>
      </w:r>
      <w:r w:rsidR="000E2CE6">
        <w:rPr>
          <w:lang w:val="en-AU"/>
        </w:rPr>
        <w:t>“</w:t>
      </w:r>
      <w:r w:rsidR="0001765C" w:rsidRPr="00916AD6">
        <w:rPr>
          <w:lang w:val="en-AU"/>
        </w:rPr>
        <w:t xml:space="preserve">and it was decided that </w:t>
      </w:r>
      <w:proofErr w:type="spellStart"/>
      <w:r w:rsidR="0001765C" w:rsidRPr="00916AD6">
        <w:rPr>
          <w:lang w:val="en-AU"/>
        </w:rPr>
        <w:t>every one</w:t>
      </w:r>
      <w:proofErr w:type="spellEnd"/>
      <w:r w:rsidR="0001765C" w:rsidRPr="00916AD6">
        <w:rPr>
          <w:lang w:val="en-AU"/>
        </w:rPr>
        <w:t xml:space="preserve">  who had not obeyed his command should </w:t>
      </w:r>
      <w:r w:rsidR="0001765C" w:rsidRPr="00916AD6">
        <w:rPr>
          <w:u w:val="single"/>
          <w:lang w:val="en-AU"/>
        </w:rPr>
        <w:t>be destroyed</w:t>
      </w:r>
      <w:r w:rsidR="000E2CE6">
        <w:rPr>
          <w:lang w:val="en-AU"/>
        </w:rPr>
        <w:t>”</w:t>
      </w:r>
      <w:r>
        <w:rPr>
          <w:lang w:val="en-AU"/>
        </w:rPr>
        <w:t xml:space="preserve"> </w:t>
      </w:r>
      <w:r w:rsidR="0001765C" w:rsidRPr="00916AD6">
        <w:rPr>
          <w:lang w:val="en-AU"/>
        </w:rPr>
        <w:t>(2:3).</w:t>
      </w:r>
      <w:r w:rsidR="0001765C" w:rsidRPr="00916AD6">
        <w:rPr>
          <w:rStyle w:val="FootnoteReference"/>
          <w:lang w:val="en-AU"/>
        </w:rPr>
        <w:footnoteReference w:id="44"/>
      </w:r>
      <w:r w:rsidR="0001765C" w:rsidRPr="00916AD6">
        <w:rPr>
          <w:lang w:val="en-AU"/>
        </w:rPr>
        <w:t xml:space="preserve"> Here</w:t>
      </w:r>
      <w:r>
        <w:rPr>
          <w:lang w:val="en-AU"/>
        </w:rPr>
        <w:t>,</w:t>
      </w:r>
      <w:r w:rsidR="0001765C" w:rsidRPr="00916AD6">
        <w:rPr>
          <w:lang w:val="en-AU"/>
        </w:rPr>
        <w:t xml:space="preserve"> then</w:t>
      </w:r>
      <w:r>
        <w:rPr>
          <w:lang w:val="en-AU"/>
        </w:rPr>
        <w:t xml:space="preserve">, </w:t>
      </w:r>
      <w:r w:rsidR="0001765C" w:rsidRPr="00916AD6">
        <w:rPr>
          <w:lang w:val="en-AU"/>
        </w:rPr>
        <w:t xml:space="preserve">Nebuchadnezzar typifies the universal sway of the divine agent </w:t>
      </w:r>
      <w:r>
        <w:rPr>
          <w:i/>
          <w:lang w:val="en-AU"/>
        </w:rPr>
        <w:t>k</w:t>
      </w:r>
      <w:r w:rsidR="0001765C" w:rsidRPr="00916AD6">
        <w:rPr>
          <w:i/>
          <w:lang w:val="en-AU"/>
        </w:rPr>
        <w:t>osmokrator</w:t>
      </w:r>
      <w:r w:rsidR="0001765C" w:rsidRPr="00916AD6">
        <w:rPr>
          <w:lang w:val="en-AU"/>
        </w:rPr>
        <w:t xml:space="preserve">, subjecting the whole earth and destroying the disobedient. </w:t>
      </w:r>
    </w:p>
    <w:p w:rsidR="0001765C" w:rsidRPr="00916AD6" w:rsidRDefault="0001765C" w:rsidP="0001765C">
      <w:pPr>
        <w:rPr>
          <w:i/>
          <w:lang w:val="en-AU"/>
        </w:rPr>
      </w:pPr>
    </w:p>
    <w:p w:rsidR="0001765C" w:rsidRPr="008718D1" w:rsidRDefault="0001765C" w:rsidP="0001765C">
      <w:pPr>
        <w:rPr>
          <w:rFonts w:ascii="Bradley Hand ITC" w:hAnsi="Bradley Hand ITC"/>
          <w:b/>
          <w:sz w:val="28"/>
          <w:lang w:val="en-AU"/>
        </w:rPr>
      </w:pPr>
      <w:r w:rsidRPr="008718D1">
        <w:rPr>
          <w:rFonts w:ascii="Bradley Hand ITC" w:hAnsi="Bradley Hand ITC"/>
          <w:b/>
          <w:sz w:val="28"/>
          <w:lang w:val="en-AU"/>
        </w:rPr>
        <w:t>We do not wrestle against flesh and blood</w:t>
      </w:r>
    </w:p>
    <w:p w:rsidR="0001765C" w:rsidRPr="00916AD6" w:rsidRDefault="0001765C" w:rsidP="0001765C">
      <w:r w:rsidRPr="00916AD6">
        <w:t>Struggling or wrestling brings to mind Jacob wrestling with the angel (not flesh and blood) when he was on his way to meet his brother Esau</w:t>
      </w:r>
      <w:r w:rsidR="00E47CC8">
        <w:t>:</w:t>
      </w:r>
      <w:r w:rsidRPr="00916AD6">
        <w:t xml:space="preserve"> </w:t>
      </w:r>
    </w:p>
    <w:p w:rsidR="0001765C" w:rsidRDefault="0001765C" w:rsidP="0001765C"/>
    <w:p w:rsidR="001530B1" w:rsidRPr="00916AD6" w:rsidRDefault="001530B1" w:rsidP="0001765C"/>
    <w:tbl>
      <w:tblPr>
        <w:tblStyle w:val="TableGrid"/>
        <w:tblW w:w="0" w:type="auto"/>
        <w:tblInd w:w="250" w:type="dxa"/>
        <w:tblLook w:val="04A0" w:firstRow="1" w:lastRow="0" w:firstColumn="1" w:lastColumn="0" w:noHBand="0" w:noVBand="1"/>
      </w:tblPr>
      <w:tblGrid>
        <w:gridCol w:w="3481"/>
        <w:gridCol w:w="3465"/>
      </w:tblGrid>
      <w:tr w:rsidR="0001765C" w:rsidRPr="00916AD6" w:rsidTr="008718D1">
        <w:tc>
          <w:tcPr>
            <w:tcW w:w="3481" w:type="dxa"/>
            <w:shd w:val="pct25" w:color="auto" w:fill="auto"/>
          </w:tcPr>
          <w:p w:rsidR="0001765C" w:rsidRPr="00916AD6" w:rsidRDefault="0001765C" w:rsidP="0001765C">
            <w:pPr>
              <w:jc w:val="center"/>
              <w:rPr>
                <w:b/>
              </w:rPr>
            </w:pPr>
            <w:r w:rsidRPr="00916AD6">
              <w:rPr>
                <w:b/>
              </w:rPr>
              <w:t>Ephesians</w:t>
            </w:r>
          </w:p>
        </w:tc>
        <w:tc>
          <w:tcPr>
            <w:tcW w:w="3465" w:type="dxa"/>
            <w:shd w:val="pct25" w:color="auto" w:fill="auto"/>
          </w:tcPr>
          <w:p w:rsidR="0001765C" w:rsidRPr="00916AD6" w:rsidRDefault="0001765C" w:rsidP="0001765C">
            <w:pPr>
              <w:jc w:val="center"/>
              <w:rPr>
                <w:b/>
              </w:rPr>
            </w:pPr>
            <w:r w:rsidRPr="00916AD6">
              <w:rPr>
                <w:b/>
              </w:rPr>
              <w:t>Jacob</w:t>
            </w:r>
          </w:p>
        </w:tc>
      </w:tr>
      <w:tr w:rsidR="0001765C" w:rsidRPr="00916AD6" w:rsidTr="008718D1">
        <w:tc>
          <w:tcPr>
            <w:tcW w:w="3481" w:type="dxa"/>
          </w:tcPr>
          <w:p w:rsidR="0001765C" w:rsidRPr="00916AD6" w:rsidRDefault="0001765C" w:rsidP="0001765C">
            <w:r w:rsidRPr="00916AD6">
              <w:t>Wrestle not against flesh and blood (6:12)</w:t>
            </w:r>
          </w:p>
        </w:tc>
        <w:tc>
          <w:tcPr>
            <w:tcW w:w="3465" w:type="dxa"/>
          </w:tcPr>
          <w:p w:rsidR="0001765C" w:rsidRPr="00916AD6" w:rsidRDefault="0001765C" w:rsidP="0001765C">
            <w:pPr>
              <w:autoSpaceDE w:val="0"/>
              <w:autoSpaceDN w:val="0"/>
              <w:adjustRightInd w:val="0"/>
              <w:rPr>
                <w:lang w:val="en-AU"/>
              </w:rPr>
            </w:pPr>
            <w:r w:rsidRPr="00916AD6">
              <w:rPr>
                <w:lang w:val="en-AU"/>
              </w:rPr>
              <w:t>And in his strength he [Jacob] struggled with God. (Hos</w:t>
            </w:r>
            <w:r w:rsidR="008718D1">
              <w:rPr>
                <w:lang w:val="en-AU"/>
              </w:rPr>
              <w:t xml:space="preserve"> </w:t>
            </w:r>
            <w:r w:rsidRPr="00916AD6">
              <w:rPr>
                <w:lang w:val="en-AU"/>
              </w:rPr>
              <w:t>12:3)</w:t>
            </w:r>
          </w:p>
          <w:p w:rsidR="0001765C" w:rsidRPr="00916AD6" w:rsidRDefault="0001765C" w:rsidP="0001765C"/>
        </w:tc>
      </w:tr>
      <w:tr w:rsidR="001530B1" w:rsidRPr="00916AD6" w:rsidTr="00400A62">
        <w:tc>
          <w:tcPr>
            <w:tcW w:w="3481" w:type="dxa"/>
            <w:shd w:val="pct25" w:color="auto" w:fill="auto"/>
          </w:tcPr>
          <w:p w:rsidR="001530B1" w:rsidRPr="00916AD6" w:rsidRDefault="001530B1" w:rsidP="00400A62">
            <w:pPr>
              <w:jc w:val="center"/>
              <w:rPr>
                <w:b/>
              </w:rPr>
            </w:pPr>
            <w:r w:rsidRPr="00916AD6">
              <w:rPr>
                <w:b/>
              </w:rPr>
              <w:lastRenderedPageBreak/>
              <w:t>Ephesians</w:t>
            </w:r>
          </w:p>
        </w:tc>
        <w:tc>
          <w:tcPr>
            <w:tcW w:w="3465" w:type="dxa"/>
            <w:shd w:val="pct25" w:color="auto" w:fill="auto"/>
          </w:tcPr>
          <w:p w:rsidR="001530B1" w:rsidRPr="00916AD6" w:rsidRDefault="001530B1" w:rsidP="00400A62">
            <w:pPr>
              <w:jc w:val="center"/>
              <w:rPr>
                <w:b/>
              </w:rPr>
            </w:pPr>
            <w:r w:rsidRPr="00916AD6">
              <w:rPr>
                <w:b/>
              </w:rPr>
              <w:t>Jacob</w:t>
            </w:r>
          </w:p>
        </w:tc>
      </w:tr>
      <w:tr w:rsidR="0001765C" w:rsidRPr="00916AD6" w:rsidTr="008718D1">
        <w:tc>
          <w:tcPr>
            <w:tcW w:w="3481" w:type="dxa"/>
          </w:tcPr>
          <w:p w:rsidR="0001765C" w:rsidRPr="00916AD6" w:rsidRDefault="0001765C" w:rsidP="008718D1">
            <w:r w:rsidRPr="00916AD6">
              <w:rPr>
                <w:lang w:val="en-AU"/>
              </w:rPr>
              <w:t xml:space="preserve">Finally, my brethren, be strong in the Lord and in the power of </w:t>
            </w:r>
            <w:r w:rsidR="008718D1">
              <w:rPr>
                <w:lang w:val="en-AU"/>
              </w:rPr>
              <w:t>h</w:t>
            </w:r>
            <w:r w:rsidRPr="00916AD6">
              <w:rPr>
                <w:lang w:val="en-AU"/>
              </w:rPr>
              <w:t>is might.(6:10)</w:t>
            </w:r>
          </w:p>
        </w:tc>
        <w:tc>
          <w:tcPr>
            <w:tcW w:w="3465" w:type="dxa"/>
          </w:tcPr>
          <w:p w:rsidR="0001765C" w:rsidRPr="00916AD6" w:rsidRDefault="0001765C" w:rsidP="008718D1">
            <w:pPr>
              <w:autoSpaceDE w:val="0"/>
              <w:autoSpaceDN w:val="0"/>
              <w:adjustRightInd w:val="0"/>
              <w:rPr>
                <w:lang w:val="en-AU"/>
              </w:rPr>
            </w:pPr>
            <w:r w:rsidRPr="00916AD6">
              <w:rPr>
                <w:lang w:val="en-AU"/>
              </w:rPr>
              <w:t>And he prevailed with the angel and was strong (LXE Hos</w:t>
            </w:r>
            <w:r w:rsidR="008718D1">
              <w:rPr>
                <w:lang w:val="en-AU"/>
              </w:rPr>
              <w:t xml:space="preserve"> </w:t>
            </w:r>
            <w:r w:rsidRPr="00916AD6">
              <w:rPr>
                <w:lang w:val="en-AU"/>
              </w:rPr>
              <w:t>12:3)</w:t>
            </w:r>
          </w:p>
        </w:tc>
      </w:tr>
      <w:tr w:rsidR="0001765C" w:rsidRPr="00916AD6" w:rsidTr="008718D1">
        <w:tc>
          <w:tcPr>
            <w:tcW w:w="3481" w:type="dxa"/>
          </w:tcPr>
          <w:p w:rsidR="0001765C" w:rsidRPr="00916AD6" w:rsidRDefault="0001765C" w:rsidP="0001765C">
            <w:r w:rsidRPr="00916AD6">
              <w:rPr>
                <w:u w:val="single"/>
              </w:rPr>
              <w:t>Supplication</w:t>
            </w:r>
            <w:r w:rsidRPr="008718D1">
              <w:t xml:space="preserve"> in the Spirit </w:t>
            </w:r>
            <w:r w:rsidRPr="00916AD6">
              <w:t>(6:18)</w:t>
            </w:r>
          </w:p>
        </w:tc>
        <w:tc>
          <w:tcPr>
            <w:tcW w:w="3465" w:type="dxa"/>
          </w:tcPr>
          <w:p w:rsidR="0001765C" w:rsidRPr="00916AD6" w:rsidRDefault="0001765C" w:rsidP="008718D1">
            <w:r w:rsidRPr="00916AD6">
              <w:rPr>
                <w:lang w:val="en-AU"/>
              </w:rPr>
              <w:t xml:space="preserve">Yes, he struggled with the Angel and prevailed; </w:t>
            </w:r>
            <w:r w:rsidRPr="008718D1">
              <w:rPr>
                <w:lang w:val="en-AU"/>
              </w:rPr>
              <w:t>He wept, and</w:t>
            </w:r>
            <w:r w:rsidRPr="00916AD6">
              <w:rPr>
                <w:u w:val="single"/>
                <w:lang w:val="en-AU"/>
              </w:rPr>
              <w:t xml:space="preserve"> sought favor</w:t>
            </w:r>
            <w:r w:rsidRPr="008718D1">
              <w:rPr>
                <w:lang w:val="en-AU"/>
              </w:rPr>
              <w:t xml:space="preserve"> </w:t>
            </w:r>
            <w:r w:rsidRPr="00916AD6">
              <w:rPr>
                <w:lang w:val="en-AU"/>
              </w:rPr>
              <w:t>from Him.</w:t>
            </w:r>
            <w:r w:rsidR="008718D1">
              <w:rPr>
                <w:lang w:val="en-AU"/>
              </w:rPr>
              <w:t xml:space="preserve"> </w:t>
            </w:r>
            <w:r w:rsidRPr="00916AD6">
              <w:rPr>
                <w:lang w:val="en-AU"/>
              </w:rPr>
              <w:t>(Hos</w:t>
            </w:r>
            <w:r w:rsidR="008718D1">
              <w:rPr>
                <w:lang w:val="en-AU"/>
              </w:rPr>
              <w:t xml:space="preserve"> </w:t>
            </w:r>
            <w:r w:rsidRPr="00916AD6">
              <w:rPr>
                <w:lang w:val="en-AU"/>
              </w:rPr>
              <w:t xml:space="preserve"> 12:3)</w:t>
            </w:r>
          </w:p>
        </w:tc>
      </w:tr>
      <w:tr w:rsidR="0001765C" w:rsidRPr="00916AD6" w:rsidTr="008718D1">
        <w:tc>
          <w:tcPr>
            <w:tcW w:w="3481" w:type="dxa"/>
          </w:tcPr>
          <w:p w:rsidR="0001765C" w:rsidRDefault="0001765C" w:rsidP="0001765C">
            <w:pPr>
              <w:rPr>
                <w:lang w:val="en-AU"/>
              </w:rPr>
            </w:pPr>
            <w:r w:rsidRPr="00916AD6">
              <w:rPr>
                <w:lang w:val="en-AU"/>
              </w:rPr>
              <w:t>...the trickery of men, in the cunning craftiness of deceitful plotting (4:14)</w:t>
            </w:r>
          </w:p>
          <w:p w:rsidR="008718D1" w:rsidRPr="00916AD6" w:rsidRDefault="008718D1" w:rsidP="0001765C">
            <w:pPr>
              <w:rPr>
                <w:lang w:val="en-AU"/>
              </w:rPr>
            </w:pPr>
          </w:p>
          <w:p w:rsidR="0001765C" w:rsidRPr="00916AD6" w:rsidRDefault="0001765C" w:rsidP="0001765C">
            <w:pPr>
              <w:rPr>
                <w:lang w:val="en-AU"/>
              </w:rPr>
            </w:pPr>
            <w:r w:rsidRPr="00916AD6">
              <w:rPr>
                <w:lang w:val="en-AU"/>
              </w:rPr>
              <w:t>...wiles of the devil (6:11)</w:t>
            </w:r>
          </w:p>
          <w:p w:rsidR="0001765C" w:rsidRPr="00916AD6" w:rsidRDefault="0001765C" w:rsidP="0001765C"/>
        </w:tc>
        <w:tc>
          <w:tcPr>
            <w:tcW w:w="3465" w:type="dxa"/>
          </w:tcPr>
          <w:p w:rsidR="0001765C" w:rsidRPr="00916AD6" w:rsidRDefault="0001765C" w:rsidP="0001765C">
            <w:pPr>
              <w:autoSpaceDE w:val="0"/>
              <w:autoSpaceDN w:val="0"/>
              <w:adjustRightInd w:val="0"/>
              <w:rPr>
                <w:lang w:val="en-AU"/>
              </w:rPr>
            </w:pPr>
            <w:r w:rsidRPr="00916AD6">
              <w:rPr>
                <w:lang w:val="en-AU"/>
              </w:rPr>
              <w:t>Your father (Laban) has deceived me and changed my wages ten times, but God did not allow him to hurt me.</w:t>
            </w:r>
            <w:r w:rsidR="008718D1">
              <w:rPr>
                <w:lang w:val="en-AU"/>
              </w:rPr>
              <w:t xml:space="preserve"> </w:t>
            </w:r>
            <w:r w:rsidRPr="00916AD6">
              <w:rPr>
                <w:lang w:val="en-AU"/>
              </w:rPr>
              <w:t>(Gen 31:7)</w:t>
            </w:r>
          </w:p>
          <w:p w:rsidR="0001765C" w:rsidRPr="00916AD6" w:rsidRDefault="0001765C" w:rsidP="0001765C"/>
        </w:tc>
      </w:tr>
    </w:tbl>
    <w:p w:rsidR="0001765C" w:rsidRPr="00916AD6" w:rsidRDefault="0001765C" w:rsidP="0001765C"/>
    <w:p w:rsidR="0001765C" w:rsidRPr="00916AD6" w:rsidRDefault="0001765C" w:rsidP="0001765C">
      <w:r w:rsidRPr="00916AD6">
        <w:t>Jacob did not subdue the angel of death</w:t>
      </w:r>
      <w:r w:rsidR="008718D1">
        <w:t>…</w:t>
      </w:r>
      <w:r w:rsidRPr="00916AD6">
        <w:t>he overcame</w:t>
      </w:r>
      <w:r w:rsidRPr="00916AD6">
        <w:rPr>
          <w:rStyle w:val="FootnoteReference"/>
        </w:rPr>
        <w:footnoteReference w:id="45"/>
      </w:r>
      <w:r w:rsidRPr="00916AD6">
        <w:t xml:space="preserve"> his old nature in the same way that Jesus did;</w:t>
      </w:r>
    </w:p>
    <w:p w:rsidR="0001765C" w:rsidRPr="00916AD6" w:rsidRDefault="0001765C" w:rsidP="0001765C"/>
    <w:p w:rsidR="0001765C" w:rsidRPr="00916AD6" w:rsidRDefault="0001765C" w:rsidP="008718D1">
      <w:pPr>
        <w:pStyle w:val="Quote"/>
      </w:pPr>
      <w:r w:rsidRPr="00916AD6">
        <w:t xml:space="preserve">Who, in the days of </w:t>
      </w:r>
      <w:r w:rsidR="009049DC">
        <w:t>h</w:t>
      </w:r>
      <w:r w:rsidRPr="00916AD6">
        <w:t xml:space="preserve">is flesh, when </w:t>
      </w:r>
      <w:r w:rsidR="009049DC">
        <w:t>h</w:t>
      </w:r>
      <w:r w:rsidRPr="00916AD6">
        <w:t xml:space="preserve">e had offered up </w:t>
      </w:r>
      <w:r w:rsidRPr="00916AD6">
        <w:rPr>
          <w:u w:val="single"/>
        </w:rPr>
        <w:t>prayers and supplications</w:t>
      </w:r>
      <w:r w:rsidRPr="00916AD6">
        <w:t>, wi</w:t>
      </w:r>
      <w:r w:rsidR="009049DC">
        <w:t>th vehement cries and tears to h</w:t>
      </w:r>
      <w:r w:rsidRPr="00916AD6">
        <w:t xml:space="preserve">im who was able </w:t>
      </w:r>
      <w:r w:rsidRPr="00916AD6">
        <w:rPr>
          <w:u w:val="single"/>
        </w:rPr>
        <w:t>to save Him from death</w:t>
      </w:r>
      <w:r w:rsidRPr="00916AD6">
        <w:t>, and was he</w:t>
      </w:r>
      <w:r w:rsidR="009049DC">
        <w:t>ard because of his godly fear. Heb 5:7 (NKJV)</w:t>
      </w:r>
    </w:p>
    <w:p w:rsidR="0001765C" w:rsidRPr="00916AD6" w:rsidRDefault="0001765C" w:rsidP="0001765C">
      <w:r w:rsidRPr="00916AD6">
        <w:t xml:space="preserve"> </w:t>
      </w:r>
    </w:p>
    <w:p w:rsidR="0001765C" w:rsidRPr="00916AD6" w:rsidRDefault="0001765C" w:rsidP="0001765C">
      <w:r w:rsidRPr="00916AD6">
        <w:t>Finally</w:t>
      </w:r>
      <w:r w:rsidR="009049DC">
        <w:t>,</w:t>
      </w:r>
      <w:r w:rsidRPr="00916AD6">
        <w:t xml:space="preserve"> Jacob (the deceiver)</w:t>
      </w:r>
      <w:r w:rsidR="009049DC">
        <w:t>,</w:t>
      </w:r>
      <w:r w:rsidRPr="00916AD6">
        <w:t xml:space="preserve"> who had himself been tricked and deceived</w:t>
      </w:r>
      <w:r w:rsidR="009049DC">
        <w:t>,</w:t>
      </w:r>
      <w:r w:rsidRPr="00916AD6">
        <w:t xml:space="preserve"> understood that he was not merely struggling with man but had been wrestling God all his life. There is then a human </w:t>
      </w:r>
      <w:r w:rsidRPr="00916AD6">
        <w:rPr>
          <w:i/>
        </w:rPr>
        <w:t>and a supernatural element</w:t>
      </w:r>
      <w:r w:rsidRPr="00916AD6">
        <w:t xml:space="preserve"> to Jacob</w:t>
      </w:r>
      <w:r w:rsidR="000E2CE6">
        <w:t>’</w:t>
      </w:r>
      <w:r w:rsidRPr="00916AD6">
        <w:t>s struggles whi</w:t>
      </w:r>
      <w:r w:rsidR="009049DC">
        <w:t>ch erupt in a confrontation—</w:t>
      </w:r>
      <w:r w:rsidRPr="00916AD6">
        <w:t>a moment of truth</w:t>
      </w:r>
      <w:r w:rsidR="009049DC">
        <w:t>—</w:t>
      </w:r>
      <w:r w:rsidRPr="00916AD6">
        <w:t>when he is about to meet his nemesis, Esau.  Instead</w:t>
      </w:r>
      <w:r w:rsidR="009049DC">
        <w:t>,</w:t>
      </w:r>
      <w:r w:rsidRPr="00916AD6">
        <w:t xml:space="preserve"> he w</w:t>
      </w:r>
      <w:r w:rsidR="009049DC">
        <w:t>restles with the angel of death;</w:t>
      </w:r>
      <w:r w:rsidRPr="00916AD6">
        <w:t xml:space="preserve"> </w:t>
      </w:r>
      <w:r w:rsidR="009049DC">
        <w:t>i</w:t>
      </w:r>
      <w:r w:rsidRPr="00916AD6">
        <w:t>t is suggested that this death-struggle occurred on the Passover night.</w:t>
      </w:r>
    </w:p>
    <w:p w:rsidR="0001765C" w:rsidRDefault="0001765C" w:rsidP="0001765C"/>
    <w:p w:rsidR="001530B1" w:rsidRDefault="001530B1" w:rsidP="0001765C"/>
    <w:p w:rsidR="001530B1" w:rsidRDefault="001530B1" w:rsidP="0001765C"/>
    <w:p w:rsidR="001530B1" w:rsidRPr="00916AD6" w:rsidRDefault="001530B1" w:rsidP="0001765C"/>
    <w:p w:rsidR="0001765C" w:rsidRPr="009049DC" w:rsidRDefault="0001765C" w:rsidP="0001765C">
      <w:pPr>
        <w:rPr>
          <w:rFonts w:ascii="Bradley Hand ITC" w:hAnsi="Bradley Hand ITC"/>
          <w:b/>
          <w:sz w:val="28"/>
        </w:rPr>
      </w:pPr>
      <w:r w:rsidRPr="009049DC">
        <w:rPr>
          <w:rFonts w:ascii="Bradley Hand ITC" w:hAnsi="Bradley Hand ITC"/>
          <w:b/>
          <w:sz w:val="28"/>
        </w:rPr>
        <w:lastRenderedPageBreak/>
        <w:t>Passover</w:t>
      </w:r>
    </w:p>
    <w:p w:rsidR="0001765C" w:rsidRPr="00916AD6" w:rsidRDefault="0001765C" w:rsidP="0001765C">
      <w:pPr>
        <w:rPr>
          <w:i/>
        </w:rPr>
      </w:pPr>
    </w:p>
    <w:tbl>
      <w:tblPr>
        <w:tblStyle w:val="TableGrid"/>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85"/>
        <w:gridCol w:w="3686"/>
      </w:tblGrid>
      <w:tr w:rsidR="0001765C" w:rsidRPr="00916AD6" w:rsidTr="009049DC">
        <w:trPr>
          <w:jc w:val="center"/>
        </w:trPr>
        <w:tc>
          <w:tcPr>
            <w:tcW w:w="3385" w:type="dxa"/>
            <w:shd w:val="pct25" w:color="auto" w:fill="auto"/>
          </w:tcPr>
          <w:p w:rsidR="0001765C" w:rsidRPr="00916AD6" w:rsidRDefault="0001765C" w:rsidP="0001765C">
            <w:pPr>
              <w:jc w:val="center"/>
              <w:rPr>
                <w:rFonts w:eastAsia="SimSun"/>
                <w:b/>
                <w:bCs/>
              </w:rPr>
            </w:pPr>
            <w:r w:rsidRPr="00916AD6">
              <w:rPr>
                <w:rFonts w:eastAsia="SimSun"/>
                <w:b/>
                <w:bCs/>
              </w:rPr>
              <w:t>Ephesians 6</w:t>
            </w:r>
          </w:p>
        </w:tc>
        <w:tc>
          <w:tcPr>
            <w:tcW w:w="3686" w:type="dxa"/>
            <w:shd w:val="pct25" w:color="auto" w:fill="auto"/>
          </w:tcPr>
          <w:p w:rsidR="0001765C" w:rsidRPr="00916AD6" w:rsidRDefault="0001765C" w:rsidP="0001765C">
            <w:pPr>
              <w:jc w:val="center"/>
              <w:rPr>
                <w:rFonts w:eastAsia="SimSun"/>
                <w:b/>
                <w:bCs/>
              </w:rPr>
            </w:pPr>
            <w:r w:rsidRPr="00916AD6">
              <w:rPr>
                <w:rFonts w:eastAsia="SimSun"/>
                <w:b/>
                <w:bCs/>
              </w:rPr>
              <w:t>Passover Allusions</w:t>
            </w:r>
          </w:p>
        </w:tc>
      </w:tr>
      <w:tr w:rsidR="0001765C" w:rsidRPr="00916AD6" w:rsidTr="009049DC">
        <w:trPr>
          <w:jc w:val="center"/>
        </w:trPr>
        <w:tc>
          <w:tcPr>
            <w:tcW w:w="3385" w:type="dxa"/>
            <w:vAlign w:val="center"/>
          </w:tcPr>
          <w:p w:rsidR="0001765C" w:rsidRPr="00916AD6" w:rsidRDefault="009049DC" w:rsidP="0001765C">
            <w:pPr>
              <w:rPr>
                <w:rFonts w:eastAsia="SimSun"/>
              </w:rPr>
            </w:pPr>
            <w:r>
              <w:rPr>
                <w:rFonts w:eastAsia="SimSun"/>
              </w:rPr>
              <w:t>…</w:t>
            </w:r>
            <w:r w:rsidR="0001765C" w:rsidRPr="00916AD6">
              <w:rPr>
                <w:rFonts w:eastAsia="SimSun"/>
              </w:rPr>
              <w:t xml:space="preserve">the rulers of the darkness of this world, against spiritual hosts of evil in the </w:t>
            </w:r>
            <w:proofErr w:type="spellStart"/>
            <w:r w:rsidR="0001765C" w:rsidRPr="00916AD6">
              <w:rPr>
                <w:rFonts w:eastAsia="SimSun"/>
              </w:rPr>
              <w:t>heavenlies</w:t>
            </w:r>
            <w:proofErr w:type="spellEnd"/>
            <w:r w:rsidR="0001765C" w:rsidRPr="00916AD6">
              <w:rPr>
                <w:rFonts w:eastAsia="SimSun"/>
              </w:rPr>
              <w:t>. (v.</w:t>
            </w:r>
            <w:r>
              <w:rPr>
                <w:rFonts w:eastAsia="SimSun"/>
              </w:rPr>
              <w:t xml:space="preserve"> </w:t>
            </w:r>
            <w:r w:rsidR="0001765C" w:rsidRPr="00916AD6">
              <w:rPr>
                <w:rFonts w:eastAsia="SimSun"/>
              </w:rPr>
              <w:t>12)</w:t>
            </w:r>
          </w:p>
        </w:tc>
        <w:tc>
          <w:tcPr>
            <w:tcW w:w="3686" w:type="dxa"/>
            <w:vAlign w:val="center"/>
          </w:tcPr>
          <w:p w:rsidR="0001765C" w:rsidRPr="00916AD6" w:rsidRDefault="0001765C" w:rsidP="0001765C">
            <w:pPr>
              <w:rPr>
                <w:rFonts w:eastAsia="SimSun"/>
              </w:rPr>
            </w:pPr>
          </w:p>
          <w:p w:rsidR="0001765C" w:rsidRDefault="0001765C" w:rsidP="0001765C">
            <w:pPr>
              <w:rPr>
                <w:rFonts w:eastAsia="SimSun"/>
              </w:rPr>
            </w:pPr>
            <w:r w:rsidRPr="00916AD6">
              <w:rPr>
                <w:rFonts w:eastAsia="SimSun"/>
              </w:rPr>
              <w:t>Passover: the only feast celebrated at night</w:t>
            </w:r>
          </w:p>
          <w:p w:rsidR="009049DC" w:rsidRPr="00916AD6" w:rsidRDefault="009049DC" w:rsidP="0001765C">
            <w:pPr>
              <w:rPr>
                <w:rFonts w:eastAsia="SimSun"/>
              </w:rPr>
            </w:pPr>
          </w:p>
          <w:p w:rsidR="0001765C" w:rsidRPr="00916AD6" w:rsidRDefault="0001765C" w:rsidP="0001765C">
            <w:pPr>
              <w:rPr>
                <w:rFonts w:eastAsia="SimSun"/>
              </w:rPr>
            </w:pPr>
            <w:r w:rsidRPr="00916AD6">
              <w:rPr>
                <w:rFonts w:eastAsia="SimSun"/>
              </w:rPr>
              <w:t>A sending of Angels of evil amongst them (Ps 78:49)</w:t>
            </w:r>
          </w:p>
          <w:p w:rsidR="009049DC" w:rsidRDefault="009049DC" w:rsidP="0001765C">
            <w:pPr>
              <w:rPr>
                <w:rFonts w:eastAsia="SimSun"/>
              </w:rPr>
            </w:pPr>
          </w:p>
          <w:p w:rsidR="0001765C" w:rsidRPr="00916AD6" w:rsidRDefault="009049DC" w:rsidP="0001765C">
            <w:pPr>
              <w:rPr>
                <w:rFonts w:eastAsia="SimSun"/>
              </w:rPr>
            </w:pPr>
            <w:r>
              <w:rPr>
                <w:rFonts w:eastAsia="SimSun"/>
              </w:rPr>
              <w:t>…</w:t>
            </w:r>
            <w:r w:rsidR="0001765C" w:rsidRPr="00916AD6">
              <w:rPr>
                <w:rFonts w:eastAsia="SimSun"/>
              </w:rPr>
              <w:t>will not suffer the destroyer to come into your houses (Ex</w:t>
            </w:r>
            <w:r>
              <w:rPr>
                <w:rFonts w:eastAsia="SimSun"/>
              </w:rPr>
              <w:t>od</w:t>
            </w:r>
            <w:r w:rsidR="0001765C" w:rsidRPr="00916AD6">
              <w:rPr>
                <w:rFonts w:eastAsia="SimSun"/>
              </w:rPr>
              <w:t xml:space="preserve"> 12:23)</w:t>
            </w:r>
          </w:p>
          <w:p w:rsidR="0001765C" w:rsidRPr="00916AD6" w:rsidRDefault="0001765C" w:rsidP="0001765C">
            <w:pPr>
              <w:rPr>
                <w:rFonts w:eastAsia="SimSun"/>
              </w:rPr>
            </w:pPr>
          </w:p>
        </w:tc>
      </w:tr>
      <w:tr w:rsidR="0001765C" w:rsidRPr="00916AD6" w:rsidTr="009049DC">
        <w:trPr>
          <w:jc w:val="center"/>
        </w:trPr>
        <w:tc>
          <w:tcPr>
            <w:tcW w:w="3385" w:type="dxa"/>
            <w:vAlign w:val="center"/>
          </w:tcPr>
          <w:p w:rsidR="0001765C" w:rsidRPr="00916AD6" w:rsidRDefault="0001765C" w:rsidP="0001765C">
            <w:pPr>
              <w:rPr>
                <w:rFonts w:eastAsia="SimSun"/>
              </w:rPr>
            </w:pPr>
          </w:p>
          <w:p w:rsidR="0001765C" w:rsidRDefault="009049DC" w:rsidP="009049DC">
            <w:pPr>
              <w:rPr>
                <w:rFonts w:eastAsia="SimSun"/>
              </w:rPr>
            </w:pPr>
            <w:r>
              <w:rPr>
                <w:rFonts w:eastAsia="SimSun"/>
              </w:rPr>
              <w:t>…</w:t>
            </w:r>
            <w:r w:rsidR="0001765C" w:rsidRPr="00916AD6">
              <w:rPr>
                <w:rFonts w:eastAsia="SimSun"/>
              </w:rPr>
              <w:t>praying always with all prayer and supplication in the spirit and watching thereunto</w:t>
            </w:r>
            <w:r>
              <w:rPr>
                <w:rFonts w:eastAsia="SimSun"/>
              </w:rPr>
              <w:t xml:space="preserve">… </w:t>
            </w:r>
            <w:r w:rsidR="0001765C" w:rsidRPr="00916AD6">
              <w:rPr>
                <w:rFonts w:eastAsia="SimSun"/>
              </w:rPr>
              <w:t>(v.</w:t>
            </w:r>
            <w:r>
              <w:rPr>
                <w:rFonts w:eastAsia="SimSun"/>
              </w:rPr>
              <w:t xml:space="preserve"> </w:t>
            </w:r>
            <w:r w:rsidR="0001765C" w:rsidRPr="00916AD6">
              <w:rPr>
                <w:rFonts w:eastAsia="SimSun"/>
              </w:rPr>
              <w:t>18)</w:t>
            </w:r>
          </w:p>
          <w:p w:rsidR="009049DC" w:rsidRPr="00916AD6" w:rsidRDefault="009049DC" w:rsidP="009049DC">
            <w:pPr>
              <w:rPr>
                <w:rFonts w:eastAsia="SimSun"/>
              </w:rPr>
            </w:pPr>
          </w:p>
        </w:tc>
        <w:tc>
          <w:tcPr>
            <w:tcW w:w="3686" w:type="dxa"/>
            <w:vAlign w:val="center"/>
          </w:tcPr>
          <w:p w:rsidR="009049DC" w:rsidRPr="00916AD6" w:rsidRDefault="0001765C" w:rsidP="0001765C">
            <w:pPr>
              <w:rPr>
                <w:rFonts w:eastAsia="SimSun"/>
              </w:rPr>
            </w:pPr>
            <w:r w:rsidRPr="00916AD6">
              <w:rPr>
                <w:rFonts w:eastAsia="SimSun"/>
              </w:rPr>
              <w:t>Passover: a night of watching unto the Lord (Ex</w:t>
            </w:r>
            <w:r w:rsidR="009049DC">
              <w:rPr>
                <w:rFonts w:eastAsia="SimSun"/>
              </w:rPr>
              <w:t>od</w:t>
            </w:r>
            <w:r w:rsidRPr="00916AD6">
              <w:rPr>
                <w:rFonts w:eastAsia="SimSun"/>
              </w:rPr>
              <w:t xml:space="preserve"> 12:42 RV</w:t>
            </w:r>
            <w:r w:rsidR="009049DC">
              <w:rPr>
                <w:rFonts w:eastAsia="SimSun"/>
              </w:rPr>
              <w:t xml:space="preserve"> </w:t>
            </w:r>
            <w:r w:rsidRPr="00916AD6">
              <w:rPr>
                <w:rFonts w:eastAsia="SimSun"/>
              </w:rPr>
              <w:t>mg)</w:t>
            </w:r>
          </w:p>
        </w:tc>
      </w:tr>
      <w:tr w:rsidR="0001765C" w:rsidRPr="00916AD6" w:rsidTr="009049DC">
        <w:trPr>
          <w:jc w:val="center"/>
        </w:trPr>
        <w:tc>
          <w:tcPr>
            <w:tcW w:w="3385" w:type="dxa"/>
            <w:vAlign w:val="center"/>
          </w:tcPr>
          <w:p w:rsidR="0001765C" w:rsidRPr="00916AD6" w:rsidRDefault="0001765C" w:rsidP="0001765C">
            <w:pPr>
              <w:rPr>
                <w:rFonts w:eastAsia="SimSun"/>
              </w:rPr>
            </w:pPr>
          </w:p>
          <w:p w:rsidR="0001765C" w:rsidRPr="00916AD6" w:rsidRDefault="0001765C" w:rsidP="0001765C">
            <w:pPr>
              <w:rPr>
                <w:rFonts w:eastAsia="SimSun"/>
              </w:rPr>
            </w:pPr>
            <w:r w:rsidRPr="00916AD6">
              <w:rPr>
                <w:rFonts w:eastAsia="SimSun"/>
              </w:rPr>
              <w:t>…stand therefore  (v.</w:t>
            </w:r>
            <w:r w:rsidR="009049DC">
              <w:rPr>
                <w:rFonts w:eastAsia="SimSun"/>
              </w:rPr>
              <w:t xml:space="preserve"> </w:t>
            </w:r>
            <w:r w:rsidRPr="00916AD6">
              <w:rPr>
                <w:rFonts w:eastAsia="SimSun"/>
              </w:rPr>
              <w:t>14)</w:t>
            </w:r>
          </w:p>
          <w:p w:rsidR="0001765C" w:rsidRPr="00916AD6" w:rsidRDefault="0001765C" w:rsidP="0001765C">
            <w:pPr>
              <w:rPr>
                <w:rFonts w:eastAsia="SimSun"/>
              </w:rPr>
            </w:pPr>
          </w:p>
        </w:tc>
        <w:tc>
          <w:tcPr>
            <w:tcW w:w="3686" w:type="dxa"/>
            <w:vAlign w:val="center"/>
          </w:tcPr>
          <w:p w:rsidR="0001765C" w:rsidRPr="00916AD6" w:rsidRDefault="0001765C" w:rsidP="0001765C">
            <w:pPr>
              <w:rPr>
                <w:rFonts w:eastAsia="SimSun"/>
              </w:rPr>
            </w:pPr>
            <w:r w:rsidRPr="00916AD6">
              <w:rPr>
                <w:rFonts w:eastAsia="SimSun"/>
              </w:rPr>
              <w:t>...ye shall eat it in haste (Ex</w:t>
            </w:r>
            <w:r w:rsidR="009049DC">
              <w:rPr>
                <w:rFonts w:eastAsia="SimSun"/>
              </w:rPr>
              <w:t>od</w:t>
            </w:r>
            <w:r w:rsidRPr="00916AD6">
              <w:rPr>
                <w:rFonts w:eastAsia="SimSun"/>
              </w:rPr>
              <w:t xml:space="preserve"> 12:11)</w:t>
            </w:r>
          </w:p>
        </w:tc>
      </w:tr>
      <w:tr w:rsidR="0001765C" w:rsidRPr="00916AD6" w:rsidTr="009049DC">
        <w:trPr>
          <w:jc w:val="center"/>
        </w:trPr>
        <w:tc>
          <w:tcPr>
            <w:tcW w:w="3385" w:type="dxa"/>
            <w:vAlign w:val="center"/>
          </w:tcPr>
          <w:p w:rsidR="0001765C" w:rsidRPr="00916AD6" w:rsidRDefault="0001765C" w:rsidP="0001765C">
            <w:pPr>
              <w:rPr>
                <w:rFonts w:eastAsia="SimSun"/>
              </w:rPr>
            </w:pPr>
          </w:p>
          <w:p w:rsidR="0001765C" w:rsidRPr="00916AD6" w:rsidRDefault="0001765C" w:rsidP="0001765C">
            <w:pPr>
              <w:rPr>
                <w:rFonts w:eastAsia="SimSun"/>
              </w:rPr>
            </w:pPr>
            <w:r w:rsidRPr="00916AD6">
              <w:rPr>
                <w:rFonts w:eastAsia="SimSun"/>
              </w:rPr>
              <w:t>…your loins girt about with truth (v.</w:t>
            </w:r>
            <w:r w:rsidR="009049DC">
              <w:rPr>
                <w:rFonts w:eastAsia="SimSun"/>
              </w:rPr>
              <w:t xml:space="preserve"> </w:t>
            </w:r>
            <w:r w:rsidRPr="00916AD6">
              <w:rPr>
                <w:rFonts w:eastAsia="SimSun"/>
              </w:rPr>
              <w:t>14)</w:t>
            </w:r>
          </w:p>
          <w:p w:rsidR="0001765C" w:rsidRPr="00916AD6" w:rsidRDefault="0001765C" w:rsidP="0001765C">
            <w:pPr>
              <w:rPr>
                <w:rFonts w:eastAsia="SimSun"/>
              </w:rPr>
            </w:pPr>
          </w:p>
        </w:tc>
        <w:tc>
          <w:tcPr>
            <w:tcW w:w="3686" w:type="dxa"/>
            <w:vAlign w:val="center"/>
          </w:tcPr>
          <w:p w:rsidR="0001765C" w:rsidRPr="00916AD6" w:rsidRDefault="0001765C" w:rsidP="0001765C">
            <w:pPr>
              <w:rPr>
                <w:rFonts w:eastAsia="SimSun"/>
              </w:rPr>
            </w:pPr>
            <w:r w:rsidRPr="00916AD6">
              <w:rPr>
                <w:rFonts w:eastAsia="SimSun"/>
              </w:rPr>
              <w:t>…with your loins girded (Ex</w:t>
            </w:r>
            <w:r w:rsidR="009049DC">
              <w:rPr>
                <w:rFonts w:eastAsia="SimSun"/>
              </w:rPr>
              <w:t>od</w:t>
            </w:r>
            <w:r w:rsidRPr="00916AD6">
              <w:rPr>
                <w:rFonts w:eastAsia="SimSun"/>
              </w:rPr>
              <w:t xml:space="preserve"> 12:11)</w:t>
            </w:r>
          </w:p>
        </w:tc>
      </w:tr>
      <w:tr w:rsidR="0001765C" w:rsidRPr="00916AD6" w:rsidTr="009049DC">
        <w:trPr>
          <w:jc w:val="center"/>
        </w:trPr>
        <w:tc>
          <w:tcPr>
            <w:tcW w:w="3385" w:type="dxa"/>
            <w:vAlign w:val="center"/>
          </w:tcPr>
          <w:p w:rsidR="0001765C" w:rsidRPr="00916AD6" w:rsidRDefault="0001765C" w:rsidP="0001765C">
            <w:pPr>
              <w:rPr>
                <w:rFonts w:eastAsia="SimSun"/>
              </w:rPr>
            </w:pPr>
            <w:r w:rsidRPr="00916AD6">
              <w:rPr>
                <w:rFonts w:eastAsia="SimSun"/>
              </w:rPr>
              <w:t>…and your feet shod with the gospel of the preparation of the gospel of peace (v.</w:t>
            </w:r>
            <w:r w:rsidR="009049DC">
              <w:rPr>
                <w:rFonts w:eastAsia="SimSun"/>
              </w:rPr>
              <w:t xml:space="preserve"> </w:t>
            </w:r>
            <w:r w:rsidRPr="00916AD6">
              <w:rPr>
                <w:rFonts w:eastAsia="SimSun"/>
              </w:rPr>
              <w:t>15)</w:t>
            </w:r>
          </w:p>
          <w:p w:rsidR="0001765C" w:rsidRPr="00916AD6" w:rsidRDefault="0001765C" w:rsidP="0001765C">
            <w:pPr>
              <w:rPr>
                <w:rFonts w:eastAsia="SimSun"/>
              </w:rPr>
            </w:pPr>
          </w:p>
        </w:tc>
        <w:tc>
          <w:tcPr>
            <w:tcW w:w="3686" w:type="dxa"/>
            <w:vAlign w:val="center"/>
          </w:tcPr>
          <w:p w:rsidR="0001765C" w:rsidRPr="00916AD6" w:rsidRDefault="0001765C" w:rsidP="0001765C">
            <w:pPr>
              <w:rPr>
                <w:rFonts w:eastAsia="SimSun"/>
              </w:rPr>
            </w:pPr>
            <w:r w:rsidRPr="00916AD6">
              <w:rPr>
                <w:rFonts w:eastAsia="SimSun"/>
              </w:rPr>
              <w:t>…your shoes on your feet (Ex</w:t>
            </w:r>
            <w:r w:rsidR="009049DC">
              <w:rPr>
                <w:rFonts w:eastAsia="SimSun"/>
              </w:rPr>
              <w:t>od</w:t>
            </w:r>
            <w:r w:rsidRPr="00916AD6">
              <w:rPr>
                <w:rFonts w:eastAsia="SimSun"/>
              </w:rPr>
              <w:t xml:space="preserve"> 12:11)</w:t>
            </w:r>
          </w:p>
        </w:tc>
      </w:tr>
      <w:tr w:rsidR="0001765C" w:rsidRPr="00916AD6" w:rsidTr="009049DC">
        <w:trPr>
          <w:jc w:val="center"/>
        </w:trPr>
        <w:tc>
          <w:tcPr>
            <w:tcW w:w="3385" w:type="dxa"/>
            <w:vAlign w:val="center"/>
          </w:tcPr>
          <w:p w:rsidR="0001765C" w:rsidRPr="00916AD6" w:rsidRDefault="0001765C" w:rsidP="0001765C">
            <w:pPr>
              <w:rPr>
                <w:rFonts w:eastAsia="SimSun"/>
              </w:rPr>
            </w:pPr>
          </w:p>
          <w:p w:rsidR="0001765C" w:rsidRPr="00916AD6" w:rsidRDefault="0001765C" w:rsidP="0001765C">
            <w:pPr>
              <w:rPr>
                <w:rFonts w:eastAsia="SimSun"/>
              </w:rPr>
            </w:pPr>
            <w:r w:rsidRPr="00916AD6">
              <w:rPr>
                <w:rFonts w:eastAsia="SimSun"/>
              </w:rPr>
              <w:t>…and the sword of the spirit, which is the word of God (v.</w:t>
            </w:r>
            <w:r w:rsidR="009049DC">
              <w:rPr>
                <w:rFonts w:eastAsia="SimSun"/>
              </w:rPr>
              <w:t xml:space="preserve"> </w:t>
            </w:r>
            <w:r w:rsidRPr="00916AD6">
              <w:rPr>
                <w:rFonts w:eastAsia="SimSun"/>
              </w:rPr>
              <w:t>17)</w:t>
            </w:r>
          </w:p>
          <w:p w:rsidR="0001765C" w:rsidRPr="00916AD6" w:rsidRDefault="0001765C" w:rsidP="0001765C">
            <w:pPr>
              <w:rPr>
                <w:rFonts w:eastAsia="SimSun"/>
              </w:rPr>
            </w:pPr>
          </w:p>
        </w:tc>
        <w:tc>
          <w:tcPr>
            <w:tcW w:w="3686" w:type="dxa"/>
            <w:vAlign w:val="center"/>
          </w:tcPr>
          <w:p w:rsidR="0001765C" w:rsidRPr="00916AD6" w:rsidRDefault="0001765C" w:rsidP="0001765C">
            <w:pPr>
              <w:rPr>
                <w:rFonts w:eastAsia="SimSun"/>
              </w:rPr>
            </w:pPr>
            <w:r w:rsidRPr="00916AD6">
              <w:rPr>
                <w:rFonts w:eastAsia="SimSun"/>
              </w:rPr>
              <w:t>…your staff in your hand (Ex</w:t>
            </w:r>
            <w:r w:rsidR="009049DC">
              <w:rPr>
                <w:rFonts w:eastAsia="SimSun"/>
              </w:rPr>
              <w:t>od</w:t>
            </w:r>
            <w:r w:rsidRPr="00916AD6">
              <w:rPr>
                <w:rFonts w:eastAsia="SimSun"/>
              </w:rPr>
              <w:t xml:space="preserve"> 12:11)</w:t>
            </w:r>
          </w:p>
        </w:tc>
      </w:tr>
      <w:tr w:rsidR="0001765C" w:rsidRPr="00916AD6" w:rsidTr="009049DC">
        <w:trPr>
          <w:jc w:val="center"/>
        </w:trPr>
        <w:tc>
          <w:tcPr>
            <w:tcW w:w="3385" w:type="dxa"/>
            <w:vAlign w:val="center"/>
          </w:tcPr>
          <w:p w:rsidR="0001765C" w:rsidRPr="00916AD6" w:rsidRDefault="0001765C" w:rsidP="0001765C">
            <w:pPr>
              <w:rPr>
                <w:rFonts w:eastAsia="SimSun"/>
              </w:rPr>
            </w:pPr>
          </w:p>
          <w:p w:rsidR="0001765C" w:rsidRPr="00916AD6" w:rsidRDefault="0001765C" w:rsidP="0001765C">
            <w:pPr>
              <w:rPr>
                <w:rFonts w:eastAsia="SimSun"/>
              </w:rPr>
            </w:pPr>
            <w:r w:rsidRPr="00916AD6">
              <w:rPr>
                <w:rFonts w:eastAsia="SimSun"/>
              </w:rPr>
              <w:t>…above all, taking the shield of faith…and the helmet of salvation (vv.</w:t>
            </w:r>
            <w:r w:rsidR="009049DC">
              <w:rPr>
                <w:rFonts w:eastAsia="SimSun"/>
              </w:rPr>
              <w:t xml:space="preserve"> </w:t>
            </w:r>
            <w:r w:rsidRPr="00916AD6">
              <w:rPr>
                <w:rFonts w:eastAsia="SimSun"/>
              </w:rPr>
              <w:t>16,</w:t>
            </w:r>
            <w:r w:rsidR="009049DC">
              <w:rPr>
                <w:rFonts w:eastAsia="SimSun"/>
              </w:rPr>
              <w:t xml:space="preserve"> </w:t>
            </w:r>
            <w:r w:rsidRPr="00916AD6">
              <w:rPr>
                <w:rFonts w:eastAsia="SimSun"/>
              </w:rPr>
              <w:t>17)</w:t>
            </w:r>
          </w:p>
          <w:p w:rsidR="0001765C" w:rsidRPr="00916AD6" w:rsidRDefault="0001765C" w:rsidP="0001765C">
            <w:pPr>
              <w:rPr>
                <w:rFonts w:eastAsia="SimSun"/>
              </w:rPr>
            </w:pPr>
          </w:p>
        </w:tc>
        <w:tc>
          <w:tcPr>
            <w:tcW w:w="3686" w:type="dxa"/>
            <w:vAlign w:val="center"/>
          </w:tcPr>
          <w:p w:rsidR="0001765C" w:rsidRPr="00916AD6" w:rsidRDefault="0001765C" w:rsidP="0001765C">
            <w:pPr>
              <w:adjustRightInd w:val="0"/>
              <w:rPr>
                <w:rFonts w:eastAsia="SimSun"/>
              </w:rPr>
            </w:pPr>
            <w:r w:rsidRPr="00916AD6">
              <w:rPr>
                <w:rFonts w:eastAsia="SimSun"/>
              </w:rPr>
              <w:t>…protection by faith in the blood of the lamb (Ex</w:t>
            </w:r>
            <w:r w:rsidR="009049DC">
              <w:rPr>
                <w:rFonts w:eastAsia="SimSun"/>
              </w:rPr>
              <w:t>od</w:t>
            </w:r>
            <w:r w:rsidRPr="00916AD6">
              <w:rPr>
                <w:rFonts w:eastAsia="SimSun"/>
              </w:rPr>
              <w:t xml:space="preserve"> 12:23)</w:t>
            </w:r>
          </w:p>
        </w:tc>
      </w:tr>
    </w:tbl>
    <w:p w:rsidR="0001765C" w:rsidRPr="00916AD6" w:rsidRDefault="0001765C" w:rsidP="0001765C">
      <w:pPr>
        <w:rPr>
          <w:lang w:val="en-AU"/>
        </w:rPr>
      </w:pPr>
      <w:r w:rsidRPr="00916AD6">
        <w:rPr>
          <w:rFonts w:eastAsia="Calibri"/>
        </w:rPr>
        <w:lastRenderedPageBreak/>
        <w:t xml:space="preserve">Moses exhorted the </w:t>
      </w:r>
      <w:r w:rsidR="009049DC" w:rsidRPr="00916AD6">
        <w:rPr>
          <w:rFonts w:eastAsia="Calibri"/>
        </w:rPr>
        <w:t>Israelites</w:t>
      </w:r>
      <w:r w:rsidRPr="00916AD6">
        <w:rPr>
          <w:rFonts w:eastAsia="Calibri"/>
        </w:rPr>
        <w:t xml:space="preserve"> not to flee in the face of the enemy;</w:t>
      </w:r>
      <w:r w:rsidRPr="00916AD6">
        <w:rPr>
          <w:lang w:val="en-AU"/>
        </w:rPr>
        <w:t xml:space="preserve"> </w:t>
      </w:r>
      <w:r w:rsidR="000E2CE6">
        <w:rPr>
          <w:lang w:val="en-AU"/>
        </w:rPr>
        <w:t>“</w:t>
      </w:r>
      <w:r w:rsidRPr="00916AD6">
        <w:rPr>
          <w:lang w:val="en-AU"/>
        </w:rPr>
        <w:t xml:space="preserve">Do not be afraid. </w:t>
      </w:r>
      <w:r w:rsidRPr="00916AD6">
        <w:rPr>
          <w:u w:val="single"/>
          <w:lang w:val="en-AU"/>
        </w:rPr>
        <w:t>Stand still</w:t>
      </w:r>
      <w:r w:rsidRPr="00916AD6">
        <w:rPr>
          <w:lang w:val="en-AU"/>
        </w:rPr>
        <w:t>, and see the salvation of the L</w:t>
      </w:r>
      <w:r w:rsidR="009049DC">
        <w:rPr>
          <w:lang w:val="en-AU"/>
        </w:rPr>
        <w:t>ord</w:t>
      </w:r>
      <w:r w:rsidRPr="00916AD6">
        <w:rPr>
          <w:lang w:val="en-AU"/>
        </w:rPr>
        <w:t xml:space="preserve">, which </w:t>
      </w:r>
      <w:r w:rsidR="009049DC">
        <w:rPr>
          <w:lang w:val="en-AU"/>
        </w:rPr>
        <w:t>h</w:t>
      </w:r>
      <w:r w:rsidRPr="00916AD6">
        <w:rPr>
          <w:lang w:val="en-AU"/>
        </w:rPr>
        <w:t>e will accomplish for you today. For the Egyptians whom you see today, you shall see again no more forever</w:t>
      </w:r>
      <w:r w:rsidR="000E2CE6">
        <w:rPr>
          <w:lang w:val="en-AU"/>
        </w:rPr>
        <w:t>”</w:t>
      </w:r>
      <w:r w:rsidRPr="00916AD6">
        <w:rPr>
          <w:lang w:val="en-AU"/>
        </w:rPr>
        <w:t xml:space="preserve"> (Ex</w:t>
      </w:r>
      <w:r w:rsidR="009049DC">
        <w:rPr>
          <w:lang w:val="en-AU"/>
        </w:rPr>
        <w:t>od</w:t>
      </w:r>
      <w:r w:rsidRPr="00916AD6">
        <w:rPr>
          <w:lang w:val="en-AU"/>
        </w:rPr>
        <w:t xml:space="preserve"> 14:13)</w:t>
      </w:r>
      <w:r w:rsidR="009049DC" w:rsidRPr="00916AD6">
        <w:rPr>
          <w:lang w:val="en-AU"/>
        </w:rPr>
        <w:t>.</w:t>
      </w:r>
      <w:r w:rsidRPr="00916AD6">
        <w:rPr>
          <w:lang w:val="en-AU"/>
        </w:rPr>
        <w:t xml:space="preserve">  The Israelites who left Egypt only held </w:t>
      </w:r>
      <w:r w:rsidR="009049DC">
        <w:rPr>
          <w:lang w:val="en-AU"/>
        </w:rPr>
        <w:t xml:space="preserve">a </w:t>
      </w:r>
      <w:r w:rsidRPr="00916AD6">
        <w:rPr>
          <w:lang w:val="en-AU"/>
        </w:rPr>
        <w:t>staff in their hand</w:t>
      </w:r>
      <w:r w:rsidR="009049DC">
        <w:rPr>
          <w:lang w:val="en-AU"/>
        </w:rPr>
        <w:t>,</w:t>
      </w:r>
      <w:r w:rsidRPr="00916AD6">
        <w:rPr>
          <w:lang w:val="en-AU"/>
        </w:rPr>
        <w:t xml:space="preserve"> but </w:t>
      </w:r>
      <w:r w:rsidR="009049DC" w:rsidRPr="00916AD6">
        <w:rPr>
          <w:lang w:val="en-AU"/>
        </w:rPr>
        <w:t>Paul exhorts</w:t>
      </w:r>
      <w:r w:rsidRPr="00916AD6">
        <w:rPr>
          <w:lang w:val="en-AU"/>
        </w:rPr>
        <w:t xml:space="preserve"> readers to yield the </w:t>
      </w:r>
      <w:r w:rsidR="000E2CE6">
        <w:rPr>
          <w:lang w:val="en-AU"/>
        </w:rPr>
        <w:t>“</w:t>
      </w:r>
      <w:r w:rsidRPr="00916AD6">
        <w:rPr>
          <w:lang w:val="en-AU"/>
        </w:rPr>
        <w:t>sword of the Spirit, which is the word of God</w:t>
      </w:r>
      <w:r w:rsidR="000E2CE6">
        <w:rPr>
          <w:lang w:val="en-AU"/>
        </w:rPr>
        <w:t>”</w:t>
      </w:r>
      <w:r w:rsidRPr="00916AD6">
        <w:rPr>
          <w:lang w:val="en-AU"/>
        </w:rPr>
        <w:t xml:space="preserve"> (Eph</w:t>
      </w:r>
      <w:r w:rsidR="009049DC">
        <w:rPr>
          <w:lang w:val="en-AU"/>
        </w:rPr>
        <w:t xml:space="preserve"> </w:t>
      </w:r>
      <w:r w:rsidRPr="00916AD6">
        <w:rPr>
          <w:lang w:val="en-AU"/>
        </w:rPr>
        <w:t>6:17</w:t>
      </w:r>
      <w:r w:rsidR="009049DC">
        <w:rPr>
          <w:lang w:val="en-AU"/>
        </w:rPr>
        <w:t>;</w:t>
      </w:r>
      <w:r w:rsidRPr="00916AD6">
        <w:rPr>
          <w:lang w:val="en-AU"/>
        </w:rPr>
        <w:t xml:space="preserve"> cf.</w:t>
      </w:r>
      <w:r w:rsidR="009049DC">
        <w:rPr>
          <w:lang w:val="en-AU"/>
        </w:rPr>
        <w:t xml:space="preserve"> </w:t>
      </w:r>
      <w:r w:rsidRPr="00916AD6">
        <w:rPr>
          <w:lang w:val="en-AU"/>
        </w:rPr>
        <w:t>Heb</w:t>
      </w:r>
      <w:r w:rsidR="009049DC">
        <w:rPr>
          <w:lang w:val="en-AU"/>
        </w:rPr>
        <w:t xml:space="preserve"> </w:t>
      </w:r>
      <w:r w:rsidRPr="00916AD6">
        <w:rPr>
          <w:lang w:val="en-AU"/>
        </w:rPr>
        <w:t>4:12)</w:t>
      </w:r>
      <w:r w:rsidR="009049DC">
        <w:rPr>
          <w:lang w:val="en-AU"/>
        </w:rPr>
        <w:t>.</w:t>
      </w:r>
      <w:r w:rsidRPr="00916AD6">
        <w:rPr>
          <w:lang w:val="en-AU"/>
        </w:rPr>
        <w:t xml:space="preserve"> The shield of faith is divine protection (Gen</w:t>
      </w:r>
      <w:r w:rsidR="009049DC">
        <w:rPr>
          <w:lang w:val="en-AU"/>
        </w:rPr>
        <w:t xml:space="preserve"> </w:t>
      </w:r>
      <w:r w:rsidRPr="00916AD6">
        <w:rPr>
          <w:lang w:val="en-AU"/>
        </w:rPr>
        <w:t xml:space="preserve">15:1) afforded to those who have faith in the blood of the Passover Lamb (and who stay in the house). The </w:t>
      </w:r>
      <w:r w:rsidR="000E2CE6">
        <w:rPr>
          <w:lang w:val="en-AU"/>
        </w:rPr>
        <w:t>“</w:t>
      </w:r>
      <w:r w:rsidRPr="00916AD6">
        <w:rPr>
          <w:lang w:val="en-AU"/>
        </w:rPr>
        <w:t>whole armour</w:t>
      </w:r>
      <w:r w:rsidR="000E2CE6">
        <w:rPr>
          <w:lang w:val="en-AU"/>
        </w:rPr>
        <w:t>”</w:t>
      </w:r>
      <w:r w:rsidRPr="00916AD6">
        <w:rPr>
          <w:lang w:val="en-AU"/>
        </w:rPr>
        <w:t xml:space="preserve"> of God is described in Isa</w:t>
      </w:r>
      <w:r w:rsidR="00193419">
        <w:rPr>
          <w:lang w:val="en-AU"/>
        </w:rPr>
        <w:t xml:space="preserve"> </w:t>
      </w:r>
      <w:r w:rsidRPr="00916AD6">
        <w:rPr>
          <w:lang w:val="en-AU"/>
        </w:rPr>
        <w:t>59:17 and is based on the equipment of the high priest – breastplate, crown, ephod, girdle etc., and not the instruments of a Roman legionnaire.</w:t>
      </w:r>
    </w:p>
    <w:p w:rsidR="0001765C" w:rsidRPr="00916AD6" w:rsidRDefault="0001765C" w:rsidP="0001765C">
      <w:pPr>
        <w:rPr>
          <w:lang w:val="en-AU"/>
        </w:rPr>
      </w:pPr>
    </w:p>
    <w:p w:rsidR="0001765C" w:rsidRPr="00193419" w:rsidRDefault="0001765C" w:rsidP="0001765C">
      <w:pPr>
        <w:rPr>
          <w:rFonts w:ascii="Bradley Hand ITC" w:hAnsi="Bradley Hand ITC"/>
          <w:b/>
          <w:sz w:val="28"/>
          <w:lang w:val="en-AU"/>
        </w:rPr>
      </w:pPr>
      <w:r w:rsidRPr="00193419">
        <w:rPr>
          <w:rFonts w:ascii="Bradley Hand ITC" w:hAnsi="Bradley Hand ITC"/>
          <w:b/>
          <w:sz w:val="28"/>
          <w:lang w:val="en-AU"/>
        </w:rPr>
        <w:t>Conclusion</w:t>
      </w:r>
    </w:p>
    <w:p w:rsidR="0001765C" w:rsidRPr="00916AD6" w:rsidRDefault="0001765C" w:rsidP="0001765C">
      <w:pPr>
        <w:rPr>
          <w:i/>
          <w:lang w:val="en-AU"/>
        </w:rPr>
      </w:pPr>
      <w:r w:rsidRPr="00916AD6">
        <w:rPr>
          <w:lang w:val="en-AU"/>
        </w:rPr>
        <w:t>As usual Paul employs a complex intertextual weave of OT passages to convey his message. Indeed</w:t>
      </w:r>
      <w:r w:rsidR="00193419">
        <w:rPr>
          <w:lang w:val="en-AU"/>
        </w:rPr>
        <w:t>,</w:t>
      </w:r>
      <w:r w:rsidRPr="00916AD6">
        <w:rPr>
          <w:lang w:val="en-AU"/>
        </w:rPr>
        <w:t xml:space="preserve"> Paul writes many things that are hard to understand and they are often </w:t>
      </w:r>
      <w:r w:rsidR="000E2CE6">
        <w:rPr>
          <w:lang w:val="en-AU"/>
        </w:rPr>
        <w:t>“</w:t>
      </w:r>
      <w:r w:rsidRPr="00916AD6">
        <w:rPr>
          <w:lang w:val="en-AU"/>
        </w:rPr>
        <w:t>wrested</w:t>
      </w:r>
      <w:r w:rsidR="000E2CE6">
        <w:rPr>
          <w:lang w:val="en-AU"/>
        </w:rPr>
        <w:t>”</w:t>
      </w:r>
      <w:r w:rsidRPr="00916AD6">
        <w:rPr>
          <w:lang w:val="en-AU"/>
        </w:rPr>
        <w:t xml:space="preserve"> to the detriment of those who are perishing. Using a polyvalent approach</w:t>
      </w:r>
      <w:r w:rsidR="00193419">
        <w:rPr>
          <w:lang w:val="en-AU"/>
        </w:rPr>
        <w:t>,</w:t>
      </w:r>
      <w:r w:rsidRPr="00916AD6">
        <w:rPr>
          <w:lang w:val="en-AU"/>
        </w:rPr>
        <w:t xml:space="preserve"> Paul connects the Egyptian Passover deliverance, the Assyrian </w:t>
      </w:r>
      <w:r w:rsidR="00193419" w:rsidRPr="00916AD6">
        <w:rPr>
          <w:lang w:val="en-AU"/>
        </w:rPr>
        <w:t>(Passover?)</w:t>
      </w:r>
      <w:r w:rsidRPr="00916AD6">
        <w:rPr>
          <w:lang w:val="en-AU"/>
        </w:rPr>
        <w:t xml:space="preserve"> deliverance and Jacob</w:t>
      </w:r>
      <w:r w:rsidR="000E2CE6">
        <w:rPr>
          <w:lang w:val="en-AU"/>
        </w:rPr>
        <w:t>’</w:t>
      </w:r>
      <w:r w:rsidRPr="00916AD6">
        <w:rPr>
          <w:lang w:val="en-AU"/>
        </w:rPr>
        <w:t>s (Passover?) deliverance. His message is that our struggles against human adversaries, human circumstances or human institutions are sometimes a struggle against God himself. However, the power of the destroyer has been destroyed</w:t>
      </w:r>
      <w:r w:rsidR="00193419">
        <w:rPr>
          <w:lang w:val="en-AU"/>
        </w:rPr>
        <w:t xml:space="preserve">; </w:t>
      </w:r>
      <w:r w:rsidRPr="00916AD6">
        <w:rPr>
          <w:lang w:val="en-AU"/>
        </w:rPr>
        <w:t>his sway is no longer universal provided we put on Christ the Passover Lamb...w</w:t>
      </w:r>
      <w:r w:rsidR="00193419">
        <w:rPr>
          <w:lang w:val="en-AU"/>
        </w:rPr>
        <w:t xml:space="preserve">ho is the whole armour of God. </w:t>
      </w:r>
    </w:p>
    <w:p w:rsidR="0001765C" w:rsidRPr="00916AD6" w:rsidRDefault="0001765C" w:rsidP="0001765C"/>
    <w:p w:rsidR="0048421A" w:rsidRPr="0048421A" w:rsidRDefault="0048421A" w:rsidP="0048421A">
      <w:pPr>
        <w:jc w:val="center"/>
        <w:rPr>
          <w:rFonts w:ascii="Bradley Hand ITC" w:hAnsi="Bradley Hand ITC"/>
          <w:b/>
          <w:sz w:val="28"/>
        </w:rPr>
      </w:pPr>
      <w:r w:rsidRPr="0048421A">
        <w:rPr>
          <w:rFonts w:ascii="Bradley Hand ITC" w:hAnsi="Bradley Hand ITC"/>
          <w:b/>
          <w:sz w:val="28"/>
        </w:rPr>
        <w:t>The Unknown God</w:t>
      </w:r>
    </w:p>
    <w:p w:rsidR="0048421A" w:rsidRPr="0048421A" w:rsidRDefault="0048421A" w:rsidP="0048421A">
      <w:pPr>
        <w:jc w:val="center"/>
        <w:rPr>
          <w:rFonts w:ascii="Bradley Hand ITC" w:hAnsi="Bradley Hand ITC"/>
          <w:b/>
          <w:sz w:val="28"/>
        </w:rPr>
      </w:pPr>
      <w:r w:rsidRPr="0048421A">
        <w:rPr>
          <w:rFonts w:ascii="Bradley Hand ITC" w:hAnsi="Bradley Hand ITC"/>
          <w:b/>
          <w:sz w:val="28"/>
        </w:rPr>
        <w:t>P. Wyns</w:t>
      </w:r>
    </w:p>
    <w:p w:rsidR="0048421A" w:rsidRPr="003365C6" w:rsidRDefault="0048421A" w:rsidP="0048421A"/>
    <w:p w:rsidR="0048421A" w:rsidRPr="0048421A" w:rsidRDefault="0048421A" w:rsidP="0048421A">
      <w:pPr>
        <w:rPr>
          <w:rFonts w:ascii="Bradley Hand ITC" w:hAnsi="Bradley Hand ITC"/>
          <w:b/>
          <w:sz w:val="28"/>
        </w:rPr>
      </w:pPr>
      <w:r w:rsidRPr="0048421A">
        <w:rPr>
          <w:rFonts w:ascii="Bradley Hand ITC" w:hAnsi="Bradley Hand ITC"/>
          <w:b/>
          <w:sz w:val="28"/>
        </w:rPr>
        <w:t>Introduction</w:t>
      </w:r>
    </w:p>
    <w:p w:rsidR="0048421A" w:rsidRPr="003365C6" w:rsidRDefault="0048421A" w:rsidP="0048421A"/>
    <w:p w:rsidR="0048421A" w:rsidRPr="003365C6" w:rsidRDefault="0048421A" w:rsidP="0048421A">
      <w:pPr>
        <w:pStyle w:val="Quote"/>
      </w:pPr>
      <w:r w:rsidRPr="003365C6">
        <w:t>I appeared to Abraham, to Isaac, and to Jacob, as God Almighty (</w:t>
      </w:r>
      <w:r w:rsidRPr="003365C6">
        <w:rPr>
          <w:i/>
        </w:rPr>
        <w:t>El Shadday</w:t>
      </w:r>
      <w:r w:rsidRPr="003365C6">
        <w:t xml:space="preserve">), but </w:t>
      </w:r>
      <w:r w:rsidRPr="003365C6">
        <w:rPr>
          <w:i/>
          <w:iCs/>
        </w:rPr>
        <w:t xml:space="preserve">by </w:t>
      </w:r>
      <w:proofErr w:type="gramStart"/>
      <w:r w:rsidRPr="003365C6">
        <w:t>My</w:t>
      </w:r>
      <w:proofErr w:type="gramEnd"/>
      <w:r w:rsidRPr="003365C6">
        <w:t xml:space="preserve"> name L</w:t>
      </w:r>
      <w:r>
        <w:t>ord</w:t>
      </w:r>
      <w:r w:rsidRPr="003365C6">
        <w:t xml:space="preserve"> (</w:t>
      </w:r>
      <w:r w:rsidRPr="003365C6">
        <w:rPr>
          <w:i/>
        </w:rPr>
        <w:t>Yahweh</w:t>
      </w:r>
      <w:r w:rsidRPr="003365C6">
        <w:t>) I was</w:t>
      </w:r>
      <w:r w:rsidRPr="003365C6">
        <w:rPr>
          <w:u w:val="single"/>
        </w:rPr>
        <w:t xml:space="preserve"> not</w:t>
      </w:r>
      <w:r w:rsidRPr="003365C6">
        <w:t xml:space="preserve"> </w:t>
      </w:r>
      <w:r w:rsidRPr="003365C6">
        <w:rPr>
          <w:u w:val="single"/>
        </w:rPr>
        <w:t>known</w:t>
      </w:r>
      <w:r w:rsidRPr="003365C6">
        <w:t xml:space="preserve"> (</w:t>
      </w:r>
      <w:r w:rsidRPr="003365C6">
        <w:rPr>
          <w:i/>
          <w:iCs/>
        </w:rPr>
        <w:t>yd</w:t>
      </w:r>
      <w:r w:rsidR="000E2CE6">
        <w:rPr>
          <w:i/>
          <w:iCs/>
        </w:rPr>
        <w:t>’</w:t>
      </w:r>
      <w:r w:rsidRPr="003365C6">
        <w:t>)</w:t>
      </w:r>
      <w:r>
        <w:t xml:space="preserve"> to them</w:t>
      </w:r>
      <w:r w:rsidR="000E2CE6">
        <w:t>”</w:t>
      </w:r>
      <w:r>
        <w:t xml:space="preserve"> </w:t>
      </w:r>
      <w:r w:rsidRPr="003365C6">
        <w:t>Ex</w:t>
      </w:r>
      <w:r>
        <w:t>od</w:t>
      </w:r>
      <w:r w:rsidRPr="003365C6">
        <w:t xml:space="preserve"> 6:3 </w:t>
      </w:r>
      <w:r>
        <w:t>(</w:t>
      </w:r>
      <w:r w:rsidRPr="003365C6">
        <w:t>NKJ</w:t>
      </w:r>
      <w:r>
        <w:t>V</w:t>
      </w:r>
      <w:r w:rsidRPr="003365C6">
        <w:t>)</w:t>
      </w:r>
    </w:p>
    <w:p w:rsidR="0048421A" w:rsidRPr="003365C6" w:rsidRDefault="0048421A" w:rsidP="0048421A"/>
    <w:p w:rsidR="00391EA7" w:rsidRDefault="0048421A" w:rsidP="0048421A">
      <w:r>
        <w:t>Some of t</w:t>
      </w:r>
      <w:r w:rsidRPr="003365C6">
        <w:t xml:space="preserve">he weight of the </w:t>
      </w:r>
      <w:r w:rsidRPr="003365C6">
        <w:rPr>
          <w:b/>
        </w:rPr>
        <w:t>documentary hypothesis</w:t>
      </w:r>
      <w:r>
        <w:t xml:space="preserve"> has been hung on Exod</w:t>
      </w:r>
      <w:r w:rsidRPr="003365C6">
        <w:t xml:space="preserve"> 6:3 which supposedly suggests Patriarchal ignorance of the </w:t>
      </w:r>
      <w:r w:rsidRPr="003365C6">
        <w:rPr>
          <w:i/>
        </w:rPr>
        <w:t>Yahweh</w:t>
      </w:r>
      <w:r w:rsidRPr="003365C6">
        <w:t xml:space="preserve"> name. In a previous article the title </w:t>
      </w:r>
      <w:r w:rsidRPr="003365C6">
        <w:rPr>
          <w:i/>
        </w:rPr>
        <w:t>Shadday</w:t>
      </w:r>
      <w:r w:rsidRPr="003365C6">
        <w:t xml:space="preserve"> (translated </w:t>
      </w:r>
      <w:r w:rsidR="000E2CE6">
        <w:t>“</w:t>
      </w:r>
      <w:r w:rsidRPr="003365C6">
        <w:t>Almighty</w:t>
      </w:r>
      <w:r w:rsidR="000E2CE6">
        <w:t>”</w:t>
      </w:r>
      <w:r w:rsidRPr="003365C6">
        <w:t xml:space="preserve">) was examined and it was suggested in the conclusion that a tentative translation </w:t>
      </w:r>
      <w:r w:rsidRPr="003365C6">
        <w:lastRenderedPageBreak/>
        <w:t xml:space="preserve">for </w:t>
      </w:r>
      <w:r w:rsidRPr="003365C6">
        <w:rPr>
          <w:i/>
        </w:rPr>
        <w:t>El Shadday</w:t>
      </w:r>
      <w:r w:rsidRPr="003365C6">
        <w:t xml:space="preserve"> would be the </w:t>
      </w:r>
      <w:r w:rsidR="000E2CE6">
        <w:t>“</w:t>
      </w:r>
      <w:r w:rsidRPr="003365C6">
        <w:t xml:space="preserve">God who blesses </w:t>
      </w:r>
      <w:r>
        <w:t>(</w:t>
      </w:r>
      <w:r w:rsidRPr="003365C6">
        <w:t>with offspring</w:t>
      </w:r>
      <w:r>
        <w:t>)</w:t>
      </w:r>
      <w:r w:rsidRPr="003365C6">
        <w:t xml:space="preserve"> and </w:t>
      </w:r>
      <w:r>
        <w:t>nourishes</w:t>
      </w:r>
      <w:r w:rsidR="000E2CE6">
        <w:t>”</w:t>
      </w:r>
      <w:r>
        <w:t>.</w:t>
      </w:r>
      <w:r w:rsidRPr="003365C6">
        <w:rPr>
          <w:rStyle w:val="FootnoteReference"/>
        </w:rPr>
        <w:footnoteReference w:id="46"/>
      </w:r>
      <w:r w:rsidRPr="003365C6">
        <w:t xml:space="preserve">  The patriarchs knew God as </w:t>
      </w:r>
      <w:r w:rsidRPr="003365C6">
        <w:rPr>
          <w:i/>
        </w:rPr>
        <w:t>El Shadday</w:t>
      </w:r>
      <w:r w:rsidRPr="003365C6">
        <w:t xml:space="preserve"> but apparently they did not know God as </w:t>
      </w:r>
      <w:r w:rsidRPr="003365C6">
        <w:rPr>
          <w:i/>
        </w:rPr>
        <w:t>Yahweh</w:t>
      </w:r>
      <w:r w:rsidRPr="003365C6">
        <w:t xml:space="preserve">?  What does it mean to know God as </w:t>
      </w:r>
      <w:r w:rsidRPr="003365C6">
        <w:rPr>
          <w:i/>
        </w:rPr>
        <w:t>Yahweh</w:t>
      </w:r>
      <w:r w:rsidRPr="003365C6">
        <w:t>?</w:t>
      </w:r>
      <w:r w:rsidR="005E0D2B" w:rsidRPr="005E0D2B">
        <w:rPr>
          <w:rStyle w:val="FootnoteReference"/>
        </w:rPr>
        <w:t xml:space="preserve"> </w:t>
      </w:r>
      <w:r w:rsidR="005E0D2B" w:rsidRPr="003365C6">
        <w:rPr>
          <w:rStyle w:val="FootnoteReference"/>
        </w:rPr>
        <w:footnoteReference w:id="47"/>
      </w:r>
    </w:p>
    <w:p w:rsidR="0048421A" w:rsidRPr="003365C6" w:rsidRDefault="0048421A" w:rsidP="0048421A">
      <w:r w:rsidRPr="003365C6">
        <w:t xml:space="preserve">  </w:t>
      </w:r>
    </w:p>
    <w:p w:rsidR="0048421A" w:rsidRPr="00391EA7" w:rsidRDefault="0048421A" w:rsidP="00391EA7">
      <w:pPr>
        <w:rPr>
          <w:rFonts w:ascii="Bradley Hand ITC" w:hAnsi="Bradley Hand ITC"/>
          <w:b/>
          <w:sz w:val="28"/>
        </w:rPr>
      </w:pPr>
      <w:r w:rsidRPr="00391EA7">
        <w:rPr>
          <w:rFonts w:ascii="Bradley Hand ITC" w:hAnsi="Bradley Hand ITC"/>
          <w:b/>
          <w:sz w:val="28"/>
        </w:rPr>
        <w:t xml:space="preserve">Knowing and not </w:t>
      </w:r>
      <w:r w:rsidR="00391EA7">
        <w:rPr>
          <w:rFonts w:ascii="Bradley Hand ITC" w:hAnsi="Bradley Hand ITC"/>
          <w:b/>
          <w:sz w:val="28"/>
        </w:rPr>
        <w:t>K</w:t>
      </w:r>
      <w:r w:rsidRPr="00391EA7">
        <w:rPr>
          <w:rFonts w:ascii="Bradley Hand ITC" w:hAnsi="Bradley Hand ITC"/>
          <w:b/>
          <w:sz w:val="28"/>
        </w:rPr>
        <w:t>nowing</w:t>
      </w:r>
    </w:p>
    <w:p w:rsidR="0048421A" w:rsidRDefault="0048421A" w:rsidP="0048421A">
      <w:pPr>
        <w:rPr>
          <w:b/>
        </w:rPr>
      </w:pPr>
      <w:r w:rsidRPr="003365C6">
        <w:t xml:space="preserve">The irony of the Exodus situation is that the divine blessing of fertility implicit in the </w:t>
      </w:r>
      <w:r w:rsidRPr="003365C6">
        <w:rPr>
          <w:i/>
        </w:rPr>
        <w:t>El Shadday</w:t>
      </w:r>
      <w:r w:rsidRPr="003365C6">
        <w:t xml:space="preserve"> title is so abundant that it causes problems for the descendants of Abraham</w:t>
      </w:r>
      <w:r w:rsidR="00391EA7">
        <w:t>—</w:t>
      </w:r>
      <w:r w:rsidRPr="003365C6">
        <w:t xml:space="preserve">they become a vast multitude in the land of Egypt. This is perceived as a threat by the new Pharaoh as he did not </w:t>
      </w:r>
      <w:r w:rsidR="000E2CE6">
        <w:t>“</w:t>
      </w:r>
      <w:r w:rsidRPr="003365C6">
        <w:t>know</w:t>
      </w:r>
      <w:r w:rsidR="000E2CE6">
        <w:t>”</w:t>
      </w:r>
      <w:r w:rsidRPr="003365C6">
        <w:t xml:space="preserve"> Joseph.  This introduces another Exodus theme, namely, that of </w:t>
      </w:r>
      <w:r w:rsidRPr="003365C6">
        <w:rPr>
          <w:u w:val="single"/>
        </w:rPr>
        <w:t>knowing</w:t>
      </w:r>
      <w:r w:rsidRPr="003365C6">
        <w:t xml:space="preserve"> and </w:t>
      </w:r>
      <w:r w:rsidRPr="003365C6">
        <w:rPr>
          <w:u w:val="single"/>
        </w:rPr>
        <w:t>not knowing</w:t>
      </w:r>
      <w:r w:rsidRPr="00391EA7">
        <w:t>.</w:t>
      </w:r>
    </w:p>
    <w:p w:rsidR="00391EA7" w:rsidRPr="003365C6" w:rsidRDefault="00391EA7" w:rsidP="0048421A">
      <w:pPr>
        <w:rPr>
          <w:b/>
        </w:rPr>
      </w:pPr>
    </w:p>
    <w:p w:rsidR="0048421A" w:rsidRPr="003365C6" w:rsidRDefault="0048421A" w:rsidP="0048421A">
      <w:r w:rsidRPr="003365C6">
        <w:t>The new Pharaoh does not know Joseph (Ex</w:t>
      </w:r>
      <w:r w:rsidR="00391EA7">
        <w:t xml:space="preserve">od </w:t>
      </w:r>
      <w:r w:rsidRPr="003365C6">
        <w:t>1:8)</w:t>
      </w:r>
      <w:r w:rsidR="00391EA7">
        <w:t>,</w:t>
      </w:r>
      <w:r w:rsidRPr="003365C6">
        <w:t xml:space="preserve"> nor does he know Yahweh (Ex</w:t>
      </w:r>
      <w:r w:rsidR="00391EA7">
        <w:t xml:space="preserve">od </w:t>
      </w:r>
      <w:r w:rsidRPr="003365C6">
        <w:t>5:2). On the other hand</w:t>
      </w:r>
      <w:r w:rsidR="00391EA7">
        <w:t>,</w:t>
      </w:r>
      <w:r w:rsidRPr="003365C6">
        <w:t xml:space="preserve"> Yahweh knows Israel (Ex</w:t>
      </w:r>
      <w:r w:rsidR="00391EA7">
        <w:t xml:space="preserve">od </w:t>
      </w:r>
      <w:r w:rsidRPr="003365C6">
        <w:t>2:25) and knows their sorrows (Ex</w:t>
      </w:r>
      <w:r w:rsidR="00391EA7">
        <w:t xml:space="preserve">od </w:t>
      </w:r>
      <w:r w:rsidRPr="003365C6">
        <w:t>3:7)</w:t>
      </w:r>
      <w:r w:rsidR="00391EA7">
        <w:t>,</w:t>
      </w:r>
      <w:r w:rsidRPr="003365C6">
        <w:t xml:space="preserve"> and </w:t>
      </w:r>
      <w:r w:rsidR="00391EA7">
        <w:t xml:space="preserve">he also </w:t>
      </w:r>
      <w:r w:rsidRPr="003365C6">
        <w:t>knows Moses by name (Ex</w:t>
      </w:r>
      <w:r w:rsidR="00391EA7">
        <w:t xml:space="preserve">od </w:t>
      </w:r>
      <w:r w:rsidRPr="003365C6">
        <w:t>33:12, 17)</w:t>
      </w:r>
      <w:r w:rsidR="00391EA7">
        <w:t>,</w:t>
      </w:r>
      <w:r w:rsidRPr="003365C6">
        <w:t xml:space="preserve"> even though the name of Yahweh is (apparently) unknown (Ex</w:t>
      </w:r>
      <w:r w:rsidR="00391EA7">
        <w:t xml:space="preserve">od </w:t>
      </w:r>
      <w:r w:rsidRPr="003365C6">
        <w:t xml:space="preserve">6:3). However, the </w:t>
      </w:r>
      <w:r w:rsidR="00391EA7" w:rsidRPr="003365C6">
        <w:t>sal</w:t>
      </w:r>
      <w:r w:rsidR="00391EA7">
        <w:t>vi</w:t>
      </w:r>
      <w:r w:rsidR="00391EA7" w:rsidRPr="003365C6">
        <w:t>fic</w:t>
      </w:r>
      <w:r w:rsidRPr="003365C6">
        <w:t xml:space="preserve"> act that Yahweh is about to perform will make him known to both Israelites (Ex</w:t>
      </w:r>
      <w:r w:rsidR="00391EA7">
        <w:t xml:space="preserve">od </w:t>
      </w:r>
      <w:r w:rsidRPr="003365C6">
        <w:t>10:2) and Egyptians (Ex</w:t>
      </w:r>
      <w:r w:rsidR="00391EA7">
        <w:t xml:space="preserve">od </w:t>
      </w:r>
      <w:r w:rsidRPr="003365C6">
        <w:t xml:space="preserve">7:5). </w:t>
      </w:r>
    </w:p>
    <w:p w:rsidR="00391EA7" w:rsidRDefault="0048421A" w:rsidP="0048421A">
      <w:r w:rsidRPr="003365C6">
        <w:t xml:space="preserve">The key word is </w:t>
      </w:r>
      <w:r w:rsidRPr="003365C6">
        <w:rPr>
          <w:i/>
          <w:iCs/>
          <w:lang w:val="en-AU" w:eastAsia="en-AU"/>
        </w:rPr>
        <w:t>yd</w:t>
      </w:r>
      <w:r w:rsidR="000E2CE6">
        <w:rPr>
          <w:i/>
          <w:iCs/>
          <w:lang w:val="en-AU" w:eastAsia="en-AU"/>
        </w:rPr>
        <w:t>’</w:t>
      </w:r>
      <w:r w:rsidRPr="003365C6">
        <w:t xml:space="preserve"> (to know) a verb which, N</w:t>
      </w:r>
      <w:r w:rsidR="00391EA7">
        <w:t>.</w:t>
      </w:r>
      <w:r w:rsidRPr="003365C6">
        <w:t xml:space="preserve"> </w:t>
      </w:r>
      <w:r w:rsidR="00D2145C">
        <w:t xml:space="preserve">M. </w:t>
      </w:r>
      <w:r w:rsidRPr="003365C6">
        <w:t xml:space="preserve">Sarna points out, appears more than twenty times in the first fourteen chapters of Exodus: </w:t>
      </w:r>
    </w:p>
    <w:p w:rsidR="00391EA7" w:rsidRDefault="00391EA7" w:rsidP="0048421A"/>
    <w:p w:rsidR="00391EA7" w:rsidRDefault="0048421A" w:rsidP="00391EA7">
      <w:pPr>
        <w:pStyle w:val="Quote"/>
      </w:pPr>
      <w:r w:rsidRPr="003365C6">
        <w:lastRenderedPageBreak/>
        <w:t xml:space="preserve">The usual rendering, </w:t>
      </w:r>
      <w:r w:rsidR="000E2CE6">
        <w:t>“</w:t>
      </w:r>
      <w:r w:rsidRPr="003365C6">
        <w:t>to know,</w:t>
      </w:r>
      <w:r w:rsidR="000E2CE6">
        <w:t>”</w:t>
      </w:r>
      <w:r w:rsidRPr="003365C6">
        <w:t xml:space="preserve"> hardly does justice to the richness of its semantic range. In the biblical conception, knowledge is not essentially or even primarily rooted in the intellect and mental activity. Rather, it is more experiential and is embedded in the emotions, so that it may encompass such qualities as contact, intimacy, concern, relatedness, and mutuality. Conversely, not to know is synonymous with dissociation, indifference, alienation, and estrangement; it culminates in callous d</w:t>
      </w:r>
      <w:r w:rsidR="00391EA7">
        <w:t>isregard for another</w:t>
      </w:r>
      <w:r w:rsidR="000E2CE6">
        <w:t>’</w:t>
      </w:r>
      <w:r w:rsidR="00391EA7">
        <w:t>s humanity</w:t>
      </w:r>
      <w:r w:rsidRPr="003365C6">
        <w:t>.</w:t>
      </w:r>
      <w:r w:rsidRPr="003365C6">
        <w:rPr>
          <w:rStyle w:val="FootnoteReference"/>
        </w:rPr>
        <w:footnoteReference w:id="48"/>
      </w:r>
      <w:r w:rsidRPr="003365C6">
        <w:t xml:space="preserve"> </w:t>
      </w:r>
    </w:p>
    <w:p w:rsidR="00391EA7" w:rsidRDefault="00391EA7" w:rsidP="0048421A"/>
    <w:p w:rsidR="00025899" w:rsidRDefault="0048421A" w:rsidP="0048421A">
      <w:pPr>
        <w:rPr>
          <w:lang w:val="en-AU" w:eastAsia="en-AU"/>
        </w:rPr>
      </w:pPr>
      <w:r w:rsidRPr="003365C6">
        <w:t xml:space="preserve">In the </w:t>
      </w:r>
      <w:r w:rsidRPr="003365C6">
        <w:rPr>
          <w:i/>
        </w:rPr>
        <w:t>NIDOTTE</w:t>
      </w:r>
      <w:r w:rsidRPr="003365C6">
        <w:t xml:space="preserve"> entry for </w:t>
      </w:r>
      <w:r w:rsidRPr="003365C6">
        <w:rPr>
          <w:i/>
          <w:iCs/>
          <w:lang w:val="en-AU" w:eastAsia="en-AU"/>
        </w:rPr>
        <w:t>yd</w:t>
      </w:r>
      <w:r w:rsidR="000E2CE6">
        <w:rPr>
          <w:i/>
          <w:iCs/>
          <w:lang w:val="en-AU" w:eastAsia="en-AU"/>
        </w:rPr>
        <w:t>’</w:t>
      </w:r>
      <w:r w:rsidR="00025899">
        <w:t xml:space="preserve"> </w:t>
      </w:r>
      <w:r w:rsidRPr="003365C6">
        <w:rPr>
          <w:lang w:val="en-AU" w:eastAsia="en-AU"/>
        </w:rPr>
        <w:t>T</w:t>
      </w:r>
      <w:r w:rsidR="00D2145C">
        <w:rPr>
          <w:lang w:val="en-AU" w:eastAsia="en-AU"/>
        </w:rPr>
        <w:t>.</w:t>
      </w:r>
      <w:r w:rsidRPr="003365C6">
        <w:rPr>
          <w:lang w:val="en-AU" w:eastAsia="en-AU"/>
        </w:rPr>
        <w:t xml:space="preserve"> E. Fretheim points out the problem of </w:t>
      </w:r>
      <w:r w:rsidR="00025899">
        <w:rPr>
          <w:lang w:val="en-AU" w:eastAsia="en-AU"/>
        </w:rPr>
        <w:t>narrowing the term</w:t>
      </w:r>
      <w:r w:rsidR="000E2CE6">
        <w:rPr>
          <w:lang w:val="en-AU" w:eastAsia="en-AU"/>
        </w:rPr>
        <w:t>’</w:t>
      </w:r>
      <w:r w:rsidR="00025899">
        <w:rPr>
          <w:lang w:val="en-AU" w:eastAsia="en-AU"/>
        </w:rPr>
        <w:t>s definition:</w:t>
      </w:r>
      <w:r w:rsidRPr="003365C6">
        <w:rPr>
          <w:lang w:val="en-AU" w:eastAsia="en-AU"/>
        </w:rPr>
        <w:t xml:space="preserve"> </w:t>
      </w:r>
    </w:p>
    <w:p w:rsidR="00025899" w:rsidRDefault="00025899" w:rsidP="0048421A">
      <w:pPr>
        <w:rPr>
          <w:lang w:val="en-AU" w:eastAsia="en-AU"/>
        </w:rPr>
      </w:pPr>
    </w:p>
    <w:p w:rsidR="0048421A" w:rsidRPr="003365C6" w:rsidRDefault="0048421A" w:rsidP="00025899">
      <w:pPr>
        <w:pStyle w:val="Quote"/>
      </w:pPr>
      <w:r w:rsidRPr="003365C6">
        <w:t xml:space="preserve">The meanings of </w:t>
      </w:r>
      <w:r w:rsidRPr="003365C6">
        <w:rPr>
          <w:i/>
          <w:iCs/>
        </w:rPr>
        <w:t>yd</w:t>
      </w:r>
      <w:r w:rsidR="000E2CE6">
        <w:rPr>
          <w:i/>
          <w:iCs/>
        </w:rPr>
        <w:t>’</w:t>
      </w:r>
      <w:r w:rsidRPr="003365C6">
        <w:t xml:space="preserve"> are difficult to relate to one another. They range from sensory perception to intellectual process to practical skill to careful attention to close relationship to physical intimacy. The relation to other verbs in this semantic field is difficult (cf. the vbs. </w:t>
      </w:r>
      <w:r w:rsidR="00025899">
        <w:t>i</w:t>
      </w:r>
      <w:r w:rsidRPr="003365C6">
        <w:t xml:space="preserve">n Isa 6:9; 32:3-4; 41: 20; 44:18). It is probable that precision in nuancing is not to be sought in such words in isolation; only the context allows such distinctions to emerge. </w:t>
      </w:r>
      <w:proofErr w:type="gramStart"/>
      <w:r w:rsidRPr="003365C6">
        <w:t xml:space="preserve">In the broadest sense, </w:t>
      </w:r>
      <w:r w:rsidRPr="003365C6">
        <w:rPr>
          <w:i/>
          <w:iCs/>
        </w:rPr>
        <w:t>yd</w:t>
      </w:r>
      <w:r w:rsidR="000E2CE6">
        <w:rPr>
          <w:i/>
          <w:iCs/>
        </w:rPr>
        <w:t>’</w:t>
      </w:r>
      <w:r w:rsidRPr="003365C6">
        <w:t xml:space="preserve"> means to take various aspects of the world of one</w:t>
      </w:r>
      <w:r w:rsidR="000E2CE6">
        <w:t>’</w:t>
      </w:r>
      <w:r w:rsidRPr="003365C6">
        <w:t>s own experience into the self, including the resultant relationship with that which is known.</w:t>
      </w:r>
      <w:proofErr w:type="gramEnd"/>
      <w:r w:rsidRPr="003365C6">
        <w:t xml:space="preserve"> The fundamentally relational character of knowing (over against a narrow intellectual sense) can be discerned, not least in that both God and humans can be subject and object of the v</w:t>
      </w:r>
      <w:r w:rsidR="00025899">
        <w:t>erb.</w:t>
      </w:r>
      <w:r w:rsidRPr="003365C6">
        <w:rPr>
          <w:rStyle w:val="FootnoteReference"/>
          <w:lang w:val="en-AU" w:eastAsia="en-AU"/>
        </w:rPr>
        <w:footnoteReference w:id="49"/>
      </w:r>
      <w:r w:rsidRPr="003365C6">
        <w:t xml:space="preserve"> </w:t>
      </w:r>
    </w:p>
    <w:p w:rsidR="0048421A" w:rsidRPr="003365C6" w:rsidRDefault="0048421A" w:rsidP="0048421A"/>
    <w:p w:rsidR="0048421A" w:rsidRPr="00025899" w:rsidRDefault="00025899" w:rsidP="0048421A">
      <w:pPr>
        <w:rPr>
          <w:rFonts w:ascii="Bradley Hand ITC" w:hAnsi="Bradley Hand ITC"/>
          <w:b/>
          <w:sz w:val="28"/>
          <w:lang w:val="en-AU"/>
        </w:rPr>
      </w:pPr>
      <w:r>
        <w:rPr>
          <w:rFonts w:ascii="Bradley Hand ITC" w:hAnsi="Bradley Hand ITC"/>
          <w:b/>
          <w:sz w:val="28"/>
          <w:lang w:val="en-AU"/>
        </w:rPr>
        <w:t>The C</w:t>
      </w:r>
      <w:r w:rsidR="0048421A" w:rsidRPr="00025899">
        <w:rPr>
          <w:rFonts w:ascii="Bradley Hand ITC" w:hAnsi="Bradley Hand ITC"/>
          <w:b/>
          <w:sz w:val="28"/>
          <w:lang w:val="en-AU"/>
        </w:rPr>
        <w:t>ontext of Exodus 6:3</w:t>
      </w:r>
    </w:p>
    <w:p w:rsidR="0048421A" w:rsidRPr="003365C6" w:rsidRDefault="0048421A" w:rsidP="0048421A">
      <w:pPr>
        <w:rPr>
          <w:lang w:val="en-AU"/>
        </w:rPr>
      </w:pPr>
      <w:r w:rsidRPr="003365C6">
        <w:rPr>
          <w:lang w:val="en-AU"/>
        </w:rPr>
        <w:t xml:space="preserve">The context of Exod 6:3 is an accusation by the people of Israel shared with Moses that mention of </w:t>
      </w:r>
      <w:r w:rsidRPr="003365C6">
        <w:rPr>
          <w:u w:val="single"/>
          <w:lang w:val="en-AU"/>
        </w:rPr>
        <w:t>the name of Yahweh</w:t>
      </w:r>
      <w:r w:rsidRPr="003365C6">
        <w:rPr>
          <w:lang w:val="en-AU"/>
        </w:rPr>
        <w:t xml:space="preserve"> to Pharaoh has not had the desired effect</w:t>
      </w:r>
      <w:r w:rsidR="0027648A">
        <w:rPr>
          <w:lang w:val="en-AU"/>
        </w:rPr>
        <w:t>—</w:t>
      </w:r>
      <w:r w:rsidRPr="003365C6">
        <w:rPr>
          <w:lang w:val="en-AU"/>
        </w:rPr>
        <w:t>in fact the opposite is true</w:t>
      </w:r>
      <w:r w:rsidR="0027648A">
        <w:rPr>
          <w:lang w:val="en-AU"/>
        </w:rPr>
        <w:t>;</w:t>
      </w:r>
      <w:r w:rsidRPr="003365C6">
        <w:rPr>
          <w:lang w:val="en-AU"/>
        </w:rPr>
        <w:t xml:space="preserve"> demand by Yahweh to free the people had only worsened matters.  The name Yahweh had brought evil on the people and increased Pharaoh</w:t>
      </w:r>
      <w:r w:rsidR="000E2CE6">
        <w:rPr>
          <w:lang w:val="en-AU"/>
        </w:rPr>
        <w:t>’</w:t>
      </w:r>
      <w:r w:rsidRPr="003365C6">
        <w:rPr>
          <w:lang w:val="en-AU"/>
        </w:rPr>
        <w:t xml:space="preserve">s intransigence. The documentary </w:t>
      </w:r>
      <w:r w:rsidRPr="003365C6">
        <w:rPr>
          <w:lang w:val="en-AU"/>
        </w:rPr>
        <w:lastRenderedPageBreak/>
        <w:t>hypothesis treats Exod 6:3 as a duplication of Exod 3:14</w:t>
      </w:r>
      <w:r w:rsidR="0027648A">
        <w:rPr>
          <w:lang w:val="en-AU"/>
        </w:rPr>
        <w:t>;</w:t>
      </w:r>
      <w:r w:rsidRPr="003365C6">
        <w:rPr>
          <w:lang w:val="en-AU"/>
        </w:rPr>
        <w:t xml:space="preserve"> in other words as a revelation of the divine name when it is actually a </w:t>
      </w:r>
      <w:r w:rsidRPr="003365C6">
        <w:rPr>
          <w:b/>
          <w:lang w:val="en-AU"/>
        </w:rPr>
        <w:t>response to an accusation but framed as a covenant.</w:t>
      </w:r>
      <w:r w:rsidRPr="003365C6">
        <w:t xml:space="preserve"> </w:t>
      </w:r>
      <w:r w:rsidRPr="003365C6">
        <w:rPr>
          <w:lang w:val="en-AU"/>
        </w:rPr>
        <w:t>R</w:t>
      </w:r>
      <w:r w:rsidR="0027648A">
        <w:rPr>
          <w:lang w:val="en-AU"/>
        </w:rPr>
        <w:t>.</w:t>
      </w:r>
      <w:r w:rsidRPr="003365C6">
        <w:rPr>
          <w:lang w:val="en-AU"/>
        </w:rPr>
        <w:t xml:space="preserve"> Rendtorff </w:t>
      </w:r>
      <w:r w:rsidRPr="003365C6">
        <w:rPr>
          <w:rStyle w:val="FootnoteReference"/>
          <w:lang w:val="en-AU"/>
        </w:rPr>
        <w:footnoteReference w:id="50"/>
      </w:r>
      <w:r w:rsidRPr="003365C6">
        <w:rPr>
          <w:lang w:val="en-AU"/>
        </w:rPr>
        <w:t xml:space="preserve"> identifies the following structural elements in Ex</w:t>
      </w:r>
      <w:r w:rsidR="0027648A">
        <w:rPr>
          <w:lang w:val="en-AU"/>
        </w:rPr>
        <w:t xml:space="preserve">od </w:t>
      </w:r>
      <w:r w:rsidRPr="003365C6">
        <w:rPr>
          <w:lang w:val="en-AU"/>
        </w:rPr>
        <w:t>6:2-8:</w:t>
      </w:r>
    </w:p>
    <w:p w:rsidR="0048421A" w:rsidRPr="003365C6" w:rsidRDefault="0048421A" w:rsidP="0048421A">
      <w:pPr>
        <w:rPr>
          <w:lang w:val="en-A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19"/>
        <w:gridCol w:w="3685"/>
      </w:tblGrid>
      <w:tr w:rsidR="0048421A" w:rsidRPr="003365C6" w:rsidTr="0027648A">
        <w:tc>
          <w:tcPr>
            <w:tcW w:w="2158" w:type="dxa"/>
          </w:tcPr>
          <w:p w:rsidR="0048421A" w:rsidRPr="003365C6" w:rsidRDefault="0048421A" w:rsidP="00E41A3C">
            <w:pPr>
              <w:spacing w:line="360" w:lineRule="auto"/>
              <w:rPr>
                <w:lang w:val="en-AU"/>
              </w:rPr>
            </w:pPr>
            <w:r w:rsidRPr="003365C6">
              <w:rPr>
                <w:lang w:val="en-AU"/>
              </w:rPr>
              <w:t>Self-introductory formula</w:t>
            </w:r>
          </w:p>
        </w:tc>
        <w:tc>
          <w:tcPr>
            <w:tcW w:w="819" w:type="dxa"/>
          </w:tcPr>
          <w:p w:rsidR="0048421A" w:rsidRPr="003365C6" w:rsidRDefault="0048421A" w:rsidP="00E41A3C">
            <w:pPr>
              <w:spacing w:line="360" w:lineRule="auto"/>
              <w:rPr>
                <w:b/>
                <w:lang w:val="en-AU"/>
              </w:rPr>
            </w:pPr>
            <w:r w:rsidRPr="003365C6">
              <w:rPr>
                <w:b/>
                <w:lang w:val="en-AU"/>
              </w:rPr>
              <w:t>v.</w:t>
            </w:r>
            <w:r w:rsidR="0027648A">
              <w:rPr>
                <w:b/>
                <w:lang w:val="en-AU"/>
              </w:rPr>
              <w:t xml:space="preserve"> </w:t>
            </w:r>
            <w:r w:rsidRPr="003365C6">
              <w:rPr>
                <w:b/>
                <w:lang w:val="en-AU"/>
              </w:rPr>
              <w:t>2</w:t>
            </w:r>
            <w:r w:rsidRPr="003365C6">
              <w:rPr>
                <w:lang w:val="en-AU"/>
              </w:rPr>
              <w:t xml:space="preserve">          </w:t>
            </w:r>
          </w:p>
        </w:tc>
        <w:tc>
          <w:tcPr>
            <w:tcW w:w="3685" w:type="dxa"/>
          </w:tcPr>
          <w:p w:rsidR="0048421A" w:rsidRPr="003365C6" w:rsidRDefault="0048421A" w:rsidP="00E41A3C">
            <w:pPr>
              <w:spacing w:line="360" w:lineRule="auto"/>
              <w:rPr>
                <w:lang w:val="en-AU"/>
              </w:rPr>
            </w:pPr>
            <w:r w:rsidRPr="003365C6">
              <w:rPr>
                <w:lang w:val="en-AU"/>
              </w:rPr>
              <w:t>I am Yahweh</w:t>
            </w:r>
          </w:p>
        </w:tc>
      </w:tr>
      <w:tr w:rsidR="0048421A" w:rsidRPr="003365C6" w:rsidTr="0027648A">
        <w:tc>
          <w:tcPr>
            <w:tcW w:w="2158" w:type="dxa"/>
          </w:tcPr>
          <w:p w:rsidR="0048421A" w:rsidRPr="003365C6" w:rsidRDefault="0048421A" w:rsidP="00E41A3C">
            <w:pPr>
              <w:spacing w:line="360" w:lineRule="auto"/>
              <w:rPr>
                <w:lang w:val="en-AU"/>
              </w:rPr>
            </w:pPr>
            <w:r w:rsidRPr="003365C6">
              <w:rPr>
                <w:lang w:val="en-AU"/>
              </w:rPr>
              <w:t>Parallel statements</w:t>
            </w:r>
          </w:p>
        </w:tc>
        <w:tc>
          <w:tcPr>
            <w:tcW w:w="819" w:type="dxa"/>
          </w:tcPr>
          <w:p w:rsidR="0048421A" w:rsidRPr="003365C6" w:rsidRDefault="0048421A" w:rsidP="00E41A3C">
            <w:pPr>
              <w:spacing w:line="360" w:lineRule="auto"/>
              <w:rPr>
                <w:lang w:val="en-AU"/>
              </w:rPr>
            </w:pPr>
            <w:r w:rsidRPr="003365C6">
              <w:rPr>
                <w:b/>
                <w:lang w:val="en-AU"/>
              </w:rPr>
              <w:t>v.</w:t>
            </w:r>
            <w:r w:rsidR="0027648A">
              <w:rPr>
                <w:b/>
                <w:lang w:val="en-AU"/>
              </w:rPr>
              <w:t xml:space="preserve"> </w:t>
            </w:r>
            <w:r w:rsidRPr="003365C6">
              <w:rPr>
                <w:b/>
                <w:lang w:val="en-AU"/>
              </w:rPr>
              <w:t>4</w:t>
            </w:r>
            <w:r w:rsidRPr="003365C6">
              <w:rPr>
                <w:lang w:val="en-AU"/>
              </w:rPr>
              <w:t xml:space="preserve">          </w:t>
            </w:r>
          </w:p>
          <w:p w:rsidR="0048421A" w:rsidRPr="003365C6" w:rsidRDefault="0048421A" w:rsidP="00E41A3C">
            <w:pPr>
              <w:spacing w:line="360" w:lineRule="auto"/>
              <w:rPr>
                <w:b/>
                <w:lang w:val="en-AU"/>
              </w:rPr>
            </w:pPr>
            <w:r w:rsidRPr="003365C6">
              <w:rPr>
                <w:b/>
                <w:lang w:val="en-AU"/>
              </w:rPr>
              <w:t>v.</w:t>
            </w:r>
            <w:r w:rsidR="0027648A">
              <w:rPr>
                <w:b/>
                <w:lang w:val="en-AU"/>
              </w:rPr>
              <w:t xml:space="preserve"> </w:t>
            </w:r>
            <w:r w:rsidRPr="003365C6">
              <w:rPr>
                <w:b/>
                <w:lang w:val="en-AU"/>
              </w:rPr>
              <w:t xml:space="preserve">5      </w:t>
            </w:r>
            <w:r w:rsidRPr="003365C6">
              <w:rPr>
                <w:lang w:val="en-AU"/>
              </w:rPr>
              <w:t xml:space="preserve">    </w:t>
            </w:r>
          </w:p>
        </w:tc>
        <w:tc>
          <w:tcPr>
            <w:tcW w:w="3685" w:type="dxa"/>
          </w:tcPr>
          <w:p w:rsidR="0048421A" w:rsidRPr="003365C6" w:rsidRDefault="0048421A" w:rsidP="00E41A3C">
            <w:pPr>
              <w:spacing w:line="360" w:lineRule="auto"/>
              <w:rPr>
                <w:lang w:val="en-AU"/>
              </w:rPr>
            </w:pPr>
            <w:r w:rsidRPr="003365C6">
              <w:rPr>
                <w:b/>
                <w:lang w:val="en-AU"/>
              </w:rPr>
              <w:t>and also</w:t>
            </w:r>
            <w:r w:rsidRPr="003365C6">
              <w:rPr>
                <w:lang w:val="en-AU"/>
              </w:rPr>
              <w:t xml:space="preserve"> established My covenant with them </w:t>
            </w:r>
          </w:p>
          <w:p w:rsidR="0048421A" w:rsidRPr="003365C6" w:rsidRDefault="0048421A" w:rsidP="00E41A3C">
            <w:pPr>
              <w:spacing w:line="360" w:lineRule="auto"/>
              <w:rPr>
                <w:lang w:val="en-AU"/>
              </w:rPr>
            </w:pPr>
            <w:proofErr w:type="gramStart"/>
            <w:r w:rsidRPr="003365C6">
              <w:rPr>
                <w:b/>
                <w:lang w:val="en-AU"/>
              </w:rPr>
              <w:t>and</w:t>
            </w:r>
            <w:proofErr w:type="gramEnd"/>
            <w:r w:rsidRPr="003365C6">
              <w:rPr>
                <w:b/>
                <w:lang w:val="en-AU"/>
              </w:rPr>
              <w:t xml:space="preserve"> also</w:t>
            </w:r>
            <w:r w:rsidRPr="003365C6">
              <w:rPr>
                <w:lang w:val="en-AU"/>
              </w:rPr>
              <w:t>.....</w:t>
            </w:r>
            <w:r w:rsidRPr="003365C6">
              <w:rPr>
                <w:rFonts w:ascii="Arial" w:hAnsi="Arial"/>
                <w:lang w:val="en-AU"/>
              </w:rPr>
              <w:t xml:space="preserve"> </w:t>
            </w:r>
            <w:r w:rsidRPr="003365C6">
              <w:rPr>
                <w:lang w:val="en-AU"/>
              </w:rPr>
              <w:t>have remembered My covenant</w:t>
            </w:r>
          </w:p>
        </w:tc>
      </w:tr>
      <w:tr w:rsidR="0048421A" w:rsidRPr="003365C6" w:rsidTr="0027648A">
        <w:tc>
          <w:tcPr>
            <w:tcW w:w="2158" w:type="dxa"/>
          </w:tcPr>
          <w:p w:rsidR="0048421A" w:rsidRPr="003365C6" w:rsidRDefault="0048421A" w:rsidP="00E41A3C">
            <w:pPr>
              <w:spacing w:line="360" w:lineRule="auto"/>
              <w:rPr>
                <w:lang w:val="en-AU"/>
              </w:rPr>
            </w:pPr>
            <w:r w:rsidRPr="003365C6">
              <w:rPr>
                <w:lang w:val="en-AU"/>
              </w:rPr>
              <w:t>Covenant formula</w:t>
            </w:r>
          </w:p>
        </w:tc>
        <w:tc>
          <w:tcPr>
            <w:tcW w:w="819" w:type="dxa"/>
          </w:tcPr>
          <w:p w:rsidR="0048421A" w:rsidRPr="003365C6" w:rsidRDefault="0048421A" w:rsidP="00E41A3C">
            <w:pPr>
              <w:spacing w:line="360" w:lineRule="auto"/>
              <w:rPr>
                <w:b/>
                <w:lang w:val="en-AU"/>
              </w:rPr>
            </w:pPr>
            <w:r w:rsidRPr="003365C6">
              <w:rPr>
                <w:b/>
                <w:lang w:val="en-AU"/>
              </w:rPr>
              <w:t>v.</w:t>
            </w:r>
            <w:r w:rsidR="0027648A">
              <w:rPr>
                <w:b/>
                <w:lang w:val="en-AU"/>
              </w:rPr>
              <w:t xml:space="preserve"> </w:t>
            </w:r>
            <w:r w:rsidRPr="003365C6">
              <w:rPr>
                <w:b/>
                <w:lang w:val="en-AU"/>
              </w:rPr>
              <w:t>7a</w:t>
            </w:r>
            <w:r w:rsidRPr="003365C6">
              <w:rPr>
                <w:lang w:val="en-AU"/>
              </w:rPr>
              <w:t xml:space="preserve">     </w:t>
            </w:r>
          </w:p>
        </w:tc>
        <w:tc>
          <w:tcPr>
            <w:tcW w:w="3685" w:type="dxa"/>
          </w:tcPr>
          <w:p w:rsidR="0048421A" w:rsidRPr="003365C6" w:rsidRDefault="0048421A" w:rsidP="00E41A3C">
            <w:pPr>
              <w:spacing w:line="360" w:lineRule="auto"/>
              <w:rPr>
                <w:lang w:val="en-AU"/>
              </w:rPr>
            </w:pPr>
            <w:r w:rsidRPr="003365C6">
              <w:rPr>
                <w:lang w:val="en-AU"/>
              </w:rPr>
              <w:t>I will take you for my people and will be God for you</w:t>
            </w:r>
          </w:p>
        </w:tc>
      </w:tr>
      <w:tr w:rsidR="0048421A" w:rsidRPr="003365C6" w:rsidTr="0027648A">
        <w:tc>
          <w:tcPr>
            <w:tcW w:w="2158" w:type="dxa"/>
          </w:tcPr>
          <w:p w:rsidR="0048421A" w:rsidRPr="003365C6" w:rsidRDefault="0048421A" w:rsidP="00E41A3C">
            <w:pPr>
              <w:spacing w:line="360" w:lineRule="auto"/>
              <w:rPr>
                <w:lang w:val="en-AU"/>
              </w:rPr>
            </w:pPr>
            <w:r w:rsidRPr="003365C6">
              <w:rPr>
                <w:lang w:val="en-AU"/>
              </w:rPr>
              <w:t>Recognition formula</w:t>
            </w:r>
          </w:p>
        </w:tc>
        <w:tc>
          <w:tcPr>
            <w:tcW w:w="819" w:type="dxa"/>
          </w:tcPr>
          <w:p w:rsidR="0048421A" w:rsidRPr="003365C6" w:rsidRDefault="0048421A" w:rsidP="00E41A3C">
            <w:pPr>
              <w:spacing w:line="360" w:lineRule="auto"/>
              <w:rPr>
                <w:b/>
                <w:lang w:val="en-AU"/>
              </w:rPr>
            </w:pPr>
            <w:r w:rsidRPr="003365C6">
              <w:rPr>
                <w:b/>
                <w:lang w:val="en-AU"/>
              </w:rPr>
              <w:t>v.</w:t>
            </w:r>
            <w:r w:rsidR="0027648A">
              <w:rPr>
                <w:b/>
                <w:lang w:val="en-AU"/>
              </w:rPr>
              <w:t xml:space="preserve"> </w:t>
            </w:r>
            <w:r w:rsidRPr="003365C6">
              <w:rPr>
                <w:b/>
                <w:lang w:val="en-AU"/>
              </w:rPr>
              <w:t>7b</w:t>
            </w:r>
          </w:p>
        </w:tc>
        <w:tc>
          <w:tcPr>
            <w:tcW w:w="3685" w:type="dxa"/>
          </w:tcPr>
          <w:p w:rsidR="0048421A" w:rsidRPr="003365C6" w:rsidRDefault="0048421A" w:rsidP="00E41A3C">
            <w:pPr>
              <w:spacing w:line="360" w:lineRule="auto"/>
              <w:rPr>
                <w:lang w:val="en-AU"/>
              </w:rPr>
            </w:pPr>
            <w:r w:rsidRPr="003365C6">
              <w:rPr>
                <w:lang w:val="en-AU"/>
              </w:rPr>
              <w:t>Then you shall know that I am Yahweh your God</w:t>
            </w:r>
          </w:p>
        </w:tc>
      </w:tr>
      <w:tr w:rsidR="0048421A" w:rsidRPr="003365C6" w:rsidTr="0027648A">
        <w:tc>
          <w:tcPr>
            <w:tcW w:w="2158" w:type="dxa"/>
          </w:tcPr>
          <w:p w:rsidR="0048421A" w:rsidRPr="003365C6" w:rsidRDefault="0048421A" w:rsidP="00E41A3C">
            <w:pPr>
              <w:spacing w:line="360" w:lineRule="auto"/>
              <w:rPr>
                <w:lang w:val="en-AU"/>
              </w:rPr>
            </w:pPr>
            <w:r w:rsidRPr="003365C6">
              <w:rPr>
                <w:lang w:val="en-AU"/>
              </w:rPr>
              <w:t>Self-introductory formula</w:t>
            </w:r>
          </w:p>
        </w:tc>
        <w:tc>
          <w:tcPr>
            <w:tcW w:w="819" w:type="dxa"/>
          </w:tcPr>
          <w:p w:rsidR="0048421A" w:rsidRPr="003365C6" w:rsidRDefault="0048421A" w:rsidP="00E41A3C">
            <w:pPr>
              <w:spacing w:line="360" w:lineRule="auto"/>
              <w:rPr>
                <w:b/>
                <w:lang w:val="en-AU"/>
              </w:rPr>
            </w:pPr>
            <w:r w:rsidRPr="003365C6">
              <w:rPr>
                <w:b/>
                <w:lang w:val="en-AU"/>
              </w:rPr>
              <w:t>v.</w:t>
            </w:r>
            <w:r w:rsidR="0027648A">
              <w:rPr>
                <w:b/>
                <w:lang w:val="en-AU"/>
              </w:rPr>
              <w:t xml:space="preserve"> </w:t>
            </w:r>
            <w:r w:rsidRPr="003365C6">
              <w:rPr>
                <w:b/>
                <w:lang w:val="en-AU"/>
              </w:rPr>
              <w:t xml:space="preserve">6            </w:t>
            </w:r>
            <w:r w:rsidRPr="003365C6">
              <w:rPr>
                <w:lang w:val="en-AU"/>
              </w:rPr>
              <w:t xml:space="preserve"> </w:t>
            </w:r>
          </w:p>
        </w:tc>
        <w:tc>
          <w:tcPr>
            <w:tcW w:w="3685" w:type="dxa"/>
          </w:tcPr>
          <w:p w:rsidR="0048421A" w:rsidRPr="003365C6" w:rsidRDefault="0048421A" w:rsidP="00E41A3C">
            <w:pPr>
              <w:spacing w:line="360" w:lineRule="auto"/>
              <w:rPr>
                <w:lang w:val="en-AU"/>
              </w:rPr>
            </w:pPr>
            <w:r w:rsidRPr="003365C6">
              <w:rPr>
                <w:lang w:val="en-AU"/>
              </w:rPr>
              <w:t>I am Yahweh</w:t>
            </w:r>
          </w:p>
        </w:tc>
      </w:tr>
      <w:tr w:rsidR="0048421A" w:rsidRPr="003365C6" w:rsidTr="0027648A">
        <w:tc>
          <w:tcPr>
            <w:tcW w:w="2158" w:type="dxa"/>
          </w:tcPr>
          <w:p w:rsidR="0048421A" w:rsidRPr="003365C6" w:rsidRDefault="0048421A" w:rsidP="00E41A3C">
            <w:pPr>
              <w:spacing w:line="360" w:lineRule="auto"/>
              <w:rPr>
                <w:lang w:val="en-AU"/>
              </w:rPr>
            </w:pPr>
            <w:r w:rsidRPr="003365C6">
              <w:rPr>
                <w:lang w:val="en-AU"/>
              </w:rPr>
              <w:t>Self-introductory formula</w:t>
            </w:r>
          </w:p>
        </w:tc>
        <w:tc>
          <w:tcPr>
            <w:tcW w:w="819" w:type="dxa"/>
          </w:tcPr>
          <w:p w:rsidR="0048421A" w:rsidRPr="003365C6" w:rsidRDefault="0048421A" w:rsidP="00E41A3C">
            <w:pPr>
              <w:spacing w:line="360" w:lineRule="auto"/>
              <w:rPr>
                <w:b/>
                <w:lang w:val="en-AU"/>
              </w:rPr>
            </w:pPr>
            <w:r w:rsidRPr="003365C6">
              <w:rPr>
                <w:b/>
                <w:lang w:val="en-AU"/>
              </w:rPr>
              <w:t>v.</w:t>
            </w:r>
            <w:r w:rsidR="0027648A">
              <w:rPr>
                <w:b/>
                <w:lang w:val="en-AU"/>
              </w:rPr>
              <w:t xml:space="preserve"> </w:t>
            </w:r>
            <w:r w:rsidRPr="003365C6">
              <w:rPr>
                <w:b/>
                <w:lang w:val="en-AU"/>
              </w:rPr>
              <w:t>8</w:t>
            </w:r>
            <w:r w:rsidRPr="003365C6">
              <w:rPr>
                <w:lang w:val="en-AU"/>
              </w:rPr>
              <w:t xml:space="preserve">             </w:t>
            </w:r>
          </w:p>
        </w:tc>
        <w:tc>
          <w:tcPr>
            <w:tcW w:w="3685" w:type="dxa"/>
          </w:tcPr>
          <w:p w:rsidR="0048421A" w:rsidRPr="003365C6" w:rsidRDefault="0048421A" w:rsidP="00E41A3C">
            <w:pPr>
              <w:spacing w:line="360" w:lineRule="auto"/>
              <w:rPr>
                <w:lang w:val="en-AU"/>
              </w:rPr>
            </w:pPr>
            <w:r w:rsidRPr="003365C6">
              <w:rPr>
                <w:lang w:val="en-AU"/>
              </w:rPr>
              <w:t>I am Yahweh</w:t>
            </w:r>
          </w:p>
        </w:tc>
      </w:tr>
    </w:tbl>
    <w:p w:rsidR="0048421A" w:rsidRPr="003365C6" w:rsidRDefault="0048421A" w:rsidP="0048421A">
      <w:pPr>
        <w:rPr>
          <w:lang w:val="en-AU"/>
        </w:rPr>
      </w:pPr>
    </w:p>
    <w:p w:rsidR="0048421A" w:rsidRPr="003365C6" w:rsidRDefault="0048421A" w:rsidP="0048421A">
      <w:pPr>
        <w:rPr>
          <w:lang w:val="en-AU"/>
        </w:rPr>
      </w:pPr>
      <w:r w:rsidRPr="003365C6">
        <w:rPr>
          <w:lang w:val="en-AU"/>
        </w:rPr>
        <w:t>Interestingly, Rendtorff observes (p.</w:t>
      </w:r>
      <w:r w:rsidR="0027648A">
        <w:rPr>
          <w:lang w:val="en-AU"/>
        </w:rPr>
        <w:t xml:space="preserve"> </w:t>
      </w:r>
      <w:r w:rsidRPr="003365C6">
        <w:rPr>
          <w:lang w:val="en-AU"/>
        </w:rPr>
        <w:t xml:space="preserve">15) that the </w:t>
      </w:r>
      <w:r w:rsidR="000E2CE6">
        <w:rPr>
          <w:lang w:val="en-AU"/>
        </w:rPr>
        <w:t>‘</w:t>
      </w:r>
      <w:r w:rsidRPr="003365C6">
        <w:rPr>
          <w:lang w:val="en-AU"/>
        </w:rPr>
        <w:t>self-introductory formula</w:t>
      </w:r>
      <w:r w:rsidR="000E2CE6">
        <w:rPr>
          <w:lang w:val="en-AU"/>
        </w:rPr>
        <w:t>’</w:t>
      </w:r>
      <w:r w:rsidRPr="003365C6">
        <w:rPr>
          <w:lang w:val="en-AU"/>
        </w:rPr>
        <w:t xml:space="preserve"> I am Yahweh is </w:t>
      </w:r>
      <w:r w:rsidR="000E2CE6">
        <w:rPr>
          <w:lang w:val="en-AU"/>
        </w:rPr>
        <w:t>“</w:t>
      </w:r>
      <w:r w:rsidRPr="003365C6">
        <w:rPr>
          <w:lang w:val="en-AU"/>
        </w:rPr>
        <w:t>explicitly set over against the introductory formula in Gen</w:t>
      </w:r>
      <w:r w:rsidR="0027648A">
        <w:rPr>
          <w:lang w:val="en-AU"/>
        </w:rPr>
        <w:t xml:space="preserve"> </w:t>
      </w:r>
      <w:r w:rsidRPr="003365C6">
        <w:rPr>
          <w:lang w:val="en-AU"/>
        </w:rPr>
        <w:t xml:space="preserve">17.1, </w:t>
      </w:r>
      <w:r w:rsidR="000E2CE6">
        <w:rPr>
          <w:lang w:val="en-AU"/>
        </w:rPr>
        <w:t>‘</w:t>
      </w:r>
      <w:r w:rsidRPr="003365C6">
        <w:rPr>
          <w:lang w:val="en-AU"/>
        </w:rPr>
        <w:t>I am El-Shaddai</w:t>
      </w:r>
      <w:r w:rsidR="000E2CE6">
        <w:rPr>
          <w:lang w:val="en-AU"/>
        </w:rPr>
        <w:t>’”</w:t>
      </w:r>
      <w:r w:rsidRPr="003365C6">
        <w:rPr>
          <w:lang w:val="en-AU"/>
        </w:rPr>
        <w:t xml:space="preserve"> and later remarks (p.</w:t>
      </w:r>
      <w:r w:rsidR="0027648A">
        <w:rPr>
          <w:lang w:val="en-AU"/>
        </w:rPr>
        <w:t xml:space="preserve"> </w:t>
      </w:r>
      <w:r w:rsidRPr="003365C6">
        <w:rPr>
          <w:lang w:val="en-AU"/>
        </w:rPr>
        <w:t xml:space="preserve">16) that he finds </w:t>
      </w:r>
      <w:r w:rsidR="000E2CE6">
        <w:rPr>
          <w:lang w:val="en-AU"/>
        </w:rPr>
        <w:t>“</w:t>
      </w:r>
      <w:r w:rsidRPr="003365C6">
        <w:rPr>
          <w:lang w:val="en-AU"/>
        </w:rPr>
        <w:t>a kind of chiasmus between these two texts</w:t>
      </w:r>
      <w:r w:rsidR="000E2CE6">
        <w:rPr>
          <w:lang w:val="en-AU"/>
        </w:rPr>
        <w:t>”</w:t>
      </w:r>
      <w:r w:rsidRPr="003365C6">
        <w:rPr>
          <w:lang w:val="en-AU"/>
        </w:rPr>
        <w:t xml:space="preserve"> (i.e. Gen</w:t>
      </w:r>
      <w:r w:rsidR="0027648A">
        <w:rPr>
          <w:lang w:val="en-AU"/>
        </w:rPr>
        <w:t xml:space="preserve">esis </w:t>
      </w:r>
      <w:r w:rsidRPr="003365C6">
        <w:rPr>
          <w:lang w:val="en-AU"/>
        </w:rPr>
        <w:t>17/Ex</w:t>
      </w:r>
      <w:r w:rsidR="0027648A">
        <w:rPr>
          <w:lang w:val="en-AU"/>
        </w:rPr>
        <w:t xml:space="preserve">odus </w:t>
      </w:r>
      <w:r w:rsidRPr="003365C6">
        <w:rPr>
          <w:lang w:val="en-AU"/>
        </w:rPr>
        <w:t>6).</w:t>
      </w:r>
      <w:r w:rsidRPr="003365C6">
        <w:t xml:space="preserve">  </w:t>
      </w:r>
      <w:r w:rsidRPr="003365C6">
        <w:rPr>
          <w:lang w:val="en-AU"/>
        </w:rPr>
        <w:t>Rendtorff also notes several unusual features in Ex</w:t>
      </w:r>
      <w:r w:rsidR="0027648A">
        <w:rPr>
          <w:lang w:val="en-AU"/>
        </w:rPr>
        <w:t>od</w:t>
      </w:r>
      <w:r w:rsidRPr="003365C6">
        <w:rPr>
          <w:lang w:val="en-AU"/>
        </w:rPr>
        <w:t xml:space="preserve"> 6:2-8, for example the verb </w:t>
      </w:r>
      <w:r w:rsidR="000E2CE6">
        <w:rPr>
          <w:lang w:val="en-AU"/>
        </w:rPr>
        <w:t>‘</w:t>
      </w:r>
      <w:r w:rsidRPr="003365C6">
        <w:rPr>
          <w:lang w:val="en-AU"/>
        </w:rPr>
        <w:t>take</w:t>
      </w:r>
      <w:r w:rsidR="000E2CE6">
        <w:rPr>
          <w:lang w:val="en-AU"/>
        </w:rPr>
        <w:t>’</w:t>
      </w:r>
      <w:r w:rsidRPr="003365C6">
        <w:rPr>
          <w:lang w:val="en-AU"/>
        </w:rPr>
        <w:t xml:space="preserve"> (v.</w:t>
      </w:r>
      <w:r w:rsidR="0027648A">
        <w:rPr>
          <w:lang w:val="en-AU"/>
        </w:rPr>
        <w:t xml:space="preserve"> </w:t>
      </w:r>
      <w:r w:rsidRPr="003365C6">
        <w:rPr>
          <w:lang w:val="en-AU"/>
        </w:rPr>
        <w:t xml:space="preserve">7a) occurs in no other formulation of the covenant formula - </w:t>
      </w:r>
      <w:r w:rsidR="000E2CE6">
        <w:rPr>
          <w:lang w:val="en-AU"/>
        </w:rPr>
        <w:t>“</w:t>
      </w:r>
      <w:r w:rsidRPr="003365C6">
        <w:rPr>
          <w:lang w:val="en-AU"/>
        </w:rPr>
        <w:t xml:space="preserve">but it is certainly not by chance that this word appears at this precise point, where </w:t>
      </w:r>
      <w:r w:rsidRPr="003365C6">
        <w:rPr>
          <w:lang w:val="en-AU"/>
        </w:rPr>
        <w:lastRenderedPageBreak/>
        <w:t xml:space="preserve">God addresses Israel </w:t>
      </w:r>
      <w:r w:rsidRPr="003365C6">
        <w:rPr>
          <w:b/>
          <w:lang w:val="en-AU"/>
        </w:rPr>
        <w:t>as a people for the first time</w:t>
      </w:r>
      <w:r w:rsidRPr="003365C6">
        <w:rPr>
          <w:lang w:val="en-AU"/>
        </w:rPr>
        <w:t>.</w:t>
      </w:r>
      <w:r w:rsidR="000E2CE6">
        <w:rPr>
          <w:lang w:val="en-AU"/>
        </w:rPr>
        <w:t>”</w:t>
      </w:r>
      <w:r w:rsidRPr="003365C6">
        <w:rPr>
          <w:lang w:val="en-AU"/>
        </w:rPr>
        <w:t xml:space="preserve"> (p.</w:t>
      </w:r>
      <w:r w:rsidR="0027648A">
        <w:rPr>
          <w:lang w:val="en-AU"/>
        </w:rPr>
        <w:t xml:space="preserve"> </w:t>
      </w:r>
      <w:r w:rsidRPr="003365C6">
        <w:rPr>
          <w:lang w:val="en-AU"/>
        </w:rPr>
        <w:t>16)</w:t>
      </w:r>
      <w:r w:rsidR="0027648A">
        <w:rPr>
          <w:lang w:val="en-AU"/>
        </w:rPr>
        <w:t>;</w:t>
      </w:r>
      <w:r w:rsidRPr="003365C6">
        <w:rPr>
          <w:lang w:val="en-AU"/>
        </w:rPr>
        <w:t xml:space="preserve"> also, the Priestly recognition formula in its expanded </w:t>
      </w:r>
      <w:r w:rsidR="000E2CE6">
        <w:rPr>
          <w:lang w:val="en-AU"/>
        </w:rPr>
        <w:t>‘</w:t>
      </w:r>
      <w:r w:rsidRPr="003365C6">
        <w:rPr>
          <w:lang w:val="en-AU"/>
        </w:rPr>
        <w:t>long</w:t>
      </w:r>
      <w:r w:rsidR="000E2CE6">
        <w:rPr>
          <w:lang w:val="en-AU"/>
        </w:rPr>
        <w:t>’</w:t>
      </w:r>
      <w:r w:rsidRPr="003365C6">
        <w:rPr>
          <w:lang w:val="en-AU"/>
        </w:rPr>
        <w:t xml:space="preserve"> form occurs here for the first time in the Hebrew Bible. Rendtorff concludes</w:t>
      </w:r>
      <w:r w:rsidRPr="003365C6">
        <w:t xml:space="preserve"> </w:t>
      </w:r>
      <w:r w:rsidR="0027648A">
        <w:t xml:space="preserve">that </w:t>
      </w:r>
      <w:r w:rsidRPr="003365C6">
        <w:rPr>
          <w:lang w:val="en-AU"/>
        </w:rPr>
        <w:t>Ex</w:t>
      </w:r>
      <w:r w:rsidR="0027648A">
        <w:rPr>
          <w:lang w:val="en-AU"/>
        </w:rPr>
        <w:t xml:space="preserve">od </w:t>
      </w:r>
      <w:r w:rsidRPr="003365C6">
        <w:rPr>
          <w:lang w:val="en-AU"/>
        </w:rPr>
        <w:t xml:space="preserve">6.2-8 is therefore, </w:t>
      </w:r>
      <w:r w:rsidR="000E2CE6">
        <w:rPr>
          <w:lang w:val="en-AU"/>
        </w:rPr>
        <w:t>“</w:t>
      </w:r>
      <w:r w:rsidRPr="003365C6">
        <w:rPr>
          <w:lang w:val="en-AU"/>
        </w:rPr>
        <w:t>.....in several respects a key text. This is true not only of its position in the wider context of the Exodus narrative, but also and above all because of its central theological statements about God</w:t>
      </w:r>
      <w:r w:rsidR="000E2CE6">
        <w:rPr>
          <w:lang w:val="en-AU"/>
        </w:rPr>
        <w:t>’</w:t>
      </w:r>
      <w:r w:rsidRPr="003365C6">
        <w:rPr>
          <w:lang w:val="en-AU"/>
        </w:rPr>
        <w:t>s relationship to Israel</w:t>
      </w:r>
      <w:r w:rsidR="00E41A3C">
        <w:rPr>
          <w:lang w:val="en-AU"/>
        </w:rPr>
        <w:t>...</w:t>
      </w:r>
      <w:r w:rsidRPr="003365C6">
        <w:rPr>
          <w:lang w:val="en-AU"/>
        </w:rPr>
        <w:t xml:space="preserve">this text, which is theologically so important, has been formulated throughout </w:t>
      </w:r>
      <w:r w:rsidRPr="003365C6">
        <w:rPr>
          <w:b/>
          <w:lang w:val="en-AU"/>
        </w:rPr>
        <w:t>with especially scrupulous care</w:t>
      </w:r>
      <w:r w:rsidR="000E2CE6">
        <w:rPr>
          <w:lang w:val="en-AU"/>
        </w:rPr>
        <w:t>”</w:t>
      </w:r>
      <w:r w:rsidR="0027648A">
        <w:rPr>
          <w:lang w:val="en-AU"/>
        </w:rPr>
        <w:t xml:space="preserve"> </w:t>
      </w:r>
      <w:r w:rsidRPr="003365C6">
        <w:rPr>
          <w:lang w:val="en-AU"/>
        </w:rPr>
        <w:t>(p.</w:t>
      </w:r>
      <w:r w:rsidR="0027648A">
        <w:rPr>
          <w:lang w:val="en-AU"/>
        </w:rPr>
        <w:t xml:space="preserve"> </w:t>
      </w:r>
      <w:r w:rsidRPr="003365C6">
        <w:rPr>
          <w:lang w:val="en-AU"/>
        </w:rPr>
        <w:t>17).</w:t>
      </w:r>
      <w:r w:rsidRPr="003365C6">
        <w:rPr>
          <w:rStyle w:val="FootnoteReference"/>
          <w:lang w:val="en-AU"/>
        </w:rPr>
        <w:footnoteReference w:id="51"/>
      </w:r>
    </w:p>
    <w:p w:rsidR="0048421A" w:rsidRPr="003365C6" w:rsidRDefault="0048421A" w:rsidP="0048421A">
      <w:pPr>
        <w:rPr>
          <w:lang w:val="en-AU"/>
        </w:rPr>
      </w:pPr>
    </w:p>
    <w:p w:rsidR="0048421A" w:rsidRPr="003365C6" w:rsidRDefault="0048421A" w:rsidP="0048421A">
      <w:pPr>
        <w:rPr>
          <w:lang w:val="en-AU"/>
        </w:rPr>
      </w:pPr>
      <w:r w:rsidRPr="003365C6">
        <w:t>The divine response to Moses</w:t>
      </w:r>
      <w:r w:rsidR="000E2CE6">
        <w:t>’</w:t>
      </w:r>
      <w:r w:rsidRPr="003365C6">
        <w:t xml:space="preserve"> complaint in Exod 5:20-6:8 is a finely balanced apologetic carefully structured around a covenant formula that has inter-relationships with earlier Abrahamic covenant material. God is reminding Moses that the patriarchs </w:t>
      </w:r>
      <w:r w:rsidRPr="003365C6">
        <w:rPr>
          <w:u w:val="single"/>
        </w:rPr>
        <w:t>had known him</w:t>
      </w:r>
      <w:r w:rsidRPr="003365C6">
        <w:t xml:space="preserve"> as </w:t>
      </w:r>
      <w:r w:rsidRPr="003365C6">
        <w:rPr>
          <w:i/>
        </w:rPr>
        <w:t>El Shadday</w:t>
      </w:r>
      <w:r w:rsidRPr="003365C6">
        <w:t xml:space="preserve"> – they had experienced him in his capacity</w:t>
      </w:r>
      <w:r w:rsidRPr="003365C6">
        <w:rPr>
          <w:rStyle w:val="FootnoteReference"/>
        </w:rPr>
        <w:footnoteReference w:id="52"/>
      </w:r>
      <w:r w:rsidRPr="003365C6">
        <w:t xml:space="preserve"> as the </w:t>
      </w:r>
      <w:r w:rsidR="000E2CE6">
        <w:t>“</w:t>
      </w:r>
      <w:r w:rsidRPr="003365C6">
        <w:t>God who blesses{with offspring}and nourishes –</w:t>
      </w:r>
      <w:r w:rsidRPr="003365C6">
        <w:rPr>
          <w:b/>
          <w:bCs/>
          <w:lang w:val="en-AU"/>
        </w:rPr>
        <w:t xml:space="preserve"> </w:t>
      </w:r>
      <w:r w:rsidR="000E2CE6">
        <w:rPr>
          <w:bCs/>
          <w:lang w:val="en-AU"/>
        </w:rPr>
        <w:t>“</w:t>
      </w:r>
      <w:r w:rsidRPr="003365C6">
        <w:rPr>
          <w:lang w:val="en-AU"/>
        </w:rPr>
        <w:t>But the children of Israel were fruitful and increased abundantly, multiplied and grew exceedingly mighty; and the land was filled with them</w:t>
      </w:r>
      <w:r w:rsidR="000E2CE6">
        <w:rPr>
          <w:lang w:val="en-AU"/>
        </w:rPr>
        <w:t>”</w:t>
      </w:r>
      <w:r w:rsidRPr="003365C6">
        <w:rPr>
          <w:lang w:val="en-AU"/>
        </w:rPr>
        <w:t xml:space="preserve"> (Ex</w:t>
      </w:r>
      <w:r w:rsidR="00E41A3C">
        <w:rPr>
          <w:lang w:val="en-AU"/>
        </w:rPr>
        <w:t xml:space="preserve">od </w:t>
      </w:r>
      <w:r w:rsidRPr="003365C6">
        <w:rPr>
          <w:lang w:val="en-AU"/>
        </w:rPr>
        <w:t xml:space="preserve">1:7). It was, in fact, this very blessing that had caused their current dilemma. </w:t>
      </w:r>
    </w:p>
    <w:p w:rsidR="0048421A" w:rsidRPr="003365C6" w:rsidRDefault="0048421A" w:rsidP="0048421A">
      <w:pPr>
        <w:rPr>
          <w:lang w:val="en-AU"/>
        </w:rPr>
      </w:pPr>
    </w:p>
    <w:p w:rsidR="0048421A" w:rsidRPr="00E41A3C" w:rsidRDefault="0048421A" w:rsidP="0048421A">
      <w:pPr>
        <w:rPr>
          <w:rFonts w:ascii="Bradley Hand ITC" w:eastAsiaTheme="minorHAnsi" w:hAnsi="Bradley Hand ITC"/>
          <w:b/>
          <w:sz w:val="28"/>
          <w:lang w:val="en-AU"/>
        </w:rPr>
      </w:pPr>
      <w:r w:rsidRPr="00E41A3C">
        <w:rPr>
          <w:rFonts w:ascii="Bradley Hand ITC" w:eastAsiaTheme="minorHAnsi" w:hAnsi="Bradley Hand ITC"/>
          <w:b/>
          <w:sz w:val="28"/>
          <w:lang w:val="en-AU"/>
        </w:rPr>
        <w:t>Did Abraham know Yahweh?</w:t>
      </w:r>
    </w:p>
    <w:p w:rsidR="001C4F4E" w:rsidRDefault="0048421A" w:rsidP="0048421A">
      <w:r w:rsidRPr="003365C6">
        <w:rPr>
          <w:rFonts w:eastAsiaTheme="minorHAnsi"/>
          <w:lang w:val="en-AU"/>
        </w:rPr>
        <w:t xml:space="preserve">That the patriarchs (and here we think especially of Abraham) knew God in his capacity of </w:t>
      </w:r>
      <w:r w:rsidRPr="003365C6">
        <w:rPr>
          <w:rFonts w:eastAsiaTheme="minorHAnsi"/>
          <w:i/>
          <w:lang w:val="en-AU"/>
        </w:rPr>
        <w:t>El Shadday</w:t>
      </w:r>
      <w:r w:rsidRPr="003365C6">
        <w:rPr>
          <w:rFonts w:eastAsiaTheme="minorHAnsi"/>
          <w:lang w:val="en-AU"/>
        </w:rPr>
        <w:t xml:space="preserve"> is unquestionable, but did they </w:t>
      </w:r>
      <w:r w:rsidR="000E2CE6">
        <w:rPr>
          <w:rFonts w:eastAsiaTheme="minorHAnsi"/>
          <w:lang w:val="en-AU"/>
        </w:rPr>
        <w:t>“</w:t>
      </w:r>
      <w:r w:rsidRPr="003365C6">
        <w:rPr>
          <w:rFonts w:eastAsiaTheme="minorHAnsi"/>
          <w:lang w:val="en-AU"/>
        </w:rPr>
        <w:t>know</w:t>
      </w:r>
      <w:r w:rsidR="000E2CE6">
        <w:rPr>
          <w:rFonts w:eastAsiaTheme="minorHAnsi"/>
          <w:lang w:val="en-AU"/>
        </w:rPr>
        <w:t>”</w:t>
      </w:r>
      <w:r w:rsidRPr="003365C6">
        <w:rPr>
          <w:rFonts w:eastAsiaTheme="minorHAnsi"/>
          <w:lang w:val="en-AU"/>
        </w:rPr>
        <w:t xml:space="preserve"> him as </w:t>
      </w:r>
      <w:r w:rsidRPr="003365C6">
        <w:rPr>
          <w:rFonts w:eastAsiaTheme="minorHAnsi"/>
          <w:i/>
          <w:lang w:val="en-AU"/>
        </w:rPr>
        <w:t>Yahweh</w:t>
      </w:r>
      <w:r w:rsidRPr="003365C6">
        <w:rPr>
          <w:rFonts w:eastAsiaTheme="minorHAnsi"/>
          <w:lang w:val="en-AU"/>
        </w:rPr>
        <w:t>?  The salvi</w:t>
      </w:r>
      <w:r w:rsidR="00E41A3C">
        <w:rPr>
          <w:rFonts w:eastAsiaTheme="minorHAnsi"/>
          <w:lang w:val="en-AU"/>
        </w:rPr>
        <w:t>fi</w:t>
      </w:r>
      <w:r w:rsidRPr="003365C6">
        <w:rPr>
          <w:rFonts w:eastAsiaTheme="minorHAnsi"/>
          <w:lang w:val="en-AU"/>
        </w:rPr>
        <w:t>c acts experienced by Abraham during his sojourning, particular the revelation on Mt Moriah</w:t>
      </w:r>
      <w:r w:rsidR="00E41A3C">
        <w:rPr>
          <w:rFonts w:eastAsiaTheme="minorHAnsi"/>
          <w:lang w:val="en-AU"/>
        </w:rPr>
        <w:t>,</w:t>
      </w:r>
      <w:r w:rsidRPr="003365C6">
        <w:rPr>
          <w:rFonts w:eastAsiaTheme="minorHAnsi"/>
          <w:lang w:val="en-AU"/>
        </w:rPr>
        <w:t xml:space="preserve"> suggest that Abraham did </w:t>
      </w:r>
      <w:r w:rsidR="000E2CE6">
        <w:rPr>
          <w:rFonts w:eastAsiaTheme="minorHAnsi"/>
          <w:lang w:val="en-AU"/>
        </w:rPr>
        <w:t>“</w:t>
      </w:r>
      <w:r w:rsidRPr="003365C6">
        <w:rPr>
          <w:rFonts w:eastAsiaTheme="minorHAnsi"/>
          <w:lang w:val="en-AU"/>
        </w:rPr>
        <w:t>know</w:t>
      </w:r>
      <w:r w:rsidR="000E2CE6">
        <w:rPr>
          <w:rFonts w:eastAsiaTheme="minorHAnsi"/>
          <w:lang w:val="en-AU"/>
        </w:rPr>
        <w:t>”</w:t>
      </w:r>
      <w:r w:rsidRPr="003365C6">
        <w:rPr>
          <w:rFonts w:eastAsiaTheme="minorHAnsi"/>
          <w:lang w:val="en-AU"/>
        </w:rPr>
        <w:t xml:space="preserve"> </w:t>
      </w:r>
      <w:r w:rsidRPr="003365C6">
        <w:rPr>
          <w:rFonts w:eastAsiaTheme="minorHAnsi"/>
          <w:i/>
          <w:lang w:val="en-AU"/>
        </w:rPr>
        <w:t>Yahweh</w:t>
      </w:r>
      <w:r w:rsidRPr="003365C6">
        <w:rPr>
          <w:rFonts w:eastAsiaTheme="minorHAnsi"/>
          <w:lang w:val="en-AU"/>
        </w:rPr>
        <w:t xml:space="preserve"> as his saviour. If that is the case the Hebrew should be understood as an </w:t>
      </w:r>
      <w:r w:rsidRPr="003365C6">
        <w:rPr>
          <w:rFonts w:eastAsiaTheme="minorHAnsi"/>
          <w:b/>
          <w:lang w:val="en-AU"/>
        </w:rPr>
        <w:t>interrogative</w:t>
      </w:r>
      <w:r w:rsidRPr="003365C6">
        <w:rPr>
          <w:rFonts w:eastAsiaTheme="minorHAnsi"/>
          <w:lang w:val="en-AU"/>
        </w:rPr>
        <w:t xml:space="preserve"> - - </w:t>
      </w:r>
      <w:r w:rsidR="000E2CE6">
        <w:rPr>
          <w:rFonts w:eastAsiaTheme="minorHAnsi"/>
          <w:lang w:val="en-AU"/>
        </w:rPr>
        <w:t>“</w:t>
      </w:r>
      <w:r w:rsidRPr="003365C6">
        <w:rPr>
          <w:lang w:val="en-AU" w:eastAsia="en-AU"/>
        </w:rPr>
        <w:t xml:space="preserve">but </w:t>
      </w:r>
      <w:r w:rsidRPr="003365C6">
        <w:rPr>
          <w:i/>
          <w:iCs/>
          <w:lang w:val="en-AU" w:eastAsia="en-AU"/>
        </w:rPr>
        <w:t xml:space="preserve">by </w:t>
      </w:r>
      <w:proofErr w:type="gramStart"/>
      <w:r w:rsidRPr="003365C6">
        <w:rPr>
          <w:lang w:val="en-AU" w:eastAsia="en-AU"/>
        </w:rPr>
        <w:t>My</w:t>
      </w:r>
      <w:proofErr w:type="gramEnd"/>
      <w:r w:rsidRPr="003365C6">
        <w:rPr>
          <w:lang w:val="en-AU" w:eastAsia="en-AU"/>
        </w:rPr>
        <w:t xml:space="preserve"> name </w:t>
      </w:r>
      <w:r w:rsidRPr="003365C6">
        <w:rPr>
          <w:i/>
          <w:lang w:val="en-AU" w:eastAsia="en-AU"/>
        </w:rPr>
        <w:t>Yahweh</w:t>
      </w:r>
      <w:r w:rsidRPr="003365C6">
        <w:rPr>
          <w:lang w:val="en-AU" w:eastAsia="en-AU"/>
        </w:rPr>
        <w:t xml:space="preserve"> was I not known (</w:t>
      </w:r>
      <w:r w:rsidRPr="003365C6">
        <w:rPr>
          <w:i/>
          <w:iCs/>
          <w:lang w:val="en-AU" w:eastAsia="en-AU"/>
        </w:rPr>
        <w:t>yd</w:t>
      </w:r>
      <w:r w:rsidR="000E2CE6">
        <w:rPr>
          <w:i/>
          <w:iCs/>
          <w:lang w:val="en-AU" w:eastAsia="en-AU"/>
        </w:rPr>
        <w:t>’</w:t>
      </w:r>
      <w:r w:rsidRPr="003365C6">
        <w:rPr>
          <w:lang w:val="en-AU" w:eastAsia="en-AU"/>
        </w:rPr>
        <w:t>) to them?</w:t>
      </w:r>
      <w:r w:rsidR="000E2CE6">
        <w:rPr>
          <w:lang w:val="en-AU" w:eastAsia="en-AU"/>
        </w:rPr>
        <w:t>”</w:t>
      </w:r>
      <w:r w:rsidR="00E41A3C">
        <w:rPr>
          <w:lang w:val="en-AU" w:eastAsia="en-AU"/>
        </w:rPr>
        <w:t>—</w:t>
      </w:r>
      <w:r w:rsidRPr="003365C6">
        <w:rPr>
          <w:lang w:val="en-AU" w:eastAsia="en-AU"/>
        </w:rPr>
        <w:t xml:space="preserve">but this </w:t>
      </w:r>
      <w:r w:rsidRPr="003365C6">
        <w:rPr>
          <w:lang w:val="en-AU"/>
        </w:rPr>
        <w:t>is not supported by any Hebrew grammarian.</w:t>
      </w:r>
      <w:r w:rsidRPr="003365C6">
        <w:rPr>
          <w:rStyle w:val="FootnoteReference"/>
          <w:lang w:val="en-AU"/>
        </w:rPr>
        <w:footnoteReference w:id="53"/>
      </w:r>
      <w:r w:rsidRPr="003365C6">
        <w:rPr>
          <w:lang w:val="en-AU"/>
        </w:rPr>
        <w:t xml:space="preserve"> Whatever </w:t>
      </w:r>
      <w:r w:rsidRPr="003365C6">
        <w:rPr>
          <w:lang w:val="en-AU"/>
        </w:rPr>
        <w:lastRenderedPageBreak/>
        <w:t xml:space="preserve">meaning we attach to </w:t>
      </w:r>
      <w:r w:rsidR="000E2CE6">
        <w:rPr>
          <w:lang w:val="en-AU"/>
        </w:rPr>
        <w:t>“</w:t>
      </w:r>
      <w:r w:rsidRPr="003365C6">
        <w:rPr>
          <w:lang w:val="en-AU"/>
        </w:rPr>
        <w:t>know</w:t>
      </w:r>
      <w:r w:rsidR="000E2CE6">
        <w:rPr>
          <w:lang w:val="en-AU"/>
        </w:rPr>
        <w:t>”</w:t>
      </w:r>
      <w:r w:rsidRPr="003365C6">
        <w:rPr>
          <w:lang w:val="en-AU"/>
        </w:rPr>
        <w:t xml:space="preserve"> it is indisputable that </w:t>
      </w:r>
      <w:r w:rsidRPr="003365C6">
        <w:rPr>
          <w:i/>
          <w:lang w:val="en-AU"/>
        </w:rPr>
        <w:t>Yahweh</w:t>
      </w:r>
      <w:r w:rsidRPr="003365C6">
        <w:rPr>
          <w:lang w:val="en-AU"/>
        </w:rPr>
        <w:t xml:space="preserve"> </w:t>
      </w:r>
      <w:r w:rsidR="000E2CE6">
        <w:rPr>
          <w:lang w:val="en-AU"/>
        </w:rPr>
        <w:t>“</w:t>
      </w:r>
      <w:r w:rsidRPr="003365C6">
        <w:rPr>
          <w:lang w:val="en-AU"/>
        </w:rPr>
        <w:t>knows</w:t>
      </w:r>
      <w:r w:rsidR="000E2CE6">
        <w:rPr>
          <w:lang w:val="en-AU"/>
        </w:rPr>
        <w:t>”</w:t>
      </w:r>
      <w:r w:rsidRPr="003365C6">
        <w:rPr>
          <w:lang w:val="en-AU"/>
        </w:rPr>
        <w:t xml:space="preserve"> Abraham</w:t>
      </w:r>
      <w:r w:rsidR="001C4F4E">
        <w:rPr>
          <w:lang w:val="en-AU"/>
        </w:rPr>
        <w:t>,</w:t>
      </w:r>
      <w:r w:rsidRPr="003365C6">
        <w:t xml:space="preserve"> </w:t>
      </w:r>
    </w:p>
    <w:p w:rsidR="001C4F4E" w:rsidRDefault="001C4F4E" w:rsidP="0048421A"/>
    <w:p w:rsidR="001C4F4E" w:rsidRDefault="0048421A" w:rsidP="001C4F4E">
      <w:pPr>
        <w:pStyle w:val="Quote"/>
      </w:pPr>
      <w:r w:rsidRPr="003365C6">
        <w:rPr>
          <w:rFonts w:eastAsiaTheme="minorHAnsi"/>
        </w:rPr>
        <w:t xml:space="preserve">For I have </w:t>
      </w:r>
      <w:r w:rsidRPr="003365C6">
        <w:rPr>
          <w:rFonts w:eastAsiaTheme="minorHAnsi"/>
          <w:u w:val="single"/>
        </w:rPr>
        <w:t>known him</w:t>
      </w:r>
      <w:r w:rsidRPr="003365C6">
        <w:rPr>
          <w:rFonts w:eastAsiaTheme="minorHAnsi"/>
        </w:rPr>
        <w:t xml:space="preserve">, in order that he may command </w:t>
      </w:r>
      <w:r w:rsidRPr="003365C6">
        <w:rPr>
          <w:rFonts w:eastAsiaTheme="minorHAnsi"/>
          <w:u w:val="single"/>
        </w:rPr>
        <w:t>his children</w:t>
      </w:r>
      <w:r w:rsidRPr="003365C6">
        <w:rPr>
          <w:rFonts w:eastAsiaTheme="minorHAnsi"/>
        </w:rPr>
        <w:t xml:space="preserve"> and his household after him, that they keep </w:t>
      </w:r>
      <w:r w:rsidRPr="003365C6">
        <w:rPr>
          <w:rFonts w:eastAsiaTheme="minorHAnsi"/>
          <w:u w:val="single"/>
        </w:rPr>
        <w:t xml:space="preserve">the way of </w:t>
      </w:r>
      <w:r w:rsidRPr="003365C6">
        <w:rPr>
          <w:rFonts w:eastAsiaTheme="minorHAnsi"/>
          <w:i/>
          <w:u w:val="single"/>
        </w:rPr>
        <w:t>Yahweh</w:t>
      </w:r>
      <w:r w:rsidRPr="003365C6">
        <w:rPr>
          <w:rFonts w:eastAsiaTheme="minorHAnsi"/>
        </w:rPr>
        <w:t xml:space="preserve">, to do righteousness and justice, that </w:t>
      </w:r>
      <w:r w:rsidRPr="003365C6">
        <w:rPr>
          <w:rFonts w:eastAsiaTheme="minorHAnsi"/>
          <w:i/>
        </w:rPr>
        <w:t>Yahweh</w:t>
      </w:r>
      <w:r w:rsidRPr="003365C6">
        <w:rPr>
          <w:rFonts w:eastAsiaTheme="minorHAnsi"/>
        </w:rPr>
        <w:t xml:space="preserve"> may bring to Abraham what He has spoken to him.</w:t>
      </w:r>
      <w:r w:rsidR="001C4F4E">
        <w:rPr>
          <w:rFonts w:eastAsiaTheme="minorHAnsi"/>
        </w:rPr>
        <w:t xml:space="preserve"> </w:t>
      </w:r>
      <w:r w:rsidRPr="003365C6">
        <w:t>Gen 18:19</w:t>
      </w:r>
      <w:r w:rsidR="001C4F4E">
        <w:t xml:space="preserve"> (NKJV)</w:t>
      </w:r>
      <w:r w:rsidRPr="003365C6">
        <w:rPr>
          <w:rStyle w:val="FootnoteReference"/>
          <w:lang w:val="en-AU"/>
        </w:rPr>
        <w:footnoteReference w:id="54"/>
      </w:r>
      <w:r w:rsidRPr="003365C6">
        <w:t xml:space="preserve">  </w:t>
      </w:r>
    </w:p>
    <w:p w:rsidR="001C4F4E" w:rsidRDefault="001C4F4E" w:rsidP="0048421A">
      <w:pPr>
        <w:rPr>
          <w:lang w:val="en-AU"/>
        </w:rPr>
      </w:pPr>
    </w:p>
    <w:p w:rsidR="001C4F4E" w:rsidRDefault="0048421A" w:rsidP="0048421A">
      <w:pPr>
        <w:rPr>
          <w:lang w:val="en-AU"/>
        </w:rPr>
      </w:pPr>
      <w:r w:rsidRPr="003365C6">
        <w:rPr>
          <w:lang w:val="en-AU"/>
        </w:rPr>
        <w:t xml:space="preserve">The question is whether this </w:t>
      </w:r>
      <w:r w:rsidR="000E2CE6">
        <w:rPr>
          <w:lang w:val="en-AU"/>
        </w:rPr>
        <w:t>“</w:t>
      </w:r>
      <w:r w:rsidRPr="003365C6">
        <w:rPr>
          <w:lang w:val="en-AU"/>
        </w:rPr>
        <w:t>knowing</w:t>
      </w:r>
      <w:r w:rsidR="000E2CE6">
        <w:rPr>
          <w:lang w:val="en-AU"/>
        </w:rPr>
        <w:t>”</w:t>
      </w:r>
      <w:r w:rsidRPr="003365C6">
        <w:rPr>
          <w:lang w:val="en-AU"/>
        </w:rPr>
        <w:t xml:space="preserve"> was reciprocated</w:t>
      </w:r>
      <w:r w:rsidR="001C4F4E">
        <w:rPr>
          <w:lang w:val="en-AU"/>
        </w:rPr>
        <w:t>—</w:t>
      </w:r>
      <w:r w:rsidRPr="003365C6">
        <w:rPr>
          <w:lang w:val="en-AU"/>
        </w:rPr>
        <w:t xml:space="preserve">can Abraham </w:t>
      </w:r>
      <w:r w:rsidR="000E2CE6">
        <w:rPr>
          <w:lang w:val="en-AU"/>
        </w:rPr>
        <w:t>“</w:t>
      </w:r>
      <w:r w:rsidRPr="003365C6">
        <w:rPr>
          <w:lang w:val="en-AU"/>
        </w:rPr>
        <w:t>know</w:t>
      </w:r>
      <w:r w:rsidR="000E2CE6">
        <w:rPr>
          <w:lang w:val="en-AU"/>
        </w:rPr>
        <w:t>”</w:t>
      </w:r>
      <w:r w:rsidRPr="003365C6">
        <w:rPr>
          <w:lang w:val="en-AU"/>
        </w:rPr>
        <w:t xml:space="preserve"> </w:t>
      </w:r>
      <w:r w:rsidRPr="003365C6">
        <w:rPr>
          <w:i/>
          <w:lang w:val="en-AU"/>
        </w:rPr>
        <w:t>Yahweh</w:t>
      </w:r>
      <w:r w:rsidRPr="003365C6">
        <w:rPr>
          <w:lang w:val="en-AU"/>
        </w:rPr>
        <w:t xml:space="preserve"> in the same way that </w:t>
      </w:r>
      <w:r w:rsidRPr="003365C6">
        <w:rPr>
          <w:i/>
          <w:lang w:val="en-AU"/>
        </w:rPr>
        <w:t>Yahweh</w:t>
      </w:r>
      <w:r w:rsidRPr="003365C6">
        <w:rPr>
          <w:lang w:val="en-AU"/>
        </w:rPr>
        <w:t xml:space="preserve"> </w:t>
      </w:r>
      <w:r w:rsidR="000E2CE6">
        <w:rPr>
          <w:lang w:val="en-AU"/>
        </w:rPr>
        <w:t>“</w:t>
      </w:r>
      <w:r w:rsidRPr="003365C6">
        <w:rPr>
          <w:lang w:val="en-AU"/>
        </w:rPr>
        <w:t>knows</w:t>
      </w:r>
      <w:r w:rsidR="000E2CE6">
        <w:rPr>
          <w:lang w:val="en-AU"/>
        </w:rPr>
        <w:t>”</w:t>
      </w:r>
      <w:r w:rsidRPr="003365C6">
        <w:rPr>
          <w:lang w:val="en-AU"/>
        </w:rPr>
        <w:t xml:space="preserve"> Abraham?   </w:t>
      </w:r>
    </w:p>
    <w:p w:rsidR="001C4F4E" w:rsidRDefault="001C4F4E" w:rsidP="0048421A">
      <w:pPr>
        <w:rPr>
          <w:lang w:val="en-AU"/>
        </w:rPr>
      </w:pPr>
    </w:p>
    <w:p w:rsidR="001C4F4E" w:rsidRDefault="0048421A" w:rsidP="0048421A">
      <w:pPr>
        <w:rPr>
          <w:rFonts w:eastAsiaTheme="minorHAnsi"/>
          <w:lang w:val="en-AU"/>
        </w:rPr>
      </w:pPr>
      <w:r w:rsidRPr="003365C6">
        <w:rPr>
          <w:lang w:val="en-AU"/>
        </w:rPr>
        <w:t>The NT (1 Cor.13:12) suggests degrees of knowledge</w:t>
      </w:r>
      <w:r w:rsidR="001C4F4E">
        <w:rPr>
          <w:lang w:val="en-AU"/>
        </w:rPr>
        <w:t>:</w:t>
      </w:r>
      <w:r w:rsidRPr="003365C6">
        <w:rPr>
          <w:lang w:val="en-AU"/>
        </w:rPr>
        <w:t xml:space="preserve"> </w:t>
      </w:r>
      <w:r w:rsidR="000E2CE6">
        <w:rPr>
          <w:lang w:val="en-AU"/>
        </w:rPr>
        <w:t>“</w:t>
      </w:r>
      <w:r w:rsidRPr="003365C6">
        <w:rPr>
          <w:lang w:val="en-AU"/>
        </w:rPr>
        <w:t>Now I know (</w:t>
      </w:r>
      <w:proofErr w:type="spellStart"/>
      <w:r w:rsidRPr="003365C6">
        <w:rPr>
          <w:i/>
          <w:lang w:val="en-AU"/>
        </w:rPr>
        <w:t>ginōskō</w:t>
      </w:r>
      <w:proofErr w:type="spellEnd"/>
      <w:r w:rsidRPr="003365C6">
        <w:rPr>
          <w:lang w:val="en-AU"/>
        </w:rPr>
        <w:t>) in part, but then I shall know (</w:t>
      </w:r>
      <w:proofErr w:type="spellStart"/>
      <w:r w:rsidRPr="003365C6">
        <w:rPr>
          <w:i/>
          <w:lang w:val="en-AU"/>
        </w:rPr>
        <w:t>epiginōskō</w:t>
      </w:r>
      <w:proofErr w:type="spellEnd"/>
      <w:r w:rsidRPr="003365C6">
        <w:rPr>
          <w:lang w:val="en-AU"/>
        </w:rPr>
        <w:t>) just as I also am known (</w:t>
      </w:r>
      <w:proofErr w:type="spellStart"/>
      <w:r w:rsidRPr="003365C6">
        <w:rPr>
          <w:i/>
          <w:lang w:val="en-AU"/>
        </w:rPr>
        <w:t>epiginōskō</w:t>
      </w:r>
      <w:proofErr w:type="spellEnd"/>
      <w:r w:rsidRPr="003365C6">
        <w:rPr>
          <w:lang w:val="en-AU"/>
        </w:rPr>
        <w:t>)</w:t>
      </w:r>
      <w:r w:rsidR="000E2CE6">
        <w:rPr>
          <w:lang w:val="en-AU"/>
        </w:rPr>
        <w:t>”</w:t>
      </w:r>
      <w:r w:rsidRPr="003365C6">
        <w:rPr>
          <w:lang w:val="en-AU"/>
        </w:rPr>
        <w:t>.</w:t>
      </w:r>
      <w:r w:rsidRPr="003365C6">
        <w:rPr>
          <w:rFonts w:eastAsiaTheme="minorHAnsi"/>
          <w:lang w:val="en-AU"/>
        </w:rPr>
        <w:t xml:space="preserve"> </w:t>
      </w:r>
      <w:r w:rsidRPr="003365C6">
        <w:rPr>
          <w:lang w:val="en-AU"/>
        </w:rPr>
        <w:t xml:space="preserve"> The Greek </w:t>
      </w:r>
      <w:proofErr w:type="spellStart"/>
      <w:r w:rsidRPr="003365C6">
        <w:rPr>
          <w:i/>
          <w:lang w:val="en-AU"/>
        </w:rPr>
        <w:t>ginōskō</w:t>
      </w:r>
      <w:proofErr w:type="spellEnd"/>
      <w:r w:rsidRPr="003365C6">
        <w:rPr>
          <w:i/>
          <w:lang w:val="en-AU"/>
        </w:rPr>
        <w:t xml:space="preserve"> </w:t>
      </w:r>
      <w:r w:rsidRPr="003365C6">
        <w:rPr>
          <w:lang w:val="en-AU"/>
        </w:rPr>
        <w:t xml:space="preserve">is probably closest to the Hebrew </w:t>
      </w:r>
      <w:r w:rsidRPr="003365C6">
        <w:rPr>
          <w:i/>
          <w:iCs/>
          <w:lang w:val="en-AU" w:eastAsia="en-AU"/>
        </w:rPr>
        <w:t>yd</w:t>
      </w:r>
      <w:r w:rsidR="000E2CE6">
        <w:rPr>
          <w:i/>
          <w:iCs/>
          <w:lang w:val="en-AU" w:eastAsia="en-AU"/>
        </w:rPr>
        <w:t>’</w:t>
      </w:r>
      <w:r w:rsidRPr="003365C6">
        <w:rPr>
          <w:iCs/>
          <w:lang w:val="en-AU" w:eastAsia="en-AU"/>
        </w:rPr>
        <w:t xml:space="preserve"> as it i</w:t>
      </w:r>
      <w:r w:rsidRPr="003365C6">
        <w:rPr>
          <w:lang w:val="en-AU"/>
        </w:rPr>
        <w:t>s used to express intimacy (cf. M</w:t>
      </w:r>
      <w:r w:rsidR="001C4F4E">
        <w:rPr>
          <w:lang w:val="en-AU"/>
        </w:rPr>
        <w:t>at</w:t>
      </w:r>
      <w:r w:rsidRPr="003365C6">
        <w:rPr>
          <w:lang w:val="en-AU"/>
        </w:rPr>
        <w:t>t 1.25; L</w:t>
      </w:r>
      <w:r w:rsidR="001C4F4E">
        <w:rPr>
          <w:lang w:val="en-AU"/>
        </w:rPr>
        <w:t>u</w:t>
      </w:r>
      <w:r w:rsidRPr="003365C6">
        <w:rPr>
          <w:lang w:val="en-AU"/>
        </w:rPr>
        <w:t>k</w:t>
      </w:r>
      <w:r w:rsidR="001C4F4E">
        <w:rPr>
          <w:lang w:val="en-AU"/>
        </w:rPr>
        <w:t>e</w:t>
      </w:r>
      <w:r w:rsidRPr="003365C6">
        <w:rPr>
          <w:lang w:val="en-AU"/>
        </w:rPr>
        <w:t xml:space="preserve"> 1.34) in a similar way to the Hebrew (</w:t>
      </w:r>
      <w:r w:rsidR="000E2CE6">
        <w:rPr>
          <w:lang w:val="en-AU"/>
        </w:rPr>
        <w:t>“</w:t>
      </w:r>
      <w:r w:rsidRPr="003365C6">
        <w:rPr>
          <w:rFonts w:eastAsiaTheme="minorHAnsi"/>
          <w:lang w:val="en-AU"/>
        </w:rPr>
        <w:t xml:space="preserve">Now Adam </w:t>
      </w:r>
      <w:r w:rsidRPr="003365C6">
        <w:rPr>
          <w:rFonts w:eastAsiaTheme="minorHAnsi"/>
          <w:i/>
          <w:lang w:val="en-AU"/>
        </w:rPr>
        <w:t>knew</w:t>
      </w:r>
      <w:r w:rsidRPr="003365C6">
        <w:rPr>
          <w:rFonts w:eastAsiaTheme="minorHAnsi"/>
          <w:lang w:val="en-AU"/>
        </w:rPr>
        <w:t xml:space="preserve"> Eve his wife</w:t>
      </w:r>
      <w:r w:rsidR="000E2CE6">
        <w:rPr>
          <w:rFonts w:eastAsiaTheme="minorHAnsi"/>
          <w:lang w:val="en-AU"/>
        </w:rPr>
        <w:t>”</w:t>
      </w:r>
      <w:r w:rsidR="001C4F4E">
        <w:rPr>
          <w:rFonts w:eastAsiaTheme="minorHAnsi"/>
          <w:lang w:val="en-AU"/>
        </w:rPr>
        <w:t xml:space="preserve">, </w:t>
      </w:r>
      <w:r w:rsidRPr="003365C6">
        <w:rPr>
          <w:rFonts w:eastAsiaTheme="minorHAnsi"/>
          <w:lang w:val="en-AU"/>
        </w:rPr>
        <w:t xml:space="preserve">Gen.4:1). </w:t>
      </w:r>
    </w:p>
    <w:p w:rsidR="001C4F4E" w:rsidRDefault="001C4F4E" w:rsidP="0048421A">
      <w:pPr>
        <w:rPr>
          <w:rFonts w:eastAsiaTheme="minorHAnsi"/>
          <w:lang w:val="en-AU"/>
        </w:rPr>
      </w:pPr>
    </w:p>
    <w:p w:rsidR="001C4F4E" w:rsidRDefault="0048421A" w:rsidP="0048421A">
      <w:r w:rsidRPr="003365C6">
        <w:rPr>
          <w:rFonts w:eastAsiaTheme="minorHAnsi"/>
          <w:lang w:val="en-AU"/>
        </w:rPr>
        <w:t xml:space="preserve">In the NT </w:t>
      </w:r>
      <w:proofErr w:type="spellStart"/>
      <w:r w:rsidRPr="003365C6">
        <w:rPr>
          <w:i/>
          <w:lang w:val="en-AU"/>
        </w:rPr>
        <w:t>ginōskō</w:t>
      </w:r>
      <w:proofErr w:type="spellEnd"/>
      <w:r w:rsidRPr="003365C6">
        <w:rPr>
          <w:lang w:val="en-AU"/>
        </w:rPr>
        <w:t xml:space="preserve"> frequently indicates a relation between the person knowing and the object known. The term </w:t>
      </w:r>
      <w:proofErr w:type="spellStart"/>
      <w:r w:rsidRPr="003365C6">
        <w:rPr>
          <w:i/>
          <w:lang w:val="en-AU"/>
        </w:rPr>
        <w:t>epiginōskō</w:t>
      </w:r>
      <w:proofErr w:type="spellEnd"/>
      <w:r w:rsidRPr="003365C6">
        <w:rPr>
          <w:lang w:val="en-AU"/>
        </w:rPr>
        <w:t xml:space="preserve"> suggests the development of advanced knowledge</w:t>
      </w:r>
      <w:r w:rsidR="001C4F4E">
        <w:rPr>
          <w:lang w:val="en-AU"/>
        </w:rPr>
        <w:t>—</w:t>
      </w:r>
      <w:r w:rsidRPr="003365C6">
        <w:rPr>
          <w:lang w:val="en-AU"/>
        </w:rPr>
        <w:t>a fuller relationship than</w:t>
      </w:r>
      <w:r w:rsidRPr="003365C6">
        <w:rPr>
          <w:i/>
          <w:lang w:val="en-AU"/>
        </w:rPr>
        <w:t xml:space="preserve"> </w:t>
      </w:r>
      <w:proofErr w:type="spellStart"/>
      <w:r w:rsidRPr="003365C6">
        <w:rPr>
          <w:i/>
          <w:lang w:val="en-AU"/>
        </w:rPr>
        <w:t>ginōskō</w:t>
      </w:r>
      <w:proofErr w:type="spellEnd"/>
      <w:r w:rsidRPr="003365C6">
        <w:rPr>
          <w:i/>
          <w:lang w:val="en-AU"/>
        </w:rPr>
        <w:t>.</w:t>
      </w:r>
      <w:r w:rsidRPr="003365C6">
        <w:rPr>
          <w:lang w:val="en-AU"/>
        </w:rPr>
        <w:t xml:space="preserve"> Another Greek term translated as </w:t>
      </w:r>
      <w:r w:rsidR="000E2CE6">
        <w:rPr>
          <w:lang w:val="en-AU"/>
        </w:rPr>
        <w:t>“</w:t>
      </w:r>
      <w:r w:rsidRPr="003365C6">
        <w:rPr>
          <w:lang w:val="en-AU"/>
        </w:rPr>
        <w:t>know</w:t>
      </w:r>
      <w:r w:rsidR="000E2CE6">
        <w:rPr>
          <w:lang w:val="en-AU"/>
        </w:rPr>
        <w:t>”</w:t>
      </w:r>
      <w:r w:rsidRPr="003365C6">
        <w:rPr>
          <w:lang w:val="en-AU"/>
        </w:rPr>
        <w:t xml:space="preserve"> is </w:t>
      </w:r>
      <w:proofErr w:type="spellStart"/>
      <w:r w:rsidRPr="003365C6">
        <w:rPr>
          <w:i/>
          <w:lang w:val="en-AU"/>
        </w:rPr>
        <w:t>oida</w:t>
      </w:r>
      <w:proofErr w:type="spellEnd"/>
      <w:r w:rsidRPr="003365C6">
        <w:rPr>
          <w:lang w:val="en-AU"/>
        </w:rPr>
        <w:t xml:space="preserve"> from the same root as </w:t>
      </w:r>
      <w:proofErr w:type="spellStart"/>
      <w:r w:rsidRPr="003365C6">
        <w:rPr>
          <w:i/>
          <w:lang w:val="en-AU"/>
        </w:rPr>
        <w:t>eidon</w:t>
      </w:r>
      <w:proofErr w:type="spellEnd"/>
      <w:r w:rsidRPr="003365C6">
        <w:rPr>
          <w:i/>
          <w:lang w:val="en-AU"/>
        </w:rPr>
        <w:t xml:space="preserve"> </w:t>
      </w:r>
      <w:r w:rsidRPr="003365C6">
        <w:rPr>
          <w:lang w:val="en-AU"/>
        </w:rPr>
        <w:t>(to see)</w:t>
      </w:r>
      <w:r w:rsidRPr="003365C6">
        <w:rPr>
          <w:rStyle w:val="FootnoteReference"/>
          <w:lang w:val="en-AU"/>
        </w:rPr>
        <w:footnoteReference w:id="55"/>
      </w:r>
      <w:r w:rsidRPr="003365C6">
        <w:rPr>
          <w:lang w:val="en-AU"/>
        </w:rPr>
        <w:t xml:space="preserve"> to know from observation or to perceive</w:t>
      </w:r>
      <w:r w:rsidR="001C4F4E">
        <w:rPr>
          <w:lang w:val="en-AU"/>
        </w:rPr>
        <w:t>,</w:t>
      </w:r>
      <w:r w:rsidRPr="003365C6">
        <w:rPr>
          <w:lang w:val="en-AU"/>
        </w:rPr>
        <w:t xml:space="preserve"> and both forms (</w:t>
      </w:r>
      <w:proofErr w:type="spellStart"/>
      <w:r w:rsidRPr="003365C6">
        <w:rPr>
          <w:i/>
          <w:lang w:val="en-AU"/>
        </w:rPr>
        <w:t>oida</w:t>
      </w:r>
      <w:proofErr w:type="spellEnd"/>
      <w:r w:rsidRPr="003365C6">
        <w:rPr>
          <w:i/>
          <w:lang w:val="en-AU"/>
        </w:rPr>
        <w:t>/</w:t>
      </w:r>
      <w:proofErr w:type="spellStart"/>
      <w:r w:rsidRPr="003365C6">
        <w:rPr>
          <w:i/>
          <w:lang w:val="en-AU"/>
        </w:rPr>
        <w:t>eidon</w:t>
      </w:r>
      <w:proofErr w:type="spellEnd"/>
      <w:r w:rsidRPr="003365C6">
        <w:rPr>
          <w:lang w:val="en-AU"/>
        </w:rPr>
        <w:t xml:space="preserve">) are used to translate </w:t>
      </w:r>
      <w:r w:rsidRPr="003365C6">
        <w:rPr>
          <w:i/>
          <w:iCs/>
          <w:lang w:val="en-AU" w:eastAsia="en-AU"/>
        </w:rPr>
        <w:t>yd</w:t>
      </w:r>
      <w:r w:rsidR="000E2CE6">
        <w:rPr>
          <w:i/>
          <w:iCs/>
          <w:lang w:val="en-AU" w:eastAsia="en-AU"/>
        </w:rPr>
        <w:t>’</w:t>
      </w:r>
      <w:r w:rsidRPr="003365C6">
        <w:rPr>
          <w:iCs/>
          <w:lang w:val="en-AU" w:eastAsia="en-AU"/>
        </w:rPr>
        <w:t xml:space="preserve"> </w:t>
      </w:r>
      <w:r w:rsidRPr="003365C6">
        <w:rPr>
          <w:lang w:val="en-AU"/>
        </w:rPr>
        <w:t xml:space="preserve">in the LXX of the Exodus account (cf. </w:t>
      </w:r>
      <w:r w:rsidRPr="003365C6">
        <w:t xml:space="preserve">Exod 3:7, 19; 5:2; 9:14; 11:7; 33:12, 17).  </w:t>
      </w:r>
    </w:p>
    <w:p w:rsidR="005E0D2B" w:rsidRDefault="005E0D2B" w:rsidP="0048421A"/>
    <w:p w:rsidR="0048421A" w:rsidRPr="003365C6" w:rsidRDefault="0048421A" w:rsidP="0048421A">
      <w:pPr>
        <w:rPr>
          <w:lang w:val="en-AU"/>
        </w:rPr>
      </w:pPr>
      <w:r w:rsidRPr="003365C6">
        <w:t xml:space="preserve">The sense of intimacy in </w:t>
      </w:r>
      <w:proofErr w:type="spellStart"/>
      <w:r w:rsidRPr="003365C6">
        <w:rPr>
          <w:i/>
          <w:lang w:val="en-AU"/>
        </w:rPr>
        <w:t>ginōskō</w:t>
      </w:r>
      <w:proofErr w:type="spellEnd"/>
      <w:r w:rsidRPr="003365C6">
        <w:rPr>
          <w:lang w:val="en-AU"/>
        </w:rPr>
        <w:t xml:space="preserve"> is particularly noticeable in Jesus</w:t>
      </w:r>
      <w:r w:rsidR="000E2CE6">
        <w:rPr>
          <w:lang w:val="en-AU"/>
        </w:rPr>
        <w:t>’</w:t>
      </w:r>
      <w:r w:rsidRPr="003365C6">
        <w:rPr>
          <w:lang w:val="en-AU"/>
        </w:rPr>
        <w:t xml:space="preserve"> response to Philip</w:t>
      </w:r>
      <w:r w:rsidR="001C4F4E">
        <w:rPr>
          <w:lang w:val="en-AU"/>
        </w:rPr>
        <w:t>.</w:t>
      </w:r>
      <w:r w:rsidRPr="003365C6">
        <w:rPr>
          <w:lang w:val="en-AU"/>
        </w:rPr>
        <w:t xml:space="preserve"> Jesus said to him, </w:t>
      </w:r>
      <w:r w:rsidR="000E2CE6">
        <w:rPr>
          <w:lang w:val="en-AU"/>
        </w:rPr>
        <w:t>“</w:t>
      </w:r>
      <w:r w:rsidRPr="003365C6">
        <w:rPr>
          <w:lang w:val="en-AU"/>
        </w:rPr>
        <w:t xml:space="preserve">Have I been with you </w:t>
      </w:r>
      <w:r w:rsidRPr="003365C6">
        <w:rPr>
          <w:u w:val="single"/>
          <w:lang w:val="en-AU"/>
        </w:rPr>
        <w:t>so long</w:t>
      </w:r>
      <w:r w:rsidRPr="003365C6">
        <w:rPr>
          <w:lang w:val="en-AU"/>
        </w:rPr>
        <w:t xml:space="preserve">, and yet you have </w:t>
      </w:r>
      <w:r w:rsidRPr="003365C6">
        <w:rPr>
          <w:lang w:val="en-AU"/>
        </w:rPr>
        <w:lastRenderedPageBreak/>
        <w:t xml:space="preserve">not </w:t>
      </w:r>
      <w:r w:rsidRPr="003365C6">
        <w:rPr>
          <w:u w:val="single"/>
          <w:lang w:val="en-AU"/>
        </w:rPr>
        <w:t>known</w:t>
      </w:r>
      <w:r w:rsidRPr="003365C6">
        <w:rPr>
          <w:lang w:val="en-AU"/>
        </w:rPr>
        <w:t xml:space="preserve"> (</w:t>
      </w:r>
      <w:proofErr w:type="spellStart"/>
      <w:r w:rsidRPr="003365C6">
        <w:rPr>
          <w:i/>
          <w:lang w:val="en-AU"/>
        </w:rPr>
        <w:t>ginōskō</w:t>
      </w:r>
      <w:proofErr w:type="spellEnd"/>
      <w:r w:rsidRPr="003365C6">
        <w:rPr>
          <w:bCs/>
          <w:lang w:val="en-AU"/>
        </w:rPr>
        <w:t>)</w:t>
      </w:r>
      <w:r w:rsidRPr="003365C6">
        <w:rPr>
          <w:rStyle w:val="FootnoteReference"/>
          <w:bCs/>
          <w:lang w:val="en-AU"/>
        </w:rPr>
        <w:footnoteReference w:id="56"/>
      </w:r>
      <w:r w:rsidRPr="003365C6">
        <w:rPr>
          <w:bCs/>
          <w:lang w:val="en-AU"/>
        </w:rPr>
        <w:t xml:space="preserve"> </w:t>
      </w:r>
      <w:r w:rsidR="001C4F4E">
        <w:rPr>
          <w:lang w:val="en-AU"/>
        </w:rPr>
        <w:t>m</w:t>
      </w:r>
      <w:r w:rsidRPr="003365C6">
        <w:rPr>
          <w:lang w:val="en-AU"/>
        </w:rPr>
        <w:t xml:space="preserve">e, Philip? He who has </w:t>
      </w:r>
      <w:r w:rsidRPr="003365C6">
        <w:rPr>
          <w:u w:val="single"/>
          <w:lang w:val="en-AU"/>
        </w:rPr>
        <w:t>seen</w:t>
      </w:r>
      <w:r w:rsidRPr="003365C6">
        <w:rPr>
          <w:lang w:val="en-AU"/>
        </w:rPr>
        <w:t xml:space="preserve"> </w:t>
      </w:r>
      <w:r w:rsidR="001C4F4E">
        <w:rPr>
          <w:lang w:val="en-AU"/>
        </w:rPr>
        <w:t>m</w:t>
      </w:r>
      <w:r w:rsidRPr="003365C6">
        <w:rPr>
          <w:lang w:val="en-AU"/>
        </w:rPr>
        <w:t xml:space="preserve">e has </w:t>
      </w:r>
      <w:r w:rsidRPr="003365C6">
        <w:rPr>
          <w:u w:val="single"/>
          <w:lang w:val="en-AU"/>
        </w:rPr>
        <w:t>seen</w:t>
      </w:r>
      <w:r w:rsidRPr="003365C6">
        <w:rPr>
          <w:lang w:val="en-AU"/>
        </w:rPr>
        <w:t xml:space="preserve"> the Father; so how can you say, </w:t>
      </w:r>
      <w:r w:rsidR="000E2CE6">
        <w:rPr>
          <w:lang w:val="en-AU"/>
        </w:rPr>
        <w:t>‘</w:t>
      </w:r>
      <w:r w:rsidRPr="003365C6">
        <w:rPr>
          <w:lang w:val="en-AU"/>
        </w:rPr>
        <w:t>Show us the Father</w:t>
      </w:r>
      <w:r w:rsidR="000E2CE6">
        <w:rPr>
          <w:lang w:val="en-AU"/>
        </w:rPr>
        <w:t>’</w:t>
      </w:r>
      <w:r w:rsidRPr="003365C6">
        <w:rPr>
          <w:lang w:val="en-AU"/>
        </w:rPr>
        <w:t>?</w:t>
      </w:r>
      <w:r w:rsidR="000E2CE6">
        <w:rPr>
          <w:lang w:val="en-AU"/>
        </w:rPr>
        <w:t>”</w:t>
      </w:r>
      <w:r w:rsidRPr="003365C6">
        <w:rPr>
          <w:b/>
          <w:bCs/>
          <w:lang w:val="en-AU"/>
        </w:rPr>
        <w:t xml:space="preserve"> </w:t>
      </w:r>
      <w:r w:rsidRPr="003365C6">
        <w:rPr>
          <w:bCs/>
          <w:lang w:val="en-AU"/>
        </w:rPr>
        <w:t>(John 14:9)</w:t>
      </w:r>
      <w:r w:rsidR="001C4F4E">
        <w:rPr>
          <w:bCs/>
          <w:lang w:val="en-AU"/>
        </w:rPr>
        <w:t>.</w:t>
      </w:r>
      <w:r w:rsidRPr="003365C6">
        <w:rPr>
          <w:bCs/>
          <w:lang w:val="en-AU"/>
        </w:rPr>
        <w:t xml:space="preserve"> </w:t>
      </w:r>
      <w:r w:rsidRPr="003365C6">
        <w:t xml:space="preserve">The Greek literally reads: </w:t>
      </w:r>
      <w:r w:rsidR="000E2CE6">
        <w:t>“</w:t>
      </w:r>
      <w:r w:rsidRPr="001C4F4E">
        <w:t>so much time with you I-Am and not you-have-known me Philip?</w:t>
      </w:r>
      <w:r w:rsidR="000E2CE6">
        <w:t>”</w:t>
      </w:r>
      <w:r w:rsidRPr="003365C6">
        <w:t xml:space="preserve">  Although the I-AM verb in the construct is purely functional</w:t>
      </w:r>
      <w:r w:rsidR="001C4F4E">
        <w:t>,</w:t>
      </w:r>
      <w:r w:rsidRPr="003365C6">
        <w:t xml:space="preserve"> it resonates with significance when placed alongside the other Johannine I-AM sayings. The reference to time (so long/such a long time</w:t>
      </w:r>
      <w:r w:rsidR="001C4F4E">
        <w:t>,</w:t>
      </w:r>
      <w:r w:rsidRPr="003365C6">
        <w:t xml:space="preserve"> NIV/YLT etc</w:t>
      </w:r>
      <w:r w:rsidR="001C4F4E">
        <w:t>.</w:t>
      </w:r>
      <w:r w:rsidRPr="003365C6">
        <w:t xml:space="preserve">) indicates that exposure to and intimacy with Jesus should have resulted in </w:t>
      </w:r>
      <w:r w:rsidR="000E2CE6">
        <w:t>“</w:t>
      </w:r>
      <w:r w:rsidRPr="003365C6">
        <w:t>knowing</w:t>
      </w:r>
      <w:r w:rsidR="000E2CE6">
        <w:t>”</w:t>
      </w:r>
      <w:r w:rsidRPr="003365C6">
        <w:t xml:space="preserve"> him and therefore in </w:t>
      </w:r>
      <w:r w:rsidR="000E2CE6">
        <w:t>“</w:t>
      </w:r>
      <w:r w:rsidRPr="003365C6">
        <w:t>knowing</w:t>
      </w:r>
      <w:r w:rsidR="000E2CE6">
        <w:t>”</w:t>
      </w:r>
      <w:r w:rsidRPr="003365C6">
        <w:t xml:space="preserve"> the Father. </w:t>
      </w:r>
      <w:r w:rsidRPr="003365C6">
        <w:rPr>
          <w:rFonts w:eastAsiaTheme="minorHAnsi"/>
          <w:lang w:val="en-AU"/>
        </w:rPr>
        <w:t xml:space="preserve">The twin themes of </w:t>
      </w:r>
      <w:r w:rsidRPr="003365C6">
        <w:rPr>
          <w:rFonts w:eastAsiaTheme="minorHAnsi"/>
          <w:u w:val="single"/>
          <w:lang w:val="en-AU"/>
        </w:rPr>
        <w:t>knowing and seeing</w:t>
      </w:r>
      <w:r w:rsidRPr="003365C6">
        <w:rPr>
          <w:rFonts w:eastAsiaTheme="minorHAnsi"/>
          <w:lang w:val="en-AU"/>
        </w:rPr>
        <w:t xml:space="preserve"> God encountered in Philip</w:t>
      </w:r>
      <w:r w:rsidR="000E2CE6">
        <w:rPr>
          <w:rFonts w:eastAsiaTheme="minorHAnsi"/>
          <w:lang w:val="en-AU"/>
        </w:rPr>
        <w:t>’</w:t>
      </w:r>
      <w:r w:rsidRPr="003365C6">
        <w:rPr>
          <w:rFonts w:eastAsiaTheme="minorHAnsi"/>
          <w:lang w:val="en-AU"/>
        </w:rPr>
        <w:t>s question</w:t>
      </w:r>
      <w:r w:rsidR="001C4F4E">
        <w:rPr>
          <w:rFonts w:eastAsiaTheme="minorHAnsi"/>
          <w:lang w:val="en-AU"/>
        </w:rPr>
        <w:t>,</w:t>
      </w:r>
      <w:r w:rsidRPr="003365C6">
        <w:rPr>
          <w:rFonts w:eastAsiaTheme="minorHAnsi"/>
          <w:lang w:val="en-AU"/>
        </w:rPr>
        <w:t xml:space="preserve"> and in Jesus</w:t>
      </w:r>
      <w:r w:rsidR="000E2CE6">
        <w:rPr>
          <w:rFonts w:eastAsiaTheme="minorHAnsi"/>
          <w:lang w:val="en-AU"/>
        </w:rPr>
        <w:t>’</w:t>
      </w:r>
      <w:r w:rsidRPr="003365C6">
        <w:rPr>
          <w:rFonts w:eastAsiaTheme="minorHAnsi"/>
          <w:lang w:val="en-AU"/>
        </w:rPr>
        <w:t xml:space="preserve"> subsequent promise of the comforter (John 14:17)</w:t>
      </w:r>
      <w:r w:rsidR="001C4F4E">
        <w:rPr>
          <w:rFonts w:eastAsiaTheme="minorHAnsi"/>
          <w:lang w:val="en-AU"/>
        </w:rPr>
        <w:t>,</w:t>
      </w:r>
      <w:r w:rsidRPr="003365C6">
        <w:rPr>
          <w:rStyle w:val="FootnoteReference"/>
          <w:rFonts w:eastAsiaTheme="minorHAnsi"/>
          <w:lang w:val="en-AU"/>
        </w:rPr>
        <w:footnoteReference w:id="57"/>
      </w:r>
      <w:r w:rsidRPr="003365C6">
        <w:rPr>
          <w:rFonts w:eastAsiaTheme="minorHAnsi"/>
          <w:lang w:val="en-AU"/>
        </w:rPr>
        <w:t xml:space="preserve"> echoes the </w:t>
      </w:r>
      <w:r w:rsidR="000E2CE6">
        <w:rPr>
          <w:rFonts w:eastAsiaTheme="minorHAnsi"/>
          <w:lang w:val="en-AU"/>
        </w:rPr>
        <w:t>“</w:t>
      </w:r>
      <w:r w:rsidRPr="003365C6">
        <w:rPr>
          <w:rFonts w:eastAsiaTheme="minorHAnsi"/>
          <w:lang w:val="en-AU"/>
        </w:rPr>
        <w:t>presence</w:t>
      </w:r>
      <w:r w:rsidR="000E2CE6">
        <w:rPr>
          <w:rFonts w:eastAsiaTheme="minorHAnsi"/>
          <w:lang w:val="en-AU"/>
        </w:rPr>
        <w:t>”</w:t>
      </w:r>
      <w:r w:rsidRPr="003365C6">
        <w:rPr>
          <w:rFonts w:eastAsiaTheme="minorHAnsi"/>
          <w:lang w:val="en-AU"/>
        </w:rPr>
        <w:t xml:space="preserve"> of </w:t>
      </w:r>
      <w:r w:rsidRPr="003365C6">
        <w:rPr>
          <w:rFonts w:eastAsiaTheme="minorHAnsi"/>
          <w:i/>
          <w:lang w:val="en-AU"/>
        </w:rPr>
        <w:t>Yahweh</w:t>
      </w:r>
      <w:r w:rsidR="00122E23">
        <w:rPr>
          <w:rFonts w:eastAsiaTheme="minorHAnsi"/>
          <w:lang w:val="en-AU"/>
        </w:rPr>
        <w:t xml:space="preserve"> in Exod</w:t>
      </w:r>
      <w:r w:rsidRPr="003365C6">
        <w:rPr>
          <w:rFonts w:eastAsiaTheme="minorHAnsi"/>
          <w:lang w:val="en-AU"/>
        </w:rPr>
        <w:t xml:space="preserve"> 33:14. </w:t>
      </w:r>
      <w:r w:rsidRPr="003365C6">
        <w:rPr>
          <w:lang w:val="en-AU"/>
        </w:rPr>
        <w:t>The allusion in John 14 is (similar to Ex</w:t>
      </w:r>
      <w:r w:rsidR="001C4F4E">
        <w:rPr>
          <w:lang w:val="en-AU"/>
        </w:rPr>
        <w:t xml:space="preserve">od </w:t>
      </w:r>
      <w:r w:rsidRPr="003365C6">
        <w:rPr>
          <w:lang w:val="en-AU"/>
        </w:rPr>
        <w:t xml:space="preserve">6:3) therefore linked with knowing the </w:t>
      </w:r>
      <w:r w:rsidRPr="003365C6">
        <w:rPr>
          <w:i/>
          <w:lang w:val="en-AU"/>
        </w:rPr>
        <w:t>Yahweh</w:t>
      </w:r>
      <w:r w:rsidRPr="003365C6">
        <w:rPr>
          <w:lang w:val="en-AU"/>
        </w:rPr>
        <w:t xml:space="preserve"> name:</w:t>
      </w:r>
    </w:p>
    <w:p w:rsidR="0048421A" w:rsidRPr="003365C6" w:rsidRDefault="0048421A" w:rsidP="0048421A">
      <w:pPr>
        <w:rPr>
          <w:lang w:val="en-AU"/>
        </w:rPr>
      </w:pPr>
    </w:p>
    <w:tbl>
      <w:tblPr>
        <w:tblStyle w:val="TableGrid"/>
        <w:tblW w:w="0" w:type="auto"/>
        <w:tblInd w:w="250" w:type="dxa"/>
        <w:tblLook w:val="04A0" w:firstRow="1" w:lastRow="0" w:firstColumn="1" w:lastColumn="0" w:noHBand="0" w:noVBand="1"/>
      </w:tblPr>
      <w:tblGrid>
        <w:gridCol w:w="3480"/>
        <w:gridCol w:w="3466"/>
      </w:tblGrid>
      <w:tr w:rsidR="0048421A" w:rsidRPr="003365C6" w:rsidTr="001C4F4E">
        <w:tc>
          <w:tcPr>
            <w:tcW w:w="3480" w:type="dxa"/>
            <w:shd w:val="pct25" w:color="auto" w:fill="auto"/>
          </w:tcPr>
          <w:p w:rsidR="0048421A" w:rsidRPr="003365C6" w:rsidRDefault="0048421A" w:rsidP="00E41A3C">
            <w:pPr>
              <w:autoSpaceDE w:val="0"/>
              <w:autoSpaceDN w:val="0"/>
              <w:adjustRightInd w:val="0"/>
              <w:jc w:val="center"/>
              <w:rPr>
                <w:b/>
                <w:lang w:val="en-AU"/>
              </w:rPr>
            </w:pPr>
            <w:r w:rsidRPr="003365C6">
              <w:rPr>
                <w:b/>
                <w:lang w:val="en-AU"/>
              </w:rPr>
              <w:t>Exodus 33</w:t>
            </w:r>
          </w:p>
        </w:tc>
        <w:tc>
          <w:tcPr>
            <w:tcW w:w="3466" w:type="dxa"/>
            <w:shd w:val="pct25" w:color="auto" w:fill="auto"/>
          </w:tcPr>
          <w:p w:rsidR="0048421A" w:rsidRPr="003365C6" w:rsidRDefault="0048421A" w:rsidP="00E41A3C">
            <w:pPr>
              <w:autoSpaceDE w:val="0"/>
              <w:autoSpaceDN w:val="0"/>
              <w:adjustRightInd w:val="0"/>
              <w:jc w:val="center"/>
              <w:rPr>
                <w:b/>
                <w:lang w:val="en-AU"/>
              </w:rPr>
            </w:pPr>
            <w:r w:rsidRPr="003365C6">
              <w:rPr>
                <w:b/>
                <w:lang w:val="en-AU"/>
              </w:rPr>
              <w:t>John 14</w:t>
            </w:r>
          </w:p>
        </w:tc>
      </w:tr>
      <w:tr w:rsidR="0048421A" w:rsidRPr="003365C6" w:rsidTr="001C4F4E">
        <w:tc>
          <w:tcPr>
            <w:tcW w:w="3480" w:type="dxa"/>
          </w:tcPr>
          <w:p w:rsidR="0048421A" w:rsidRPr="003365C6" w:rsidRDefault="0048421A" w:rsidP="001C4F4E">
            <w:pPr>
              <w:autoSpaceDE w:val="0"/>
              <w:autoSpaceDN w:val="0"/>
              <w:adjustRightInd w:val="0"/>
              <w:jc w:val="left"/>
              <w:rPr>
                <w:lang w:val="en-AU"/>
              </w:rPr>
            </w:pPr>
            <w:r w:rsidRPr="003365C6">
              <w:rPr>
                <w:lang w:val="en-AU"/>
              </w:rPr>
              <w:t xml:space="preserve">Show me now </w:t>
            </w:r>
            <w:r w:rsidRPr="003365C6">
              <w:rPr>
                <w:u w:val="single"/>
                <w:lang w:val="en-AU"/>
              </w:rPr>
              <w:t>your way</w:t>
            </w:r>
            <w:r w:rsidRPr="003365C6">
              <w:rPr>
                <w:lang w:val="en-AU"/>
              </w:rPr>
              <w:t xml:space="preserve">, that I may </w:t>
            </w:r>
            <w:r w:rsidRPr="003365C6">
              <w:rPr>
                <w:u w:val="single"/>
                <w:lang w:val="en-AU"/>
              </w:rPr>
              <w:t>know You</w:t>
            </w:r>
            <w:r w:rsidRPr="003365C6">
              <w:rPr>
                <w:lang w:val="en-AU"/>
              </w:rPr>
              <w:t xml:space="preserve"> (v.</w:t>
            </w:r>
            <w:r w:rsidR="001C4F4E">
              <w:rPr>
                <w:lang w:val="en-AU"/>
              </w:rPr>
              <w:t xml:space="preserve"> </w:t>
            </w:r>
            <w:r w:rsidRPr="003365C6">
              <w:rPr>
                <w:lang w:val="en-AU"/>
              </w:rPr>
              <w:t>13)</w:t>
            </w:r>
            <w:r w:rsidRPr="003365C6">
              <w:rPr>
                <w:rStyle w:val="FootnoteReference"/>
                <w:lang w:val="en-AU"/>
              </w:rPr>
              <w:footnoteReference w:id="58"/>
            </w:r>
          </w:p>
        </w:tc>
        <w:tc>
          <w:tcPr>
            <w:tcW w:w="3466" w:type="dxa"/>
          </w:tcPr>
          <w:p w:rsidR="0048421A" w:rsidRPr="003365C6" w:rsidRDefault="0048421A" w:rsidP="001C4F4E">
            <w:pPr>
              <w:autoSpaceDE w:val="0"/>
              <w:autoSpaceDN w:val="0"/>
              <w:adjustRightInd w:val="0"/>
              <w:jc w:val="left"/>
              <w:rPr>
                <w:lang w:val="en-AU"/>
              </w:rPr>
            </w:pPr>
            <w:r w:rsidRPr="003365C6">
              <w:rPr>
                <w:lang w:val="en-AU"/>
              </w:rPr>
              <w:t xml:space="preserve">And where I go you know, and </w:t>
            </w:r>
            <w:r w:rsidRPr="003365C6">
              <w:rPr>
                <w:u w:val="single"/>
                <w:lang w:val="en-AU"/>
              </w:rPr>
              <w:t>the way you know</w:t>
            </w:r>
            <w:r w:rsidRPr="003365C6">
              <w:rPr>
                <w:lang w:val="en-AU"/>
              </w:rPr>
              <w:t>. (v.</w:t>
            </w:r>
            <w:r w:rsidR="001C4F4E">
              <w:rPr>
                <w:lang w:val="en-AU"/>
              </w:rPr>
              <w:t xml:space="preserve"> </w:t>
            </w:r>
            <w:r w:rsidRPr="003365C6">
              <w:rPr>
                <w:lang w:val="en-AU"/>
              </w:rPr>
              <w:t>4)</w:t>
            </w:r>
          </w:p>
          <w:p w:rsidR="0048421A" w:rsidRPr="003365C6" w:rsidRDefault="0048421A" w:rsidP="001C4F4E">
            <w:pPr>
              <w:autoSpaceDE w:val="0"/>
              <w:autoSpaceDN w:val="0"/>
              <w:adjustRightInd w:val="0"/>
              <w:jc w:val="left"/>
              <w:rPr>
                <w:lang w:val="en-AU"/>
              </w:rPr>
            </w:pPr>
          </w:p>
          <w:p w:rsidR="0048421A" w:rsidRPr="003365C6" w:rsidRDefault="0048421A" w:rsidP="001C4F4E">
            <w:pPr>
              <w:autoSpaceDE w:val="0"/>
              <w:autoSpaceDN w:val="0"/>
              <w:adjustRightInd w:val="0"/>
              <w:jc w:val="left"/>
              <w:rPr>
                <w:lang w:val="en-AU"/>
              </w:rPr>
            </w:pPr>
          </w:p>
          <w:p w:rsidR="0048421A" w:rsidRPr="003365C6" w:rsidRDefault="0048421A" w:rsidP="001C4F4E">
            <w:pPr>
              <w:autoSpaceDE w:val="0"/>
              <w:autoSpaceDN w:val="0"/>
              <w:adjustRightInd w:val="0"/>
              <w:jc w:val="left"/>
              <w:rPr>
                <w:lang w:val="en-AU"/>
              </w:rPr>
            </w:pPr>
          </w:p>
        </w:tc>
      </w:tr>
      <w:tr w:rsidR="0048421A" w:rsidRPr="003365C6" w:rsidTr="001C4F4E">
        <w:tc>
          <w:tcPr>
            <w:tcW w:w="3480" w:type="dxa"/>
          </w:tcPr>
          <w:p w:rsidR="0048421A" w:rsidRPr="003365C6" w:rsidRDefault="0048421A" w:rsidP="001C4F4E">
            <w:pPr>
              <w:jc w:val="left"/>
            </w:pPr>
            <w:r w:rsidRPr="003365C6">
              <w:rPr>
                <w:lang w:val="en-AU"/>
              </w:rPr>
              <w:t xml:space="preserve">You have not let me know </w:t>
            </w:r>
            <w:r w:rsidRPr="003365C6">
              <w:rPr>
                <w:u w:val="single"/>
                <w:lang w:val="en-AU"/>
              </w:rPr>
              <w:t>whom You will send with me</w:t>
            </w:r>
            <w:r w:rsidRPr="003365C6">
              <w:rPr>
                <w:lang w:val="en-AU"/>
              </w:rPr>
              <w:t xml:space="preserve"> (v.</w:t>
            </w:r>
            <w:r w:rsidR="001C4F4E">
              <w:rPr>
                <w:lang w:val="en-AU"/>
              </w:rPr>
              <w:t xml:space="preserve"> </w:t>
            </w:r>
            <w:r w:rsidRPr="003365C6">
              <w:rPr>
                <w:lang w:val="en-AU"/>
              </w:rPr>
              <w:t>12)</w:t>
            </w:r>
          </w:p>
          <w:p w:rsidR="0048421A" w:rsidRPr="003365C6" w:rsidRDefault="0048421A" w:rsidP="001C4F4E">
            <w:pPr>
              <w:autoSpaceDE w:val="0"/>
              <w:autoSpaceDN w:val="0"/>
              <w:adjustRightInd w:val="0"/>
              <w:jc w:val="left"/>
              <w:rPr>
                <w:lang w:val="en-AU"/>
              </w:rPr>
            </w:pPr>
          </w:p>
          <w:p w:rsidR="0048421A" w:rsidRPr="003365C6" w:rsidRDefault="0048421A" w:rsidP="001C4F4E">
            <w:pPr>
              <w:autoSpaceDE w:val="0"/>
              <w:autoSpaceDN w:val="0"/>
              <w:adjustRightInd w:val="0"/>
              <w:jc w:val="left"/>
              <w:rPr>
                <w:iCs/>
                <w:lang w:val="en-AU"/>
              </w:rPr>
            </w:pPr>
            <w:r w:rsidRPr="003365C6">
              <w:rPr>
                <w:lang w:val="en-AU"/>
              </w:rPr>
              <w:t xml:space="preserve">My Presence will go </w:t>
            </w:r>
            <w:r w:rsidRPr="003365C6">
              <w:rPr>
                <w:i/>
                <w:iCs/>
                <w:lang w:val="en-AU"/>
              </w:rPr>
              <w:t>with you</w:t>
            </w:r>
            <w:r w:rsidRPr="003365C6">
              <w:rPr>
                <w:iCs/>
                <w:lang w:val="en-AU"/>
              </w:rPr>
              <w:t xml:space="preserve"> (v.</w:t>
            </w:r>
            <w:r w:rsidR="001C4F4E">
              <w:rPr>
                <w:iCs/>
                <w:lang w:val="en-AU"/>
              </w:rPr>
              <w:t xml:space="preserve"> </w:t>
            </w:r>
            <w:r w:rsidRPr="003365C6">
              <w:rPr>
                <w:iCs/>
                <w:lang w:val="en-AU"/>
              </w:rPr>
              <w:t>14)</w:t>
            </w:r>
          </w:p>
          <w:p w:rsidR="0048421A" w:rsidRPr="003365C6" w:rsidRDefault="0048421A" w:rsidP="001C4F4E">
            <w:pPr>
              <w:autoSpaceDE w:val="0"/>
              <w:autoSpaceDN w:val="0"/>
              <w:adjustRightInd w:val="0"/>
              <w:jc w:val="left"/>
              <w:rPr>
                <w:iCs/>
                <w:lang w:val="en-AU"/>
              </w:rPr>
            </w:pPr>
          </w:p>
          <w:p w:rsidR="0048421A" w:rsidRPr="003365C6" w:rsidRDefault="0048421A" w:rsidP="001C4F4E">
            <w:pPr>
              <w:autoSpaceDE w:val="0"/>
              <w:autoSpaceDN w:val="0"/>
              <w:adjustRightInd w:val="0"/>
              <w:jc w:val="left"/>
              <w:rPr>
                <w:lang w:val="en-AU"/>
              </w:rPr>
            </w:pPr>
            <w:r w:rsidRPr="003365C6">
              <w:rPr>
                <w:lang w:val="en-AU"/>
              </w:rPr>
              <w:t xml:space="preserve">[Cf. </w:t>
            </w:r>
            <w:r w:rsidR="000E2CE6">
              <w:rPr>
                <w:lang w:val="en-AU"/>
              </w:rPr>
              <w:t>“</w:t>
            </w:r>
            <w:r w:rsidRPr="003365C6">
              <w:rPr>
                <w:lang w:val="en-AU"/>
              </w:rPr>
              <w:t>presence</w:t>
            </w:r>
            <w:r w:rsidR="000E2CE6">
              <w:rPr>
                <w:lang w:val="en-AU"/>
              </w:rPr>
              <w:t>”</w:t>
            </w:r>
            <w:r w:rsidRPr="003365C6">
              <w:rPr>
                <w:lang w:val="en-AU"/>
              </w:rPr>
              <w:t xml:space="preserve"> in Isa 63:9-14]</w:t>
            </w:r>
          </w:p>
        </w:tc>
        <w:tc>
          <w:tcPr>
            <w:tcW w:w="3466" w:type="dxa"/>
          </w:tcPr>
          <w:p w:rsidR="0048421A" w:rsidRPr="003365C6" w:rsidRDefault="0048421A" w:rsidP="001C4F4E">
            <w:pPr>
              <w:autoSpaceDE w:val="0"/>
              <w:autoSpaceDN w:val="0"/>
              <w:adjustRightInd w:val="0"/>
              <w:jc w:val="left"/>
              <w:rPr>
                <w:lang w:val="en-AU"/>
              </w:rPr>
            </w:pPr>
            <w:r w:rsidRPr="003365C6">
              <w:rPr>
                <w:u w:val="single"/>
                <w:lang w:val="en-AU"/>
              </w:rPr>
              <w:t>the Father will send</w:t>
            </w:r>
            <w:r w:rsidRPr="003365C6">
              <w:rPr>
                <w:lang w:val="en-AU"/>
              </w:rPr>
              <w:t xml:space="preserve"> (in my name)</w:t>
            </w:r>
          </w:p>
          <w:p w:rsidR="0048421A" w:rsidRPr="003365C6" w:rsidRDefault="0048421A" w:rsidP="001C4F4E">
            <w:pPr>
              <w:autoSpaceDE w:val="0"/>
              <w:autoSpaceDN w:val="0"/>
              <w:adjustRightInd w:val="0"/>
              <w:jc w:val="left"/>
              <w:rPr>
                <w:lang w:val="en-AU"/>
              </w:rPr>
            </w:pPr>
          </w:p>
          <w:p w:rsidR="0048421A" w:rsidRPr="003365C6" w:rsidRDefault="0048421A" w:rsidP="001C4F4E">
            <w:pPr>
              <w:autoSpaceDE w:val="0"/>
              <w:autoSpaceDN w:val="0"/>
              <w:adjustRightInd w:val="0"/>
              <w:jc w:val="left"/>
              <w:rPr>
                <w:lang w:val="en-AU"/>
              </w:rPr>
            </w:pPr>
          </w:p>
          <w:p w:rsidR="0048421A" w:rsidRPr="003365C6" w:rsidRDefault="0048421A" w:rsidP="001C4F4E">
            <w:pPr>
              <w:autoSpaceDE w:val="0"/>
              <w:autoSpaceDN w:val="0"/>
              <w:adjustRightInd w:val="0"/>
              <w:jc w:val="left"/>
              <w:rPr>
                <w:lang w:val="en-AU"/>
              </w:rPr>
            </w:pPr>
            <w:r w:rsidRPr="003365C6">
              <w:rPr>
                <w:lang w:val="en-AU"/>
              </w:rPr>
              <w:t>.... the Helper, the Holy Spirit (v.</w:t>
            </w:r>
            <w:r w:rsidR="001C4F4E">
              <w:rPr>
                <w:lang w:val="en-AU"/>
              </w:rPr>
              <w:t xml:space="preserve"> </w:t>
            </w:r>
            <w:r w:rsidRPr="003365C6">
              <w:rPr>
                <w:lang w:val="en-AU"/>
              </w:rPr>
              <w:t>26)</w:t>
            </w:r>
          </w:p>
          <w:p w:rsidR="0048421A" w:rsidRPr="003365C6" w:rsidRDefault="0048421A" w:rsidP="001C4F4E">
            <w:pPr>
              <w:autoSpaceDE w:val="0"/>
              <w:autoSpaceDN w:val="0"/>
              <w:adjustRightInd w:val="0"/>
              <w:jc w:val="left"/>
              <w:rPr>
                <w:lang w:val="en-AU"/>
              </w:rPr>
            </w:pPr>
          </w:p>
        </w:tc>
      </w:tr>
      <w:tr w:rsidR="0048421A" w:rsidRPr="003365C6" w:rsidTr="001C4F4E">
        <w:tc>
          <w:tcPr>
            <w:tcW w:w="3480" w:type="dxa"/>
          </w:tcPr>
          <w:p w:rsidR="0048421A" w:rsidRPr="003365C6" w:rsidRDefault="0048421A" w:rsidP="001C4F4E">
            <w:pPr>
              <w:autoSpaceDE w:val="0"/>
              <w:autoSpaceDN w:val="0"/>
              <w:adjustRightInd w:val="0"/>
              <w:jc w:val="left"/>
              <w:rPr>
                <w:lang w:val="en-AU"/>
              </w:rPr>
            </w:pPr>
            <w:r w:rsidRPr="003365C6">
              <w:rPr>
                <w:lang w:val="en-AU"/>
              </w:rPr>
              <w:t xml:space="preserve">and </w:t>
            </w:r>
            <w:r w:rsidRPr="003365C6">
              <w:rPr>
                <w:u w:val="single"/>
                <w:lang w:val="en-AU"/>
              </w:rPr>
              <w:t>I will give you rest</w:t>
            </w:r>
            <w:r w:rsidRPr="003365C6">
              <w:rPr>
                <w:lang w:val="en-AU"/>
              </w:rPr>
              <w:t xml:space="preserve"> (v.</w:t>
            </w:r>
            <w:r w:rsidR="001C4F4E">
              <w:rPr>
                <w:lang w:val="en-AU"/>
              </w:rPr>
              <w:t xml:space="preserve"> </w:t>
            </w:r>
            <w:r w:rsidRPr="003365C6">
              <w:rPr>
                <w:lang w:val="en-AU"/>
              </w:rPr>
              <w:t>14)</w:t>
            </w:r>
          </w:p>
          <w:p w:rsidR="0048421A" w:rsidRPr="003365C6" w:rsidRDefault="0048421A" w:rsidP="001C4F4E">
            <w:pPr>
              <w:autoSpaceDE w:val="0"/>
              <w:autoSpaceDN w:val="0"/>
              <w:adjustRightInd w:val="0"/>
              <w:jc w:val="left"/>
              <w:rPr>
                <w:rFonts w:ascii="Arial" w:eastAsiaTheme="minorHAnsi" w:hAnsi="Arial"/>
                <w:b/>
                <w:bCs/>
                <w:lang w:bidi="he-IL"/>
              </w:rPr>
            </w:pPr>
          </w:p>
          <w:p w:rsidR="0048421A" w:rsidRPr="003365C6" w:rsidRDefault="001C4F4E" w:rsidP="001C4F4E">
            <w:pPr>
              <w:autoSpaceDE w:val="0"/>
              <w:autoSpaceDN w:val="0"/>
              <w:adjustRightInd w:val="0"/>
              <w:jc w:val="left"/>
              <w:rPr>
                <w:lang w:val="en-AU"/>
              </w:rPr>
            </w:pPr>
            <w:r>
              <w:rPr>
                <w:lang w:val="en-AU"/>
              </w:rPr>
              <w:t>[Cf. Isa</w:t>
            </w:r>
            <w:r w:rsidR="0048421A" w:rsidRPr="003365C6">
              <w:rPr>
                <w:lang w:val="en-AU"/>
              </w:rPr>
              <w:t xml:space="preserve"> 63:14 </w:t>
            </w:r>
            <w:r w:rsidR="000E2CE6">
              <w:rPr>
                <w:lang w:val="en-AU"/>
              </w:rPr>
              <w:t>‘</w:t>
            </w:r>
            <w:r w:rsidR="0048421A" w:rsidRPr="003365C6">
              <w:rPr>
                <w:lang w:val="en-AU"/>
              </w:rPr>
              <w:t>rest</w:t>
            </w:r>
            <w:r w:rsidR="000E2CE6">
              <w:rPr>
                <w:lang w:val="en-AU"/>
              </w:rPr>
              <w:t>’</w:t>
            </w:r>
            <w:r w:rsidR="0048421A" w:rsidRPr="003365C6">
              <w:rPr>
                <w:lang w:val="en-AU"/>
              </w:rPr>
              <w:t>]</w:t>
            </w:r>
          </w:p>
        </w:tc>
        <w:tc>
          <w:tcPr>
            <w:tcW w:w="3466" w:type="dxa"/>
          </w:tcPr>
          <w:p w:rsidR="0048421A" w:rsidRPr="003365C6" w:rsidRDefault="0048421A" w:rsidP="001C4F4E">
            <w:pPr>
              <w:autoSpaceDE w:val="0"/>
              <w:autoSpaceDN w:val="0"/>
              <w:adjustRightInd w:val="0"/>
              <w:jc w:val="left"/>
              <w:rPr>
                <w:lang w:val="en-AU"/>
              </w:rPr>
            </w:pPr>
            <w:r w:rsidRPr="003365C6">
              <w:rPr>
                <w:u w:val="single"/>
                <w:lang w:val="en-AU"/>
              </w:rPr>
              <w:t>Peace I leave with you</w:t>
            </w:r>
            <w:r w:rsidRPr="003365C6">
              <w:rPr>
                <w:lang w:val="en-AU"/>
              </w:rPr>
              <w:t xml:space="preserve">, </w:t>
            </w:r>
            <w:r w:rsidR="00122E23">
              <w:rPr>
                <w:lang w:val="en-AU"/>
              </w:rPr>
              <w:t>m</w:t>
            </w:r>
            <w:r w:rsidRPr="003365C6">
              <w:rPr>
                <w:lang w:val="en-AU"/>
              </w:rPr>
              <w:t>y peace I give to you (v.</w:t>
            </w:r>
            <w:r w:rsidR="001C4F4E">
              <w:rPr>
                <w:lang w:val="en-AU"/>
              </w:rPr>
              <w:t xml:space="preserve"> </w:t>
            </w:r>
            <w:r w:rsidRPr="003365C6">
              <w:rPr>
                <w:lang w:val="en-AU"/>
              </w:rPr>
              <w:t>27)</w:t>
            </w:r>
          </w:p>
          <w:p w:rsidR="0048421A" w:rsidRPr="003365C6" w:rsidRDefault="0048421A" w:rsidP="001C4F4E">
            <w:pPr>
              <w:autoSpaceDE w:val="0"/>
              <w:autoSpaceDN w:val="0"/>
              <w:adjustRightInd w:val="0"/>
              <w:jc w:val="left"/>
              <w:rPr>
                <w:lang w:val="en-AU"/>
              </w:rPr>
            </w:pPr>
          </w:p>
        </w:tc>
      </w:tr>
    </w:tbl>
    <w:p w:rsidR="001530B1" w:rsidRDefault="001530B1">
      <w:r>
        <w:br w:type="page"/>
      </w:r>
    </w:p>
    <w:tbl>
      <w:tblPr>
        <w:tblStyle w:val="TableGrid"/>
        <w:tblW w:w="0" w:type="auto"/>
        <w:tblInd w:w="250" w:type="dxa"/>
        <w:tblLook w:val="04A0" w:firstRow="1" w:lastRow="0" w:firstColumn="1" w:lastColumn="0" w:noHBand="0" w:noVBand="1"/>
      </w:tblPr>
      <w:tblGrid>
        <w:gridCol w:w="3480"/>
        <w:gridCol w:w="3466"/>
      </w:tblGrid>
      <w:tr w:rsidR="001530B1" w:rsidRPr="003365C6" w:rsidTr="00400A62">
        <w:tc>
          <w:tcPr>
            <w:tcW w:w="3480" w:type="dxa"/>
            <w:shd w:val="pct25" w:color="auto" w:fill="auto"/>
          </w:tcPr>
          <w:p w:rsidR="001530B1" w:rsidRPr="003365C6" w:rsidRDefault="001530B1" w:rsidP="00400A62">
            <w:pPr>
              <w:autoSpaceDE w:val="0"/>
              <w:autoSpaceDN w:val="0"/>
              <w:adjustRightInd w:val="0"/>
              <w:jc w:val="center"/>
              <w:rPr>
                <w:b/>
                <w:lang w:val="en-AU"/>
              </w:rPr>
            </w:pPr>
            <w:r w:rsidRPr="003365C6">
              <w:rPr>
                <w:b/>
                <w:lang w:val="en-AU"/>
              </w:rPr>
              <w:lastRenderedPageBreak/>
              <w:t>Exodus 33</w:t>
            </w:r>
          </w:p>
        </w:tc>
        <w:tc>
          <w:tcPr>
            <w:tcW w:w="3466" w:type="dxa"/>
            <w:shd w:val="pct25" w:color="auto" w:fill="auto"/>
          </w:tcPr>
          <w:p w:rsidR="001530B1" w:rsidRPr="003365C6" w:rsidRDefault="001530B1" w:rsidP="00400A62">
            <w:pPr>
              <w:autoSpaceDE w:val="0"/>
              <w:autoSpaceDN w:val="0"/>
              <w:adjustRightInd w:val="0"/>
              <w:jc w:val="center"/>
              <w:rPr>
                <w:b/>
                <w:lang w:val="en-AU"/>
              </w:rPr>
            </w:pPr>
            <w:r w:rsidRPr="003365C6">
              <w:rPr>
                <w:b/>
                <w:lang w:val="en-AU"/>
              </w:rPr>
              <w:t>John 14</w:t>
            </w:r>
          </w:p>
        </w:tc>
      </w:tr>
      <w:tr w:rsidR="0048421A" w:rsidRPr="003365C6" w:rsidTr="001C4F4E">
        <w:tc>
          <w:tcPr>
            <w:tcW w:w="3480" w:type="dxa"/>
          </w:tcPr>
          <w:p w:rsidR="0048421A" w:rsidRPr="003365C6" w:rsidRDefault="0048421A" w:rsidP="001C4F4E">
            <w:pPr>
              <w:autoSpaceDE w:val="0"/>
              <w:autoSpaceDN w:val="0"/>
              <w:adjustRightInd w:val="0"/>
              <w:jc w:val="left"/>
              <w:rPr>
                <w:lang w:val="en-AU"/>
              </w:rPr>
            </w:pPr>
            <w:r w:rsidRPr="003365C6">
              <w:rPr>
                <w:lang w:val="en-AU"/>
              </w:rPr>
              <w:t xml:space="preserve">Please, </w:t>
            </w:r>
            <w:r w:rsidRPr="003365C6">
              <w:rPr>
                <w:u w:val="single"/>
                <w:lang w:val="en-AU"/>
              </w:rPr>
              <w:t xml:space="preserve">show me </w:t>
            </w:r>
            <w:r w:rsidR="00122E23">
              <w:rPr>
                <w:u w:val="single"/>
                <w:lang w:val="en-AU"/>
              </w:rPr>
              <w:t>y</w:t>
            </w:r>
            <w:r w:rsidRPr="003365C6">
              <w:rPr>
                <w:u w:val="single"/>
                <w:lang w:val="en-AU"/>
              </w:rPr>
              <w:t>our glory</w:t>
            </w:r>
            <w:r w:rsidRPr="003365C6">
              <w:rPr>
                <w:lang w:val="en-AU"/>
              </w:rPr>
              <w:t xml:space="preserve"> (v.</w:t>
            </w:r>
            <w:r w:rsidR="001C4F4E">
              <w:rPr>
                <w:lang w:val="en-AU"/>
              </w:rPr>
              <w:t xml:space="preserve"> </w:t>
            </w:r>
            <w:r w:rsidRPr="003365C6">
              <w:rPr>
                <w:lang w:val="en-AU"/>
              </w:rPr>
              <w:t>18)</w:t>
            </w:r>
          </w:p>
          <w:p w:rsidR="0048421A" w:rsidRPr="003365C6" w:rsidRDefault="0048421A" w:rsidP="001C4F4E">
            <w:pPr>
              <w:autoSpaceDE w:val="0"/>
              <w:autoSpaceDN w:val="0"/>
              <w:adjustRightInd w:val="0"/>
              <w:jc w:val="left"/>
              <w:rPr>
                <w:lang w:val="en-AU"/>
              </w:rPr>
            </w:pPr>
          </w:p>
          <w:p w:rsidR="0048421A" w:rsidRPr="003365C6" w:rsidRDefault="001C4F4E" w:rsidP="001C4F4E">
            <w:pPr>
              <w:autoSpaceDE w:val="0"/>
              <w:autoSpaceDN w:val="0"/>
              <w:adjustRightInd w:val="0"/>
              <w:jc w:val="left"/>
              <w:rPr>
                <w:lang w:val="en-AU"/>
              </w:rPr>
            </w:pPr>
            <w:r>
              <w:rPr>
                <w:lang w:val="en-AU"/>
              </w:rPr>
              <w:t>[Cf. Isa</w:t>
            </w:r>
            <w:r w:rsidR="0048421A" w:rsidRPr="003365C6">
              <w:rPr>
                <w:lang w:val="en-AU"/>
              </w:rPr>
              <w:t xml:space="preserve"> 63:12, 14 </w:t>
            </w:r>
            <w:r w:rsidR="000E2CE6">
              <w:rPr>
                <w:lang w:val="en-AU"/>
              </w:rPr>
              <w:t>‘</w:t>
            </w:r>
            <w:r w:rsidR="0048421A" w:rsidRPr="003365C6">
              <w:rPr>
                <w:lang w:val="en-AU"/>
              </w:rPr>
              <w:t>glorious</w:t>
            </w:r>
            <w:r w:rsidR="000E2CE6">
              <w:rPr>
                <w:lang w:val="en-AU"/>
              </w:rPr>
              <w:t>’</w:t>
            </w:r>
            <w:r w:rsidR="0048421A" w:rsidRPr="003365C6">
              <w:rPr>
                <w:lang w:val="en-AU"/>
              </w:rPr>
              <w:t xml:space="preserve"> – though not Hebrew </w:t>
            </w:r>
            <w:r w:rsidR="000E2CE6">
              <w:rPr>
                <w:lang w:val="en-AU"/>
              </w:rPr>
              <w:t>‘</w:t>
            </w:r>
            <w:proofErr w:type="spellStart"/>
            <w:r w:rsidR="0048421A" w:rsidRPr="003365C6">
              <w:rPr>
                <w:lang w:val="en-AU"/>
              </w:rPr>
              <w:t>kabod</w:t>
            </w:r>
            <w:proofErr w:type="spellEnd"/>
            <w:r w:rsidR="000E2CE6">
              <w:rPr>
                <w:lang w:val="en-AU"/>
              </w:rPr>
              <w:t>’</w:t>
            </w:r>
            <w:r w:rsidR="0048421A" w:rsidRPr="003365C6">
              <w:rPr>
                <w:lang w:val="en-AU"/>
              </w:rPr>
              <w:t>]</w:t>
            </w:r>
          </w:p>
        </w:tc>
        <w:tc>
          <w:tcPr>
            <w:tcW w:w="3466" w:type="dxa"/>
          </w:tcPr>
          <w:p w:rsidR="0048421A" w:rsidRPr="003365C6" w:rsidRDefault="0048421A" w:rsidP="001C4F4E">
            <w:pPr>
              <w:autoSpaceDE w:val="0"/>
              <w:autoSpaceDN w:val="0"/>
              <w:adjustRightInd w:val="0"/>
              <w:jc w:val="left"/>
              <w:rPr>
                <w:lang w:val="en-AU"/>
              </w:rPr>
            </w:pPr>
            <w:r w:rsidRPr="003365C6">
              <w:rPr>
                <w:lang w:val="en-AU"/>
              </w:rPr>
              <w:t xml:space="preserve">Lord, </w:t>
            </w:r>
            <w:r w:rsidRPr="003365C6">
              <w:rPr>
                <w:u w:val="single"/>
                <w:lang w:val="en-AU"/>
              </w:rPr>
              <w:t>show us the Father</w:t>
            </w:r>
            <w:r w:rsidRPr="003365C6">
              <w:rPr>
                <w:lang w:val="en-AU"/>
              </w:rPr>
              <w:t>, and it is sufficient for us. (v.</w:t>
            </w:r>
            <w:r w:rsidR="001C4F4E">
              <w:rPr>
                <w:lang w:val="en-AU"/>
              </w:rPr>
              <w:t xml:space="preserve"> </w:t>
            </w:r>
            <w:r w:rsidRPr="003365C6">
              <w:rPr>
                <w:lang w:val="en-AU"/>
              </w:rPr>
              <w:t>8)</w:t>
            </w:r>
          </w:p>
          <w:p w:rsidR="0048421A" w:rsidRPr="003365C6" w:rsidRDefault="0048421A" w:rsidP="001C4F4E">
            <w:pPr>
              <w:autoSpaceDE w:val="0"/>
              <w:autoSpaceDN w:val="0"/>
              <w:adjustRightInd w:val="0"/>
              <w:jc w:val="left"/>
              <w:rPr>
                <w:lang w:val="en-AU"/>
              </w:rPr>
            </w:pPr>
          </w:p>
          <w:p w:rsidR="0048421A" w:rsidRPr="003365C6" w:rsidRDefault="0048421A" w:rsidP="001C4F4E">
            <w:pPr>
              <w:autoSpaceDE w:val="0"/>
              <w:autoSpaceDN w:val="0"/>
              <w:adjustRightInd w:val="0"/>
              <w:jc w:val="left"/>
              <w:rPr>
                <w:lang w:val="en-AU"/>
              </w:rPr>
            </w:pPr>
          </w:p>
        </w:tc>
      </w:tr>
      <w:tr w:rsidR="0048421A" w:rsidRPr="003365C6" w:rsidTr="001C4F4E">
        <w:tc>
          <w:tcPr>
            <w:tcW w:w="3480" w:type="dxa"/>
          </w:tcPr>
          <w:p w:rsidR="0048421A" w:rsidRPr="003365C6" w:rsidRDefault="0048421A" w:rsidP="001C4F4E">
            <w:pPr>
              <w:autoSpaceDE w:val="0"/>
              <w:autoSpaceDN w:val="0"/>
              <w:adjustRightInd w:val="0"/>
              <w:jc w:val="left"/>
              <w:rPr>
                <w:lang w:val="en-AU"/>
              </w:rPr>
            </w:pPr>
            <w:r w:rsidRPr="003365C6">
              <w:rPr>
                <w:rFonts w:eastAsiaTheme="minorHAnsi"/>
                <w:lang w:val="en-AU"/>
              </w:rPr>
              <w:t xml:space="preserve">I will proclaim </w:t>
            </w:r>
            <w:r w:rsidRPr="003365C6">
              <w:rPr>
                <w:rFonts w:eastAsiaTheme="minorHAnsi"/>
                <w:u w:val="single"/>
                <w:lang w:val="en-AU"/>
              </w:rPr>
              <w:t>the name</w:t>
            </w:r>
            <w:r w:rsidRPr="003365C6">
              <w:rPr>
                <w:rFonts w:eastAsiaTheme="minorHAnsi"/>
                <w:lang w:val="en-AU"/>
              </w:rPr>
              <w:t xml:space="preserve"> of the L</w:t>
            </w:r>
            <w:r w:rsidR="001C4F4E">
              <w:rPr>
                <w:rFonts w:eastAsiaTheme="minorHAnsi"/>
                <w:lang w:val="en-AU"/>
              </w:rPr>
              <w:t>ord</w:t>
            </w:r>
            <w:r w:rsidRPr="003365C6">
              <w:rPr>
                <w:rFonts w:eastAsiaTheme="minorHAnsi"/>
                <w:lang w:val="en-AU"/>
              </w:rPr>
              <w:t xml:space="preserve"> (v.</w:t>
            </w:r>
            <w:r w:rsidR="001C4F4E">
              <w:rPr>
                <w:rFonts w:eastAsiaTheme="minorHAnsi"/>
                <w:lang w:val="en-AU"/>
              </w:rPr>
              <w:t xml:space="preserve"> </w:t>
            </w:r>
            <w:r w:rsidRPr="003365C6">
              <w:rPr>
                <w:rFonts w:eastAsiaTheme="minorHAnsi"/>
                <w:lang w:val="en-AU"/>
              </w:rPr>
              <w:t>19)</w:t>
            </w:r>
          </w:p>
        </w:tc>
        <w:tc>
          <w:tcPr>
            <w:tcW w:w="3466" w:type="dxa"/>
          </w:tcPr>
          <w:p w:rsidR="0048421A" w:rsidRPr="003365C6" w:rsidRDefault="0048421A" w:rsidP="00122E23">
            <w:pPr>
              <w:autoSpaceDE w:val="0"/>
              <w:autoSpaceDN w:val="0"/>
              <w:adjustRightInd w:val="0"/>
              <w:jc w:val="left"/>
              <w:rPr>
                <w:lang w:val="en-AU"/>
              </w:rPr>
            </w:pPr>
            <w:r w:rsidRPr="003365C6">
              <w:rPr>
                <w:rFonts w:eastAsiaTheme="minorHAnsi"/>
                <w:lang w:val="en-AU"/>
              </w:rPr>
              <w:t xml:space="preserve">And whatever you ask in </w:t>
            </w:r>
            <w:r w:rsidR="00122E23">
              <w:rPr>
                <w:rFonts w:eastAsiaTheme="minorHAnsi"/>
                <w:u w:val="single"/>
                <w:lang w:val="en-AU"/>
              </w:rPr>
              <w:t>m</w:t>
            </w:r>
            <w:r w:rsidRPr="003365C6">
              <w:rPr>
                <w:rFonts w:eastAsiaTheme="minorHAnsi"/>
                <w:u w:val="single"/>
                <w:lang w:val="en-AU"/>
              </w:rPr>
              <w:t>y name</w:t>
            </w:r>
            <w:r w:rsidRPr="003365C6">
              <w:rPr>
                <w:rFonts w:eastAsiaTheme="minorHAnsi"/>
                <w:lang w:val="en-AU"/>
              </w:rPr>
              <w:t xml:space="preserve">, that I will do, that the Father may be </w:t>
            </w:r>
            <w:r w:rsidRPr="003365C6">
              <w:rPr>
                <w:rFonts w:eastAsiaTheme="minorHAnsi"/>
                <w:u w:val="single"/>
                <w:lang w:val="en-AU"/>
              </w:rPr>
              <w:t>glorified</w:t>
            </w:r>
            <w:r w:rsidRPr="003365C6">
              <w:rPr>
                <w:rFonts w:eastAsiaTheme="minorHAnsi"/>
                <w:lang w:val="en-AU"/>
              </w:rPr>
              <w:t xml:space="preserve"> in the Son. (v.</w:t>
            </w:r>
            <w:r w:rsidR="001C4F4E">
              <w:rPr>
                <w:rFonts w:eastAsiaTheme="minorHAnsi"/>
                <w:lang w:val="en-AU"/>
              </w:rPr>
              <w:t xml:space="preserve"> </w:t>
            </w:r>
            <w:r w:rsidRPr="003365C6">
              <w:rPr>
                <w:rFonts w:eastAsiaTheme="minorHAnsi"/>
                <w:lang w:val="en-AU"/>
              </w:rPr>
              <w:t>13)</w:t>
            </w:r>
          </w:p>
        </w:tc>
      </w:tr>
    </w:tbl>
    <w:p w:rsidR="001530B1" w:rsidRDefault="001530B1" w:rsidP="0048421A">
      <w:pPr>
        <w:rPr>
          <w:lang w:val="en-AU"/>
        </w:rPr>
      </w:pPr>
    </w:p>
    <w:p w:rsidR="0048421A" w:rsidRPr="003365C6" w:rsidRDefault="0048421A" w:rsidP="0048421A">
      <w:pPr>
        <w:rPr>
          <w:rFonts w:eastAsiaTheme="minorHAnsi"/>
          <w:lang w:val="en-AU"/>
        </w:rPr>
      </w:pPr>
      <w:r w:rsidRPr="003365C6">
        <w:rPr>
          <w:lang w:val="en-AU"/>
        </w:rPr>
        <w:t>In Exodus 33</w:t>
      </w:r>
      <w:r w:rsidR="001C4F4E">
        <w:rPr>
          <w:lang w:val="en-AU"/>
        </w:rPr>
        <w:t>,</w:t>
      </w:r>
      <w:r w:rsidRPr="003365C6">
        <w:rPr>
          <w:lang w:val="en-AU"/>
        </w:rPr>
        <w:t xml:space="preserve"> the phrase </w:t>
      </w:r>
      <w:r w:rsidR="000E2CE6">
        <w:rPr>
          <w:lang w:val="en-AU"/>
        </w:rPr>
        <w:t>“</w:t>
      </w:r>
      <w:r w:rsidRPr="003365C6">
        <w:rPr>
          <w:lang w:val="en-AU"/>
        </w:rPr>
        <w:t xml:space="preserve">Yahweh </w:t>
      </w:r>
      <w:r w:rsidRPr="003365C6">
        <w:rPr>
          <w:u w:val="single"/>
          <w:lang w:val="en-AU"/>
        </w:rPr>
        <w:t>knows him</w:t>
      </w:r>
      <w:r w:rsidRPr="003365C6">
        <w:rPr>
          <w:lang w:val="en-AU"/>
        </w:rPr>
        <w:t xml:space="preserve"> [Moses] by name</w:t>
      </w:r>
      <w:r w:rsidR="000E2CE6">
        <w:rPr>
          <w:lang w:val="en-AU"/>
        </w:rPr>
        <w:t>”</w:t>
      </w:r>
      <w:r w:rsidRPr="003365C6">
        <w:rPr>
          <w:lang w:val="en-AU"/>
        </w:rPr>
        <w:t xml:space="preserve"> is employed in v.</w:t>
      </w:r>
      <w:r w:rsidR="001C4F4E">
        <w:rPr>
          <w:lang w:val="en-AU"/>
        </w:rPr>
        <w:t xml:space="preserve"> </w:t>
      </w:r>
      <w:r w:rsidRPr="003365C6">
        <w:rPr>
          <w:lang w:val="en-AU"/>
        </w:rPr>
        <w:t>12 and v.</w:t>
      </w:r>
      <w:r w:rsidR="001C4F4E">
        <w:rPr>
          <w:lang w:val="en-AU"/>
        </w:rPr>
        <w:t xml:space="preserve"> </w:t>
      </w:r>
      <w:r w:rsidRPr="003365C6">
        <w:rPr>
          <w:lang w:val="en-AU"/>
        </w:rPr>
        <w:t xml:space="preserve">17 and forms an </w:t>
      </w:r>
      <w:r w:rsidRPr="003365C6">
        <w:rPr>
          <w:i/>
          <w:lang w:val="en-AU"/>
        </w:rPr>
        <w:t xml:space="preserve">inclusio </w:t>
      </w:r>
      <w:r w:rsidRPr="003365C6">
        <w:rPr>
          <w:lang w:val="en-AU"/>
        </w:rPr>
        <w:t>denoting Moses</w:t>
      </w:r>
      <w:r w:rsidR="000E2CE6">
        <w:rPr>
          <w:lang w:val="en-AU"/>
        </w:rPr>
        <w:t>’</w:t>
      </w:r>
      <w:r w:rsidRPr="003365C6">
        <w:rPr>
          <w:lang w:val="en-AU"/>
        </w:rPr>
        <w:t xml:space="preserve"> close relationship (face to face</w:t>
      </w:r>
      <w:r w:rsidR="001C4F4E">
        <w:rPr>
          <w:lang w:val="en-AU"/>
        </w:rPr>
        <w:t>;</w:t>
      </w:r>
      <w:r w:rsidRPr="003365C6">
        <w:rPr>
          <w:lang w:val="en-AU"/>
        </w:rPr>
        <w:t xml:space="preserve"> cf. Deut. 34:10) with God.  Moses is enquiring who God will send to help him shepherd the people into the Promised Land, specifically asking Yahweh to </w:t>
      </w:r>
      <w:r w:rsidR="000E2CE6">
        <w:rPr>
          <w:lang w:val="en-AU"/>
        </w:rPr>
        <w:t>“</w:t>
      </w:r>
      <w:r w:rsidRPr="003365C6">
        <w:rPr>
          <w:lang w:val="en-AU"/>
        </w:rPr>
        <w:t>show your way</w:t>
      </w:r>
      <w:r w:rsidR="000E2CE6">
        <w:rPr>
          <w:lang w:val="en-AU"/>
        </w:rPr>
        <w:t>”</w:t>
      </w:r>
      <w:r w:rsidRPr="003365C6">
        <w:rPr>
          <w:lang w:val="en-AU"/>
        </w:rPr>
        <w:t xml:space="preserve"> (v.</w:t>
      </w:r>
      <w:r w:rsidR="001C4F4E">
        <w:rPr>
          <w:lang w:val="en-AU"/>
        </w:rPr>
        <w:t xml:space="preserve"> </w:t>
      </w:r>
      <w:r w:rsidRPr="003365C6">
        <w:rPr>
          <w:lang w:val="en-AU"/>
        </w:rPr>
        <w:t xml:space="preserve">13) and </w:t>
      </w:r>
      <w:r w:rsidR="000E2CE6">
        <w:rPr>
          <w:lang w:val="en-AU"/>
        </w:rPr>
        <w:t>“</w:t>
      </w:r>
      <w:r w:rsidRPr="003365C6">
        <w:rPr>
          <w:lang w:val="en-AU"/>
        </w:rPr>
        <w:t>show your glory</w:t>
      </w:r>
      <w:r w:rsidR="000E2CE6">
        <w:rPr>
          <w:lang w:val="en-AU"/>
        </w:rPr>
        <w:t>”</w:t>
      </w:r>
      <w:r w:rsidRPr="003365C6">
        <w:rPr>
          <w:lang w:val="en-AU"/>
        </w:rPr>
        <w:t xml:space="preserve"> (v.</w:t>
      </w:r>
      <w:r w:rsidR="001C4F4E">
        <w:rPr>
          <w:lang w:val="en-AU"/>
        </w:rPr>
        <w:t xml:space="preserve"> </w:t>
      </w:r>
      <w:r w:rsidRPr="003365C6">
        <w:rPr>
          <w:lang w:val="en-AU"/>
        </w:rPr>
        <w:t xml:space="preserve">18). The </w:t>
      </w:r>
      <w:r w:rsidRPr="003365C6">
        <w:rPr>
          <w:u w:val="single"/>
          <w:lang w:val="en-AU"/>
        </w:rPr>
        <w:t>way of Yahweh</w:t>
      </w:r>
      <w:r w:rsidRPr="003365C6">
        <w:rPr>
          <w:lang w:val="en-AU"/>
        </w:rPr>
        <w:t xml:space="preserve"> (cf. Gen</w:t>
      </w:r>
      <w:r w:rsidR="001C4F4E">
        <w:rPr>
          <w:lang w:val="en-AU"/>
        </w:rPr>
        <w:t xml:space="preserve"> </w:t>
      </w:r>
      <w:r w:rsidRPr="003365C6">
        <w:rPr>
          <w:lang w:val="en-AU"/>
        </w:rPr>
        <w:t xml:space="preserve">18:19) is Jesus Christ, </w:t>
      </w:r>
      <w:r w:rsidR="000E2CE6">
        <w:rPr>
          <w:lang w:val="en-AU"/>
        </w:rPr>
        <w:t>“</w:t>
      </w:r>
      <w:r w:rsidRPr="003365C6">
        <w:rPr>
          <w:lang w:val="en-AU"/>
        </w:rPr>
        <w:t xml:space="preserve">I am </w:t>
      </w:r>
      <w:r w:rsidRPr="003365C6">
        <w:rPr>
          <w:u w:val="single"/>
          <w:lang w:val="en-AU"/>
        </w:rPr>
        <w:t>the way</w:t>
      </w:r>
      <w:r w:rsidRPr="003365C6">
        <w:t xml:space="preserve"> </w:t>
      </w:r>
      <w:r w:rsidRPr="003365C6">
        <w:rPr>
          <w:rFonts w:eastAsiaTheme="minorHAnsi"/>
          <w:lang w:val="en-AU"/>
        </w:rPr>
        <w:t xml:space="preserve">the truth, and the life. No one comes to the Father except through </w:t>
      </w:r>
      <w:r w:rsidR="001C4F4E" w:rsidRPr="003365C6">
        <w:rPr>
          <w:rFonts w:eastAsiaTheme="minorHAnsi"/>
          <w:lang w:val="en-AU"/>
        </w:rPr>
        <w:t>me</w:t>
      </w:r>
      <w:r w:rsidR="000E2CE6">
        <w:rPr>
          <w:rFonts w:eastAsiaTheme="minorHAnsi"/>
          <w:lang w:val="en-AU"/>
        </w:rPr>
        <w:t>”</w:t>
      </w:r>
      <w:r w:rsidRPr="003365C6">
        <w:rPr>
          <w:rFonts w:eastAsiaTheme="minorHAnsi"/>
          <w:lang w:val="en-AU"/>
        </w:rPr>
        <w:t xml:space="preserve"> (John 14:16).</w:t>
      </w:r>
    </w:p>
    <w:p w:rsidR="0048421A" w:rsidRPr="003365C6" w:rsidRDefault="0048421A" w:rsidP="0048421A">
      <w:pPr>
        <w:rPr>
          <w:rFonts w:eastAsiaTheme="minorHAnsi"/>
          <w:lang w:val="en-AU"/>
        </w:rPr>
      </w:pPr>
    </w:p>
    <w:p w:rsidR="001C4F4E" w:rsidRPr="001C4F4E" w:rsidRDefault="0048421A" w:rsidP="001C4F4E">
      <w:pPr>
        <w:rPr>
          <w:rFonts w:ascii="Bradley Hand ITC" w:eastAsiaTheme="minorHAnsi" w:hAnsi="Bradley Hand ITC"/>
          <w:b/>
          <w:sz w:val="28"/>
          <w:lang w:val="en-AU"/>
        </w:rPr>
      </w:pPr>
      <w:r w:rsidRPr="001C4F4E">
        <w:rPr>
          <w:rFonts w:ascii="Bradley Hand ITC" w:eastAsiaTheme="minorHAnsi" w:hAnsi="Bradley Hand ITC"/>
          <w:b/>
          <w:sz w:val="28"/>
          <w:lang w:val="en-AU"/>
        </w:rPr>
        <w:t>Conclusion</w:t>
      </w:r>
    </w:p>
    <w:p w:rsidR="00122E23" w:rsidRDefault="001C4F4E" w:rsidP="001C4F4E">
      <w:pPr>
        <w:rPr>
          <w:lang w:eastAsia="en-AU"/>
        </w:rPr>
      </w:pPr>
      <w:r>
        <w:rPr>
          <w:rFonts w:eastAsiaTheme="minorHAnsi"/>
          <w:lang w:val="en-AU"/>
        </w:rPr>
        <w:t>T</w:t>
      </w:r>
      <w:r w:rsidR="0048421A" w:rsidRPr="003365C6">
        <w:rPr>
          <w:rFonts w:eastAsiaTheme="minorHAnsi"/>
          <w:lang w:val="en-AU"/>
        </w:rPr>
        <w:t>he sad fact is that throughout Israel</w:t>
      </w:r>
      <w:r w:rsidR="000E2CE6">
        <w:rPr>
          <w:rFonts w:eastAsiaTheme="minorHAnsi"/>
          <w:lang w:val="en-AU"/>
        </w:rPr>
        <w:t>’</w:t>
      </w:r>
      <w:r w:rsidR="0048421A" w:rsidRPr="003365C6">
        <w:rPr>
          <w:rFonts w:eastAsiaTheme="minorHAnsi"/>
          <w:lang w:val="en-AU"/>
        </w:rPr>
        <w:t xml:space="preserve">s long prophetic history the name of </w:t>
      </w:r>
      <w:r w:rsidR="0048421A" w:rsidRPr="003365C6">
        <w:rPr>
          <w:rFonts w:eastAsiaTheme="minorHAnsi"/>
          <w:i/>
          <w:lang w:val="en-AU"/>
        </w:rPr>
        <w:t>Yahweh</w:t>
      </w:r>
      <w:r w:rsidR="0048421A" w:rsidRPr="003365C6">
        <w:rPr>
          <w:rFonts w:eastAsiaTheme="minorHAnsi"/>
          <w:lang w:val="en-AU"/>
        </w:rPr>
        <w:t xml:space="preserve"> </w:t>
      </w:r>
      <w:r w:rsidR="0048421A" w:rsidRPr="003365C6">
        <w:rPr>
          <w:rFonts w:eastAsiaTheme="minorHAnsi"/>
          <w:u w:val="single"/>
          <w:lang w:val="en-AU"/>
        </w:rPr>
        <w:t>was unknown</w:t>
      </w:r>
      <w:r w:rsidR="0048421A" w:rsidRPr="003365C6">
        <w:t xml:space="preserve"> (cf. Isa</w:t>
      </w:r>
      <w:r w:rsidR="00122E23">
        <w:t xml:space="preserve"> </w:t>
      </w:r>
      <w:r w:rsidR="0048421A" w:rsidRPr="003365C6">
        <w:t>52:6; Jer</w:t>
      </w:r>
      <w:r w:rsidR="00122E23">
        <w:t xml:space="preserve"> </w:t>
      </w:r>
      <w:r w:rsidR="0048421A" w:rsidRPr="003365C6">
        <w:t xml:space="preserve">16:21; Ezek 39:7) in the sense that the Jews were ignorant to the inherent purpose and character revealed in the </w:t>
      </w:r>
      <w:r w:rsidR="0048421A" w:rsidRPr="003365C6">
        <w:rPr>
          <w:i/>
        </w:rPr>
        <w:t>Yahweh</w:t>
      </w:r>
      <w:r w:rsidR="0048421A" w:rsidRPr="003365C6">
        <w:t xml:space="preserve"> name. </w:t>
      </w:r>
      <w:r w:rsidR="0048421A" w:rsidRPr="003365C6">
        <w:rPr>
          <w:lang w:eastAsia="en-AU"/>
        </w:rPr>
        <w:t xml:space="preserve">The prophet Jeremiah envisaged the time when it was no longer necessary to </w:t>
      </w:r>
      <w:r w:rsidR="0048421A" w:rsidRPr="003365C6">
        <w:rPr>
          <w:u w:val="single"/>
          <w:lang w:eastAsia="en-AU"/>
        </w:rPr>
        <w:t xml:space="preserve">teach thy neighbour to know </w:t>
      </w:r>
      <w:r w:rsidR="0048421A" w:rsidRPr="003365C6">
        <w:rPr>
          <w:i/>
          <w:u w:val="single"/>
          <w:lang w:eastAsia="en-AU"/>
        </w:rPr>
        <w:t>Yahweh</w:t>
      </w:r>
      <w:proofErr w:type="gramStart"/>
      <w:r w:rsidR="0048421A" w:rsidRPr="003365C6">
        <w:rPr>
          <w:lang w:eastAsia="en-AU"/>
        </w:rPr>
        <w:t xml:space="preserve">  </w:t>
      </w:r>
      <w:r w:rsidR="00122E23">
        <w:rPr>
          <w:lang w:eastAsia="en-AU"/>
        </w:rPr>
        <w:t>…</w:t>
      </w:r>
      <w:proofErr w:type="gramEnd"/>
      <w:r w:rsidR="0048421A" w:rsidRPr="003365C6">
        <w:rPr>
          <w:lang w:eastAsia="en-AU"/>
        </w:rPr>
        <w:t xml:space="preserve">this is an allusion to the Passover: </w:t>
      </w:r>
    </w:p>
    <w:p w:rsidR="00122E23" w:rsidRDefault="00122E23" w:rsidP="001C4F4E">
      <w:pPr>
        <w:rPr>
          <w:lang w:eastAsia="en-AU"/>
        </w:rPr>
      </w:pPr>
    </w:p>
    <w:p w:rsidR="00122E23" w:rsidRDefault="0048421A" w:rsidP="00122E23">
      <w:pPr>
        <w:pStyle w:val="Quote"/>
      </w:pPr>
      <w:r w:rsidRPr="003365C6">
        <w:t xml:space="preserve">And if the household is too small for the lamb, let him </w:t>
      </w:r>
      <w:r w:rsidRPr="003365C6">
        <w:rPr>
          <w:u w:val="single"/>
        </w:rPr>
        <w:t xml:space="preserve">and his </w:t>
      </w:r>
      <w:r w:rsidR="00122E23" w:rsidRPr="003365C6">
        <w:rPr>
          <w:u w:val="single"/>
        </w:rPr>
        <w:t>neighbour</w:t>
      </w:r>
      <w:r w:rsidRPr="003365C6">
        <w:t xml:space="preserve"> next to his house</w:t>
      </w:r>
      <w:r w:rsidR="00122E23">
        <w:t>.</w:t>
      </w:r>
      <w:r w:rsidR="00122E23" w:rsidRPr="00122E23">
        <w:rPr>
          <w:bCs/>
        </w:rPr>
        <w:t xml:space="preserve"> </w:t>
      </w:r>
      <w:r w:rsidR="00122E23">
        <w:rPr>
          <w:bCs/>
        </w:rPr>
        <w:t>Exod</w:t>
      </w:r>
      <w:r w:rsidR="00122E23" w:rsidRPr="003365C6">
        <w:rPr>
          <w:bCs/>
        </w:rPr>
        <w:t xml:space="preserve"> 12:4</w:t>
      </w:r>
      <w:r w:rsidR="00122E23">
        <w:rPr>
          <w:bCs/>
        </w:rPr>
        <w:t xml:space="preserve"> (NKJV)</w:t>
      </w:r>
    </w:p>
    <w:p w:rsidR="00122E23" w:rsidRDefault="00122E23" w:rsidP="001C4F4E">
      <w:pPr>
        <w:rPr>
          <w:lang w:val="en-AU" w:eastAsia="en-AU"/>
        </w:rPr>
      </w:pPr>
    </w:p>
    <w:p w:rsidR="00122E23" w:rsidRDefault="0048421A" w:rsidP="00122E23">
      <w:pPr>
        <w:pStyle w:val="Quote"/>
      </w:pPr>
      <w:r w:rsidRPr="003365C6">
        <w:t xml:space="preserve">And it shall be, when your children say to you, </w:t>
      </w:r>
      <w:r w:rsidR="000E2CE6">
        <w:t>‘</w:t>
      </w:r>
      <w:r w:rsidRPr="003365C6">
        <w:rPr>
          <w:u w:val="single"/>
        </w:rPr>
        <w:t>What do you mean by this service</w:t>
      </w:r>
      <w:r w:rsidRPr="003365C6">
        <w:t>?</w:t>
      </w:r>
      <w:r w:rsidR="000E2CE6">
        <w:t>’</w:t>
      </w:r>
      <w:r w:rsidRPr="003365C6">
        <w:t> </w:t>
      </w:r>
      <w:r w:rsidR="00122E23">
        <w:rPr>
          <w:bCs/>
        </w:rPr>
        <w:t>Exod</w:t>
      </w:r>
      <w:r w:rsidR="00122E23" w:rsidRPr="003365C6">
        <w:rPr>
          <w:bCs/>
        </w:rPr>
        <w:t xml:space="preserve"> 12:26</w:t>
      </w:r>
      <w:r w:rsidR="00122E23">
        <w:rPr>
          <w:bCs/>
        </w:rPr>
        <w:t xml:space="preserve"> (NKJV)</w:t>
      </w:r>
      <w:r w:rsidR="00122E23">
        <w:t xml:space="preserve">; </w:t>
      </w:r>
      <w:r w:rsidRPr="003365C6">
        <w:t>cf. L</w:t>
      </w:r>
      <w:r w:rsidR="00122E23">
        <w:t>u</w:t>
      </w:r>
      <w:r w:rsidRPr="003365C6">
        <w:t>k</w:t>
      </w:r>
      <w:r w:rsidR="00122E23">
        <w:t xml:space="preserve">e </w:t>
      </w:r>
      <w:r w:rsidRPr="003365C6">
        <w:t xml:space="preserve">2:46 </w:t>
      </w:r>
    </w:p>
    <w:p w:rsidR="00122E23" w:rsidRDefault="00122E23" w:rsidP="001C4F4E">
      <w:pPr>
        <w:rPr>
          <w:lang w:val="en-AU" w:eastAsia="en-AU"/>
        </w:rPr>
      </w:pPr>
    </w:p>
    <w:p w:rsidR="0048421A" w:rsidRDefault="0048421A" w:rsidP="001C4F4E">
      <w:pPr>
        <w:rPr>
          <w:lang w:val="en-AU" w:eastAsia="en-AU"/>
        </w:rPr>
      </w:pPr>
      <w:r w:rsidRPr="003365C6">
        <w:rPr>
          <w:lang w:val="en-AU" w:eastAsia="en-AU"/>
        </w:rPr>
        <w:t xml:space="preserve">In other words the </w:t>
      </w:r>
      <w:r w:rsidR="000E2CE6">
        <w:rPr>
          <w:lang w:val="en-AU" w:eastAsia="en-AU"/>
        </w:rPr>
        <w:t>“</w:t>
      </w:r>
      <w:r w:rsidRPr="003365C6">
        <w:rPr>
          <w:lang w:val="en-AU" w:eastAsia="en-AU"/>
        </w:rPr>
        <w:t>teaching</w:t>
      </w:r>
      <w:r w:rsidR="000E2CE6">
        <w:rPr>
          <w:lang w:val="en-AU" w:eastAsia="en-AU"/>
        </w:rPr>
        <w:t>”</w:t>
      </w:r>
      <w:r w:rsidRPr="003365C6">
        <w:rPr>
          <w:lang w:val="en-AU" w:eastAsia="en-AU"/>
        </w:rPr>
        <w:t xml:space="preserve"> of </w:t>
      </w:r>
      <w:r w:rsidR="000E2CE6">
        <w:rPr>
          <w:lang w:val="en-AU" w:eastAsia="en-AU"/>
        </w:rPr>
        <w:t>“</w:t>
      </w:r>
      <w:r w:rsidRPr="003365C6">
        <w:rPr>
          <w:lang w:val="en-AU" w:eastAsia="en-AU"/>
        </w:rPr>
        <w:t>neighbour/children</w:t>
      </w:r>
      <w:r w:rsidR="000E2CE6">
        <w:rPr>
          <w:lang w:val="en-AU" w:eastAsia="en-AU"/>
        </w:rPr>
        <w:t>”</w:t>
      </w:r>
      <w:r w:rsidRPr="003365C6">
        <w:rPr>
          <w:lang w:val="en-AU" w:eastAsia="en-AU"/>
        </w:rPr>
        <w:t xml:space="preserve"> is linked to the </w:t>
      </w:r>
      <w:r w:rsidRPr="003365C6">
        <w:rPr>
          <w:u w:val="single"/>
          <w:lang w:val="en-AU" w:eastAsia="en-AU"/>
        </w:rPr>
        <w:t>covenant meal</w:t>
      </w:r>
      <w:r w:rsidRPr="003365C6">
        <w:rPr>
          <w:lang w:val="en-AU" w:eastAsia="en-AU"/>
        </w:rPr>
        <w:t xml:space="preserve"> that memorializes the Passover. This is the intellectual </w:t>
      </w:r>
      <w:r w:rsidR="000E2CE6">
        <w:rPr>
          <w:lang w:val="en-AU" w:eastAsia="en-AU"/>
        </w:rPr>
        <w:t>“</w:t>
      </w:r>
      <w:r w:rsidRPr="003365C6">
        <w:rPr>
          <w:lang w:val="en-AU" w:eastAsia="en-AU"/>
        </w:rPr>
        <w:t>knowing</w:t>
      </w:r>
      <w:r w:rsidR="000E2CE6">
        <w:rPr>
          <w:lang w:val="en-AU" w:eastAsia="en-AU"/>
        </w:rPr>
        <w:t>”</w:t>
      </w:r>
      <w:r w:rsidRPr="003365C6">
        <w:rPr>
          <w:lang w:val="en-AU" w:eastAsia="en-AU"/>
        </w:rPr>
        <w:t xml:space="preserve"> of Yahweh…grounded in the historical facts taught about the Passover deliverance at the memorial</w:t>
      </w:r>
      <w:r w:rsidR="00122E23">
        <w:rPr>
          <w:lang w:val="en-AU" w:eastAsia="en-AU"/>
        </w:rPr>
        <w:t>...</w:t>
      </w:r>
      <w:r w:rsidRPr="003365C6">
        <w:rPr>
          <w:lang w:val="en-AU" w:eastAsia="en-AU"/>
        </w:rPr>
        <w:t xml:space="preserve">but the prophet envisages a future </w:t>
      </w:r>
      <w:r w:rsidRPr="003365C6">
        <w:rPr>
          <w:lang w:val="en-AU" w:eastAsia="en-AU"/>
        </w:rPr>
        <w:lastRenderedPageBreak/>
        <w:t>where no one needs to be taught</w:t>
      </w:r>
      <w:r w:rsidR="00122E23">
        <w:rPr>
          <w:lang w:val="en-AU" w:eastAsia="en-AU"/>
        </w:rPr>
        <w:t>...</w:t>
      </w:r>
      <w:r w:rsidRPr="003365C6">
        <w:rPr>
          <w:lang w:val="en-AU" w:eastAsia="en-AU"/>
        </w:rPr>
        <w:t xml:space="preserve">because they all have first-hand intimate knowledge of divine salvation. </w:t>
      </w:r>
    </w:p>
    <w:p w:rsidR="001C4F4E" w:rsidRPr="001C4F4E" w:rsidRDefault="001C4F4E" w:rsidP="001C4F4E">
      <w:pPr>
        <w:rPr>
          <w:rFonts w:eastAsiaTheme="minorHAnsi"/>
          <w:i/>
          <w:lang w:val="en-AU"/>
        </w:rPr>
      </w:pPr>
    </w:p>
    <w:p w:rsidR="00122E23" w:rsidRDefault="0048421A" w:rsidP="0048421A">
      <w:r w:rsidRPr="003365C6">
        <w:t xml:space="preserve">The Jews could not lay claim to knowing God while at the same time refusing the one he sent: </w:t>
      </w:r>
    </w:p>
    <w:p w:rsidR="00122E23" w:rsidRDefault="00122E23" w:rsidP="0048421A"/>
    <w:p w:rsidR="00122E23" w:rsidRDefault="0048421A" w:rsidP="00122E23">
      <w:pPr>
        <w:pStyle w:val="Quote"/>
      </w:pPr>
      <w:r w:rsidRPr="003365C6">
        <w:t xml:space="preserve">Then they said to </w:t>
      </w:r>
      <w:r w:rsidR="00122E23">
        <w:t>h</w:t>
      </w:r>
      <w:r w:rsidRPr="003365C6">
        <w:t xml:space="preserve">im, </w:t>
      </w:r>
      <w:r w:rsidR="000E2CE6">
        <w:t>“</w:t>
      </w:r>
      <w:r w:rsidRPr="003365C6">
        <w:t xml:space="preserve">Where is </w:t>
      </w:r>
      <w:r w:rsidR="00122E23">
        <w:t>y</w:t>
      </w:r>
      <w:r w:rsidRPr="003365C6">
        <w:t>our Father?</w:t>
      </w:r>
      <w:r w:rsidR="000E2CE6">
        <w:t>”</w:t>
      </w:r>
      <w:r w:rsidRPr="003365C6">
        <w:t xml:space="preserve"> Jesus answered, </w:t>
      </w:r>
      <w:r w:rsidR="000E2CE6">
        <w:t>“</w:t>
      </w:r>
      <w:r w:rsidRPr="003365C6">
        <w:t xml:space="preserve">You </w:t>
      </w:r>
      <w:r w:rsidRPr="003365C6">
        <w:rPr>
          <w:u w:val="single"/>
        </w:rPr>
        <w:t>know</w:t>
      </w:r>
      <w:r w:rsidRPr="003365C6">
        <w:t xml:space="preserve"> </w:t>
      </w:r>
      <w:r w:rsidRPr="003365C6">
        <w:rPr>
          <w:rFonts w:eastAsiaTheme="minorHAnsi"/>
        </w:rPr>
        <w:t>(</w:t>
      </w:r>
      <w:proofErr w:type="spellStart"/>
      <w:r w:rsidRPr="003365C6">
        <w:rPr>
          <w:rFonts w:eastAsiaTheme="minorHAnsi"/>
          <w:i/>
        </w:rPr>
        <w:t>eido</w:t>
      </w:r>
      <w:proofErr w:type="spellEnd"/>
      <w:r w:rsidRPr="003365C6">
        <w:rPr>
          <w:rFonts w:eastAsiaTheme="minorHAnsi"/>
        </w:rPr>
        <w:t xml:space="preserve">) </w:t>
      </w:r>
      <w:r w:rsidRPr="003365C6">
        <w:t xml:space="preserve">neither </w:t>
      </w:r>
      <w:r w:rsidR="00122E23">
        <w:t>m</w:t>
      </w:r>
      <w:r w:rsidRPr="003365C6">
        <w:t xml:space="preserve">e nor </w:t>
      </w:r>
      <w:r w:rsidR="00122E23">
        <w:t>m</w:t>
      </w:r>
      <w:r w:rsidRPr="003365C6">
        <w:t xml:space="preserve">y Father. If you had </w:t>
      </w:r>
      <w:r w:rsidRPr="003365C6">
        <w:rPr>
          <w:u w:val="single"/>
        </w:rPr>
        <w:t>known</w:t>
      </w:r>
      <w:r w:rsidRPr="003365C6">
        <w:t xml:space="preserve"> </w:t>
      </w:r>
      <w:r w:rsidRPr="003365C6">
        <w:rPr>
          <w:rFonts w:eastAsiaTheme="minorHAnsi"/>
        </w:rPr>
        <w:t>(</w:t>
      </w:r>
      <w:proofErr w:type="spellStart"/>
      <w:r w:rsidRPr="003365C6">
        <w:rPr>
          <w:rFonts w:eastAsiaTheme="minorHAnsi"/>
          <w:i/>
        </w:rPr>
        <w:t>eido</w:t>
      </w:r>
      <w:proofErr w:type="spellEnd"/>
      <w:r w:rsidRPr="003365C6">
        <w:rPr>
          <w:rFonts w:eastAsiaTheme="minorHAnsi"/>
        </w:rPr>
        <w:t xml:space="preserve">) </w:t>
      </w:r>
      <w:r w:rsidR="00122E23">
        <w:rPr>
          <w:rFonts w:eastAsiaTheme="minorHAnsi"/>
        </w:rPr>
        <w:t>m</w:t>
      </w:r>
      <w:r w:rsidRPr="003365C6">
        <w:t xml:space="preserve">e, you would have </w:t>
      </w:r>
      <w:r w:rsidRPr="003365C6">
        <w:rPr>
          <w:u w:val="single"/>
        </w:rPr>
        <w:t>known</w:t>
      </w:r>
      <w:r w:rsidRPr="003365C6">
        <w:t xml:space="preserve"> </w:t>
      </w:r>
      <w:r w:rsidRPr="003365C6">
        <w:rPr>
          <w:rFonts w:eastAsiaTheme="minorHAnsi"/>
        </w:rPr>
        <w:t>(</w:t>
      </w:r>
      <w:proofErr w:type="spellStart"/>
      <w:r w:rsidRPr="003365C6">
        <w:rPr>
          <w:rFonts w:eastAsiaTheme="minorHAnsi"/>
          <w:i/>
        </w:rPr>
        <w:t>eido</w:t>
      </w:r>
      <w:proofErr w:type="spellEnd"/>
      <w:r w:rsidRPr="003365C6">
        <w:rPr>
          <w:rFonts w:eastAsiaTheme="minorHAnsi"/>
        </w:rPr>
        <w:t xml:space="preserve">) </w:t>
      </w:r>
      <w:r w:rsidR="00122E23">
        <w:rPr>
          <w:rFonts w:eastAsiaTheme="minorHAnsi"/>
        </w:rPr>
        <w:t>m</w:t>
      </w:r>
      <w:r w:rsidR="00122E23">
        <w:t>y Father also. John 8:19 (NKJV)</w:t>
      </w:r>
      <w:r w:rsidRPr="003365C6">
        <w:t xml:space="preserve"> </w:t>
      </w:r>
    </w:p>
    <w:p w:rsidR="00122E23" w:rsidRDefault="00122E23" w:rsidP="0048421A">
      <w:pPr>
        <w:rPr>
          <w:lang w:val="en-AU"/>
        </w:rPr>
      </w:pPr>
    </w:p>
    <w:p w:rsidR="00122E23" w:rsidRDefault="0048421A" w:rsidP="0048421A">
      <w:pPr>
        <w:rPr>
          <w:lang w:val="en-AU"/>
        </w:rPr>
      </w:pPr>
      <w:r w:rsidRPr="003365C6">
        <w:rPr>
          <w:lang w:val="en-AU"/>
        </w:rPr>
        <w:t xml:space="preserve">The relationship between Father and son is reciprocal: </w:t>
      </w:r>
    </w:p>
    <w:p w:rsidR="00122E23" w:rsidRDefault="0048421A" w:rsidP="00122E23">
      <w:pPr>
        <w:pStyle w:val="Quote"/>
      </w:pPr>
      <w:r w:rsidRPr="003365C6">
        <w:t xml:space="preserve">As the Father </w:t>
      </w:r>
      <w:r w:rsidRPr="003365C6">
        <w:rPr>
          <w:u w:val="single"/>
        </w:rPr>
        <w:t>knows</w:t>
      </w:r>
      <w:r w:rsidRPr="003365C6">
        <w:t xml:space="preserve"> </w:t>
      </w:r>
      <w:r w:rsidRPr="003365C6">
        <w:rPr>
          <w:rFonts w:eastAsiaTheme="minorHAnsi"/>
        </w:rPr>
        <w:t>(</w:t>
      </w:r>
      <w:proofErr w:type="spellStart"/>
      <w:r w:rsidRPr="003365C6">
        <w:rPr>
          <w:i/>
        </w:rPr>
        <w:t>ginōskō</w:t>
      </w:r>
      <w:proofErr w:type="spellEnd"/>
      <w:r w:rsidRPr="003365C6">
        <w:t xml:space="preserve">) </w:t>
      </w:r>
      <w:proofErr w:type="gramStart"/>
      <w:r w:rsidRPr="003365C6">
        <w:t>Me</w:t>
      </w:r>
      <w:proofErr w:type="gramEnd"/>
      <w:r w:rsidRPr="003365C6">
        <w:t xml:space="preserve">, even so I </w:t>
      </w:r>
      <w:proofErr w:type="spellStart"/>
      <w:r w:rsidRPr="003365C6">
        <w:rPr>
          <w:u w:val="single"/>
        </w:rPr>
        <w:t>known</w:t>
      </w:r>
      <w:proofErr w:type="spellEnd"/>
      <w:r w:rsidRPr="003365C6">
        <w:t xml:space="preserve"> </w:t>
      </w:r>
      <w:r w:rsidRPr="003365C6">
        <w:rPr>
          <w:rFonts w:eastAsiaTheme="minorHAnsi"/>
        </w:rPr>
        <w:t>(</w:t>
      </w:r>
      <w:proofErr w:type="spellStart"/>
      <w:r w:rsidRPr="003365C6">
        <w:rPr>
          <w:i/>
        </w:rPr>
        <w:t>ginōskō</w:t>
      </w:r>
      <w:proofErr w:type="spellEnd"/>
      <w:r w:rsidR="00122E23">
        <w:t xml:space="preserve">) the Father... </w:t>
      </w:r>
      <w:r w:rsidRPr="003365C6">
        <w:t>John 10:15</w:t>
      </w:r>
      <w:r w:rsidR="00122E23">
        <w:t xml:space="preserve"> (NKJV)</w:t>
      </w:r>
      <w:r w:rsidRPr="003365C6">
        <w:t xml:space="preserve">  </w:t>
      </w:r>
    </w:p>
    <w:p w:rsidR="00122E23" w:rsidRDefault="00122E23" w:rsidP="0048421A">
      <w:pPr>
        <w:rPr>
          <w:lang w:val="en-AU"/>
        </w:rPr>
      </w:pPr>
    </w:p>
    <w:p w:rsidR="00122E23" w:rsidRDefault="0048421A" w:rsidP="0048421A">
      <w:pPr>
        <w:rPr>
          <w:lang w:val="en-AU"/>
        </w:rPr>
      </w:pPr>
      <w:r w:rsidRPr="003365C6">
        <w:rPr>
          <w:lang w:val="en-AU"/>
        </w:rPr>
        <w:t xml:space="preserve">Moreover, Jesus knows his sheep and they in turn know him and hear his voice (John 10:14-16). Ultimately, the only way to know </w:t>
      </w:r>
      <w:r w:rsidRPr="003365C6">
        <w:rPr>
          <w:i/>
          <w:lang w:val="en-AU"/>
        </w:rPr>
        <w:t>Yahweh</w:t>
      </w:r>
      <w:r w:rsidRPr="003365C6">
        <w:rPr>
          <w:lang w:val="en-AU"/>
        </w:rPr>
        <w:t xml:space="preserve"> is by knowing Jesus</w:t>
      </w:r>
      <w:r w:rsidR="00122E23">
        <w:rPr>
          <w:lang w:val="en-AU"/>
        </w:rPr>
        <w:t>:</w:t>
      </w:r>
      <w:r w:rsidRPr="003365C6">
        <w:rPr>
          <w:lang w:val="en-AU"/>
        </w:rPr>
        <w:t xml:space="preserve"> </w:t>
      </w:r>
    </w:p>
    <w:p w:rsidR="00122E23" w:rsidRDefault="00122E23" w:rsidP="0048421A">
      <w:pPr>
        <w:rPr>
          <w:lang w:val="en-AU"/>
        </w:rPr>
      </w:pPr>
    </w:p>
    <w:p w:rsidR="0048421A" w:rsidRPr="003365C6" w:rsidRDefault="0048421A" w:rsidP="00122E23">
      <w:pPr>
        <w:pStyle w:val="Quote"/>
      </w:pPr>
      <w:r w:rsidRPr="003365C6">
        <w:t xml:space="preserve">If you had </w:t>
      </w:r>
      <w:r w:rsidRPr="003365C6">
        <w:rPr>
          <w:u w:val="single"/>
        </w:rPr>
        <w:t>known</w:t>
      </w:r>
      <w:r w:rsidRPr="003365C6">
        <w:t xml:space="preserve"> </w:t>
      </w:r>
      <w:r w:rsidRPr="003365C6">
        <w:rPr>
          <w:rFonts w:eastAsiaTheme="minorHAnsi"/>
        </w:rPr>
        <w:t>(</w:t>
      </w:r>
      <w:proofErr w:type="spellStart"/>
      <w:r w:rsidRPr="003365C6">
        <w:rPr>
          <w:i/>
        </w:rPr>
        <w:t>ginōskō</w:t>
      </w:r>
      <w:proofErr w:type="spellEnd"/>
      <w:r w:rsidRPr="003365C6">
        <w:t xml:space="preserve">) </w:t>
      </w:r>
      <w:r w:rsidR="00122E23">
        <w:t>m</w:t>
      </w:r>
      <w:r w:rsidRPr="003365C6">
        <w:t xml:space="preserve">e, you would have </w:t>
      </w:r>
      <w:r w:rsidRPr="003365C6">
        <w:rPr>
          <w:u w:val="single"/>
        </w:rPr>
        <w:t>known</w:t>
      </w:r>
      <w:r w:rsidRPr="003365C6">
        <w:t xml:space="preserve"> </w:t>
      </w:r>
      <w:r w:rsidRPr="003365C6">
        <w:rPr>
          <w:rFonts w:eastAsiaTheme="minorHAnsi"/>
        </w:rPr>
        <w:t>(</w:t>
      </w:r>
      <w:proofErr w:type="spellStart"/>
      <w:r w:rsidRPr="003365C6">
        <w:rPr>
          <w:i/>
        </w:rPr>
        <w:t>ginōskō</w:t>
      </w:r>
      <w:proofErr w:type="spellEnd"/>
      <w:r w:rsidRPr="003365C6">
        <w:t xml:space="preserve">) </w:t>
      </w:r>
      <w:r w:rsidR="00122E23">
        <w:t>m</w:t>
      </w:r>
      <w:r w:rsidRPr="003365C6">
        <w:t xml:space="preserve">y Father also; and from now on you </w:t>
      </w:r>
      <w:r w:rsidRPr="003365C6">
        <w:rPr>
          <w:u w:val="single"/>
        </w:rPr>
        <w:t>know</w:t>
      </w:r>
      <w:r w:rsidRPr="003365C6">
        <w:t xml:space="preserve"> </w:t>
      </w:r>
      <w:r w:rsidRPr="003365C6">
        <w:rPr>
          <w:rFonts w:eastAsiaTheme="minorHAnsi"/>
        </w:rPr>
        <w:t>(</w:t>
      </w:r>
      <w:proofErr w:type="spellStart"/>
      <w:r w:rsidRPr="003365C6">
        <w:rPr>
          <w:i/>
        </w:rPr>
        <w:t>ginōskō</w:t>
      </w:r>
      <w:proofErr w:type="spellEnd"/>
      <w:r w:rsidRPr="003365C6">
        <w:t xml:space="preserve">) </w:t>
      </w:r>
      <w:r w:rsidR="00122E23">
        <w:t>h</w:t>
      </w:r>
      <w:r w:rsidRPr="003365C6">
        <w:t xml:space="preserve">im and have </w:t>
      </w:r>
      <w:r w:rsidRPr="003365C6">
        <w:rPr>
          <w:u w:val="single"/>
        </w:rPr>
        <w:t>seen</w:t>
      </w:r>
      <w:r w:rsidR="00122E23">
        <w:t xml:space="preserve"> him.</w:t>
      </w:r>
      <w:r w:rsidRPr="003365C6">
        <w:t xml:space="preserve"> </w:t>
      </w:r>
      <w:r w:rsidR="00122E23">
        <w:t>John 14:7 (NKJV)</w:t>
      </w:r>
      <w:r w:rsidRPr="003365C6">
        <w:t xml:space="preserve"> </w:t>
      </w:r>
    </w:p>
    <w:p w:rsidR="00213600" w:rsidRDefault="0048421A" w:rsidP="0048421A">
      <w:pPr>
        <w:spacing w:before="100" w:beforeAutospacing="1" w:after="100" w:afterAutospacing="1"/>
        <w:rPr>
          <w:rFonts w:eastAsiaTheme="minorHAnsi"/>
          <w:lang w:val="en-AU"/>
        </w:rPr>
      </w:pPr>
      <w:r w:rsidRPr="003365C6">
        <w:rPr>
          <w:rFonts w:eastAsiaTheme="minorHAnsi"/>
          <w:lang w:val="en-AU"/>
        </w:rPr>
        <w:t>In Jesus</w:t>
      </w:r>
      <w:r w:rsidR="000E2CE6">
        <w:rPr>
          <w:rFonts w:eastAsiaTheme="minorHAnsi"/>
          <w:lang w:val="en-AU"/>
        </w:rPr>
        <w:t>’</w:t>
      </w:r>
      <w:r w:rsidRPr="003365C6">
        <w:rPr>
          <w:rFonts w:eastAsiaTheme="minorHAnsi"/>
          <w:lang w:val="en-AU"/>
        </w:rPr>
        <w:t xml:space="preserve"> response to Philip in </w:t>
      </w:r>
      <w:r w:rsidRPr="003365C6">
        <w:rPr>
          <w:bCs/>
          <w:lang w:val="en-AU"/>
        </w:rPr>
        <w:t>John 14:8-9</w:t>
      </w:r>
      <w:r w:rsidRPr="003365C6">
        <w:rPr>
          <w:rFonts w:eastAsiaTheme="minorHAnsi"/>
          <w:lang w:val="en-AU"/>
        </w:rPr>
        <w:t xml:space="preserve"> </w:t>
      </w:r>
      <w:r w:rsidR="000E2CE6">
        <w:rPr>
          <w:rFonts w:eastAsiaTheme="minorHAnsi"/>
          <w:lang w:val="en-AU"/>
        </w:rPr>
        <w:t>“</w:t>
      </w:r>
      <w:r w:rsidRPr="003365C6">
        <w:rPr>
          <w:rFonts w:eastAsiaTheme="minorHAnsi"/>
          <w:lang w:val="en-AU"/>
        </w:rPr>
        <w:t>knowing</w:t>
      </w:r>
      <w:r w:rsidR="000E2CE6">
        <w:rPr>
          <w:rFonts w:eastAsiaTheme="minorHAnsi"/>
          <w:lang w:val="en-AU"/>
        </w:rPr>
        <w:t>”</w:t>
      </w:r>
      <w:r w:rsidRPr="003365C6">
        <w:rPr>
          <w:rFonts w:eastAsiaTheme="minorHAnsi"/>
          <w:lang w:val="en-AU"/>
        </w:rPr>
        <w:t xml:space="preserve"> is virtually synonymous with </w:t>
      </w:r>
      <w:r w:rsidR="000E2CE6">
        <w:rPr>
          <w:rFonts w:eastAsiaTheme="minorHAnsi"/>
          <w:lang w:val="en-AU"/>
        </w:rPr>
        <w:t>“</w:t>
      </w:r>
      <w:r w:rsidRPr="003365C6">
        <w:rPr>
          <w:rFonts w:eastAsiaTheme="minorHAnsi"/>
          <w:lang w:val="en-AU"/>
        </w:rPr>
        <w:t>seeing</w:t>
      </w:r>
      <w:r w:rsidR="000E2CE6">
        <w:rPr>
          <w:rFonts w:eastAsiaTheme="minorHAnsi"/>
          <w:lang w:val="en-AU"/>
        </w:rPr>
        <w:t>”</w:t>
      </w:r>
      <w:r w:rsidRPr="003365C6">
        <w:rPr>
          <w:rFonts w:eastAsiaTheme="minorHAnsi"/>
          <w:lang w:val="en-AU"/>
        </w:rPr>
        <w:t>.  Abraham named the place where</w:t>
      </w:r>
      <w:r w:rsidR="005610DF">
        <w:rPr>
          <w:rFonts w:eastAsiaTheme="minorHAnsi"/>
          <w:lang w:val="en-AU"/>
        </w:rPr>
        <w:t xml:space="preserve"> Isaac was sacrificed in Gen</w:t>
      </w:r>
      <w:r w:rsidRPr="003365C6">
        <w:rPr>
          <w:rFonts w:eastAsiaTheme="minorHAnsi"/>
          <w:lang w:val="en-AU"/>
        </w:rPr>
        <w:t xml:space="preserve"> 22:14 </w:t>
      </w:r>
      <w:r w:rsidRPr="003365C6">
        <w:rPr>
          <w:rFonts w:eastAsiaTheme="minorHAnsi"/>
          <w:i/>
          <w:lang w:val="en-AU"/>
        </w:rPr>
        <w:t>Yahweh-</w:t>
      </w:r>
      <w:proofErr w:type="spellStart"/>
      <w:r w:rsidRPr="003365C6">
        <w:rPr>
          <w:rFonts w:eastAsiaTheme="minorHAnsi"/>
          <w:i/>
          <w:lang w:val="en-AU"/>
        </w:rPr>
        <w:t>Yireh</w:t>
      </w:r>
      <w:proofErr w:type="spellEnd"/>
      <w:r w:rsidR="005610DF">
        <w:rPr>
          <w:rFonts w:eastAsiaTheme="minorHAnsi"/>
          <w:i/>
          <w:lang w:val="en-AU"/>
        </w:rPr>
        <w:t>—</w:t>
      </w:r>
      <w:r w:rsidRPr="003365C6">
        <w:rPr>
          <w:rFonts w:eastAsiaTheme="minorHAnsi"/>
          <w:lang w:val="en-AU"/>
        </w:rPr>
        <w:t xml:space="preserve">literally </w:t>
      </w:r>
      <w:r w:rsidRPr="003365C6">
        <w:rPr>
          <w:rFonts w:eastAsiaTheme="minorHAnsi"/>
          <w:i/>
          <w:lang w:val="en-AU"/>
        </w:rPr>
        <w:t>Yahweh will be seen</w:t>
      </w:r>
      <w:r w:rsidRPr="003365C6">
        <w:rPr>
          <w:rFonts w:eastAsiaTheme="minorHAnsi"/>
          <w:lang w:val="en-AU"/>
        </w:rPr>
        <w:t xml:space="preserve"> (revealed)</w:t>
      </w:r>
      <w:r w:rsidRPr="003365C6">
        <w:rPr>
          <w:rStyle w:val="FootnoteReference"/>
          <w:rFonts w:eastAsiaTheme="minorHAnsi"/>
          <w:lang w:val="en-AU"/>
        </w:rPr>
        <w:footnoteReference w:id="59"/>
      </w:r>
      <w:r w:rsidRPr="003365C6">
        <w:rPr>
          <w:rFonts w:eastAsiaTheme="minorHAnsi"/>
          <w:lang w:val="en-AU"/>
        </w:rPr>
        <w:t>, underpinning J</w:t>
      </w:r>
      <w:r w:rsidR="00213600">
        <w:rPr>
          <w:rFonts w:eastAsiaTheme="minorHAnsi"/>
          <w:lang w:val="en-AU"/>
        </w:rPr>
        <w:t>esus</w:t>
      </w:r>
      <w:r w:rsidR="000E2CE6">
        <w:rPr>
          <w:rFonts w:eastAsiaTheme="minorHAnsi"/>
          <w:lang w:val="en-AU"/>
        </w:rPr>
        <w:t>’</w:t>
      </w:r>
      <w:r w:rsidR="00213600">
        <w:rPr>
          <w:rFonts w:eastAsiaTheme="minorHAnsi"/>
          <w:lang w:val="en-AU"/>
        </w:rPr>
        <w:t xml:space="preserve"> statement in John 8:55-56,</w:t>
      </w:r>
      <w:r w:rsidRPr="003365C6">
        <w:rPr>
          <w:rFonts w:eastAsiaTheme="minorHAnsi"/>
          <w:lang w:val="en-AU"/>
        </w:rPr>
        <w:t xml:space="preserve"> </w:t>
      </w:r>
    </w:p>
    <w:p w:rsidR="00213600" w:rsidRDefault="0048421A" w:rsidP="00213600">
      <w:pPr>
        <w:pStyle w:val="Quote"/>
        <w:rPr>
          <w:rFonts w:eastAsiaTheme="minorHAnsi"/>
        </w:rPr>
      </w:pPr>
      <w:r w:rsidRPr="003365C6">
        <w:rPr>
          <w:rFonts w:eastAsiaTheme="minorHAnsi"/>
        </w:rPr>
        <w:lastRenderedPageBreak/>
        <w:t xml:space="preserve">Yet you have </w:t>
      </w:r>
      <w:r w:rsidRPr="003365C6">
        <w:rPr>
          <w:rFonts w:eastAsiaTheme="minorHAnsi"/>
          <w:u w:val="single"/>
        </w:rPr>
        <w:t>not known</w:t>
      </w:r>
      <w:r w:rsidRPr="003365C6">
        <w:rPr>
          <w:rFonts w:eastAsiaTheme="minorHAnsi"/>
        </w:rPr>
        <w:t xml:space="preserve"> (</w:t>
      </w:r>
      <w:proofErr w:type="spellStart"/>
      <w:r w:rsidRPr="003365C6">
        <w:rPr>
          <w:i/>
        </w:rPr>
        <w:t>ginōskō</w:t>
      </w:r>
      <w:proofErr w:type="spellEnd"/>
      <w:r w:rsidRPr="003365C6">
        <w:t>)</w:t>
      </w:r>
      <w:r w:rsidRPr="003365C6">
        <w:rPr>
          <w:rFonts w:eastAsiaTheme="minorHAnsi"/>
        </w:rPr>
        <w:t xml:space="preserve"> Him, but I </w:t>
      </w:r>
      <w:r w:rsidRPr="003365C6">
        <w:rPr>
          <w:rFonts w:eastAsiaTheme="minorHAnsi"/>
          <w:u w:val="single"/>
        </w:rPr>
        <w:t>know</w:t>
      </w:r>
      <w:r w:rsidRPr="003365C6">
        <w:rPr>
          <w:rFonts w:eastAsiaTheme="minorHAnsi"/>
        </w:rPr>
        <w:t xml:space="preserve"> (</w:t>
      </w:r>
      <w:proofErr w:type="spellStart"/>
      <w:r w:rsidRPr="003365C6">
        <w:rPr>
          <w:rFonts w:eastAsiaTheme="minorHAnsi"/>
          <w:i/>
        </w:rPr>
        <w:t>eido</w:t>
      </w:r>
      <w:proofErr w:type="spellEnd"/>
      <w:r w:rsidRPr="003365C6">
        <w:rPr>
          <w:rFonts w:eastAsiaTheme="minorHAnsi"/>
        </w:rPr>
        <w:t xml:space="preserve">) Him. And if I say, </w:t>
      </w:r>
      <w:r w:rsidR="000E2CE6">
        <w:rPr>
          <w:rFonts w:eastAsiaTheme="minorHAnsi"/>
        </w:rPr>
        <w:t>‘</w:t>
      </w:r>
      <w:r w:rsidRPr="003365C6">
        <w:rPr>
          <w:rFonts w:eastAsiaTheme="minorHAnsi"/>
        </w:rPr>
        <w:t xml:space="preserve">I do not </w:t>
      </w:r>
      <w:r w:rsidRPr="003365C6">
        <w:rPr>
          <w:rFonts w:eastAsiaTheme="minorHAnsi"/>
          <w:u w:val="single"/>
        </w:rPr>
        <w:t>know</w:t>
      </w:r>
      <w:r w:rsidRPr="003365C6">
        <w:rPr>
          <w:rFonts w:eastAsiaTheme="minorHAnsi"/>
        </w:rPr>
        <w:t xml:space="preserve"> (</w:t>
      </w:r>
      <w:proofErr w:type="spellStart"/>
      <w:r w:rsidRPr="003365C6">
        <w:rPr>
          <w:rFonts w:eastAsiaTheme="minorHAnsi"/>
          <w:i/>
        </w:rPr>
        <w:t>eido</w:t>
      </w:r>
      <w:proofErr w:type="spellEnd"/>
      <w:r w:rsidRPr="003365C6">
        <w:rPr>
          <w:rFonts w:eastAsiaTheme="minorHAnsi"/>
        </w:rPr>
        <w:t>) Him,</w:t>
      </w:r>
      <w:r w:rsidR="000E2CE6">
        <w:rPr>
          <w:rFonts w:eastAsiaTheme="minorHAnsi"/>
        </w:rPr>
        <w:t>’</w:t>
      </w:r>
      <w:r w:rsidRPr="003365C6">
        <w:rPr>
          <w:rFonts w:eastAsiaTheme="minorHAnsi"/>
        </w:rPr>
        <w:t xml:space="preserve"> I shall be a liar like you; but I do </w:t>
      </w:r>
      <w:r w:rsidRPr="003365C6">
        <w:rPr>
          <w:rFonts w:eastAsiaTheme="minorHAnsi"/>
          <w:u w:val="single"/>
        </w:rPr>
        <w:t>know</w:t>
      </w:r>
      <w:r w:rsidRPr="003365C6">
        <w:rPr>
          <w:rFonts w:eastAsiaTheme="minorHAnsi"/>
        </w:rPr>
        <w:t xml:space="preserve"> (</w:t>
      </w:r>
      <w:proofErr w:type="spellStart"/>
      <w:r w:rsidRPr="003365C6">
        <w:rPr>
          <w:rFonts w:eastAsiaTheme="minorHAnsi"/>
          <w:i/>
        </w:rPr>
        <w:t>eido</w:t>
      </w:r>
      <w:proofErr w:type="spellEnd"/>
      <w:r w:rsidRPr="003365C6">
        <w:rPr>
          <w:rFonts w:eastAsiaTheme="minorHAnsi"/>
        </w:rPr>
        <w:t>) Him and keep His word.</w:t>
      </w:r>
      <w:r w:rsidRPr="003365C6">
        <w:t xml:space="preserve"> </w:t>
      </w:r>
      <w:r w:rsidRPr="003365C6">
        <w:rPr>
          <w:rFonts w:eastAsiaTheme="minorHAnsi"/>
        </w:rPr>
        <w:t xml:space="preserve">Your father Abraham rejoiced </w:t>
      </w:r>
      <w:r w:rsidRPr="003365C6">
        <w:rPr>
          <w:rFonts w:eastAsiaTheme="minorHAnsi"/>
          <w:u w:val="single"/>
        </w:rPr>
        <w:t>to see</w:t>
      </w:r>
      <w:r w:rsidRPr="003365C6">
        <w:rPr>
          <w:rFonts w:eastAsiaTheme="minorHAnsi"/>
        </w:rPr>
        <w:t xml:space="preserve"> </w:t>
      </w:r>
      <w:proofErr w:type="gramStart"/>
      <w:r w:rsidRPr="003365C6">
        <w:rPr>
          <w:rFonts w:eastAsiaTheme="minorHAnsi"/>
        </w:rPr>
        <w:t>My</w:t>
      </w:r>
      <w:proofErr w:type="gramEnd"/>
      <w:r w:rsidRPr="003365C6">
        <w:rPr>
          <w:rFonts w:eastAsiaTheme="minorHAnsi"/>
        </w:rPr>
        <w:t xml:space="preserve"> day, and he </w:t>
      </w:r>
      <w:r w:rsidRPr="003365C6">
        <w:rPr>
          <w:rFonts w:eastAsiaTheme="minorHAnsi"/>
          <w:u w:val="single"/>
        </w:rPr>
        <w:t xml:space="preserve">saw </w:t>
      </w:r>
      <w:r w:rsidRPr="003365C6">
        <w:rPr>
          <w:rFonts w:eastAsiaTheme="minorHAnsi"/>
          <w:i/>
          <w:iCs/>
          <w:u w:val="single"/>
        </w:rPr>
        <w:t>it</w:t>
      </w:r>
      <w:r w:rsidRPr="003365C6">
        <w:rPr>
          <w:rFonts w:eastAsiaTheme="minorHAnsi"/>
          <w:i/>
          <w:iCs/>
        </w:rPr>
        <w:t xml:space="preserve"> </w:t>
      </w:r>
      <w:r w:rsidRPr="003365C6">
        <w:rPr>
          <w:rFonts w:eastAsiaTheme="minorHAnsi"/>
        </w:rPr>
        <w:t>and was glad. John 8:55-56</w:t>
      </w:r>
      <w:r w:rsidR="00213600">
        <w:rPr>
          <w:rFonts w:eastAsiaTheme="minorHAnsi"/>
        </w:rPr>
        <w:t xml:space="preserve"> (NKJV)</w:t>
      </w:r>
      <w:r w:rsidRPr="003365C6">
        <w:rPr>
          <w:rFonts w:eastAsiaTheme="minorHAnsi"/>
        </w:rPr>
        <w:t xml:space="preserve"> </w:t>
      </w:r>
    </w:p>
    <w:p w:rsidR="00213600" w:rsidRDefault="00213600" w:rsidP="00213600">
      <w:pPr>
        <w:pStyle w:val="Quote"/>
        <w:rPr>
          <w:rFonts w:eastAsiaTheme="minorHAnsi"/>
        </w:rPr>
      </w:pPr>
    </w:p>
    <w:p w:rsidR="00213600" w:rsidRDefault="0048421A" w:rsidP="00213600">
      <w:pPr>
        <w:rPr>
          <w:rFonts w:eastAsiaTheme="minorHAnsi"/>
          <w:lang w:val="en-AU"/>
        </w:rPr>
      </w:pPr>
      <w:r w:rsidRPr="003365C6">
        <w:rPr>
          <w:rFonts w:eastAsiaTheme="minorHAnsi"/>
          <w:lang w:val="en-AU"/>
        </w:rPr>
        <w:t>In conclusion</w:t>
      </w:r>
      <w:r w:rsidR="00213600">
        <w:rPr>
          <w:rFonts w:eastAsiaTheme="minorHAnsi"/>
          <w:lang w:val="en-AU"/>
        </w:rPr>
        <w:t>,</w:t>
      </w:r>
      <w:r w:rsidRPr="003365C6">
        <w:rPr>
          <w:rFonts w:eastAsiaTheme="minorHAnsi"/>
          <w:lang w:val="en-AU"/>
        </w:rPr>
        <w:t xml:space="preserve"> Abraham did </w:t>
      </w:r>
      <w:r w:rsidR="000E2CE6">
        <w:rPr>
          <w:rFonts w:eastAsiaTheme="minorHAnsi"/>
          <w:lang w:val="en-AU"/>
        </w:rPr>
        <w:t>“</w:t>
      </w:r>
      <w:r w:rsidRPr="003365C6">
        <w:rPr>
          <w:rFonts w:eastAsiaTheme="minorHAnsi"/>
          <w:lang w:val="en-AU"/>
        </w:rPr>
        <w:t>know</w:t>
      </w:r>
      <w:r w:rsidR="000E2CE6">
        <w:rPr>
          <w:rFonts w:eastAsiaTheme="minorHAnsi"/>
          <w:lang w:val="en-AU"/>
        </w:rPr>
        <w:t>”</w:t>
      </w:r>
      <w:r w:rsidRPr="003365C6">
        <w:rPr>
          <w:rFonts w:eastAsiaTheme="minorHAnsi"/>
          <w:lang w:val="en-AU"/>
        </w:rPr>
        <w:t xml:space="preserve"> </w:t>
      </w:r>
      <w:r w:rsidRPr="003365C6">
        <w:rPr>
          <w:rFonts w:eastAsiaTheme="minorHAnsi"/>
          <w:i/>
          <w:lang w:val="en-AU"/>
        </w:rPr>
        <w:t>Yahweh</w:t>
      </w:r>
      <w:r w:rsidRPr="003365C6">
        <w:rPr>
          <w:rFonts w:eastAsiaTheme="minorHAnsi"/>
          <w:lang w:val="en-AU"/>
        </w:rPr>
        <w:t xml:space="preserve"> and did </w:t>
      </w:r>
      <w:r w:rsidR="000E2CE6">
        <w:rPr>
          <w:rFonts w:eastAsiaTheme="minorHAnsi"/>
          <w:lang w:val="en-AU"/>
        </w:rPr>
        <w:t>“</w:t>
      </w:r>
      <w:r w:rsidRPr="003365C6">
        <w:rPr>
          <w:rFonts w:eastAsiaTheme="minorHAnsi"/>
          <w:lang w:val="en-AU"/>
        </w:rPr>
        <w:t>see</w:t>
      </w:r>
      <w:r w:rsidR="000E2CE6">
        <w:rPr>
          <w:rFonts w:eastAsiaTheme="minorHAnsi"/>
          <w:lang w:val="en-AU"/>
        </w:rPr>
        <w:t>”</w:t>
      </w:r>
      <w:r w:rsidRPr="003365C6">
        <w:rPr>
          <w:rFonts w:eastAsiaTheme="minorHAnsi"/>
          <w:lang w:val="en-AU"/>
        </w:rPr>
        <w:t xml:space="preserve"> </w:t>
      </w:r>
      <w:r w:rsidRPr="003365C6">
        <w:rPr>
          <w:rFonts w:eastAsiaTheme="minorHAnsi"/>
          <w:i/>
          <w:lang w:val="en-AU"/>
        </w:rPr>
        <w:t>Yahweh</w:t>
      </w:r>
      <w:r w:rsidRPr="003365C6">
        <w:rPr>
          <w:rFonts w:eastAsiaTheme="minorHAnsi"/>
          <w:lang w:val="en-AU"/>
        </w:rPr>
        <w:t xml:space="preserve"> but that revelation was progressive and was only seen with the eye of faith unti</w:t>
      </w:r>
      <w:r w:rsidR="00213600">
        <w:rPr>
          <w:rFonts w:eastAsiaTheme="minorHAnsi"/>
          <w:lang w:val="en-AU"/>
        </w:rPr>
        <w:t>l the appearance of the Messiah:</w:t>
      </w:r>
      <w:r w:rsidRPr="003365C6">
        <w:rPr>
          <w:rFonts w:eastAsiaTheme="minorHAnsi"/>
          <w:lang w:val="en-AU"/>
        </w:rPr>
        <w:t xml:space="preserve"> </w:t>
      </w:r>
    </w:p>
    <w:p w:rsidR="00213600" w:rsidRDefault="00213600" w:rsidP="00213600">
      <w:pPr>
        <w:rPr>
          <w:rFonts w:eastAsiaTheme="minorHAnsi"/>
          <w:lang w:val="en-AU"/>
        </w:rPr>
      </w:pPr>
    </w:p>
    <w:p w:rsidR="00213600" w:rsidRDefault="0048421A" w:rsidP="00213600">
      <w:pPr>
        <w:pStyle w:val="Quote"/>
      </w:pPr>
      <w:r w:rsidRPr="003365C6">
        <w:t xml:space="preserve">Now it came to pass, as He sat at the table with them, that He took bread, blessed and broke </w:t>
      </w:r>
      <w:r w:rsidRPr="003365C6">
        <w:rPr>
          <w:i/>
          <w:iCs/>
        </w:rPr>
        <w:t xml:space="preserve">it, </w:t>
      </w:r>
      <w:r w:rsidRPr="003365C6">
        <w:t>and gave it to them.</w:t>
      </w:r>
      <w:r w:rsidRPr="003365C6">
        <w:rPr>
          <w:vertAlign w:val="superscript"/>
        </w:rPr>
        <w:t xml:space="preserve"> </w:t>
      </w:r>
      <w:r w:rsidRPr="003365C6">
        <w:t xml:space="preserve">Then </w:t>
      </w:r>
      <w:r w:rsidRPr="003365C6">
        <w:rPr>
          <w:u w:val="single"/>
        </w:rPr>
        <w:t>their eyes were opened</w:t>
      </w:r>
      <w:r w:rsidRPr="003365C6">
        <w:t xml:space="preserve"> and they </w:t>
      </w:r>
      <w:r w:rsidRPr="003365C6">
        <w:rPr>
          <w:u w:val="single"/>
        </w:rPr>
        <w:t>knew</w:t>
      </w:r>
      <w:r w:rsidRPr="003365C6">
        <w:t xml:space="preserve"> (</w:t>
      </w:r>
      <w:proofErr w:type="spellStart"/>
      <w:r w:rsidRPr="003365C6">
        <w:rPr>
          <w:i/>
        </w:rPr>
        <w:t>epiginōskō</w:t>
      </w:r>
      <w:proofErr w:type="spellEnd"/>
      <w:r w:rsidRPr="003365C6">
        <w:t>) Him; and He vanished</w:t>
      </w:r>
      <w:r w:rsidR="00213600">
        <w:t xml:space="preserve"> from their sight. Luke 24:30-31 (NKJV)</w:t>
      </w:r>
      <w:r w:rsidRPr="003365C6">
        <w:t xml:space="preserve"> </w:t>
      </w:r>
    </w:p>
    <w:p w:rsidR="00213600" w:rsidRDefault="00213600" w:rsidP="00213600"/>
    <w:p w:rsidR="0048421A" w:rsidRPr="003365C6" w:rsidRDefault="0048421A" w:rsidP="00213600">
      <w:r w:rsidRPr="003365C6">
        <w:t>It is only in the act of salvation that the unknown God can be truly known.</w:t>
      </w:r>
    </w:p>
    <w:p w:rsidR="0048421A" w:rsidRDefault="0048421A" w:rsidP="0048421A">
      <w:pPr>
        <w:autoSpaceDE w:val="0"/>
        <w:autoSpaceDN w:val="0"/>
        <w:adjustRightInd w:val="0"/>
        <w:rPr>
          <w:lang w:val="en-AU"/>
        </w:rPr>
      </w:pPr>
    </w:p>
    <w:p w:rsidR="00BA074C" w:rsidRDefault="00BA074C" w:rsidP="00BA074C">
      <w:pPr>
        <w:autoSpaceDE w:val="0"/>
        <w:autoSpaceDN w:val="0"/>
        <w:adjustRightInd w:val="0"/>
        <w:jc w:val="center"/>
        <w:rPr>
          <w:rFonts w:ascii="Bradley Hand ITC" w:hAnsi="Bradley Hand ITC"/>
          <w:b/>
          <w:sz w:val="28"/>
          <w:lang w:val="en-AU"/>
        </w:rPr>
      </w:pPr>
      <w:r>
        <w:rPr>
          <w:rFonts w:ascii="Bradley Hand ITC" w:hAnsi="Bradley Hand ITC"/>
          <w:b/>
          <w:sz w:val="28"/>
          <w:lang w:val="en-AU"/>
        </w:rPr>
        <w:t>Psalm 72</w:t>
      </w:r>
      <w:r w:rsidR="002315A8">
        <w:rPr>
          <w:rStyle w:val="FootnoteReference"/>
          <w:lang w:val="en-GB" w:eastAsia="en-GB"/>
        </w:rPr>
        <w:footnoteReference w:id="60"/>
      </w:r>
    </w:p>
    <w:p w:rsidR="0048421A" w:rsidRPr="00BA074C" w:rsidRDefault="00BA074C" w:rsidP="00BA074C">
      <w:pPr>
        <w:autoSpaceDE w:val="0"/>
        <w:autoSpaceDN w:val="0"/>
        <w:adjustRightInd w:val="0"/>
        <w:jc w:val="center"/>
        <w:rPr>
          <w:rFonts w:ascii="Bradley Hand ITC" w:hAnsi="Bradley Hand ITC"/>
          <w:b/>
          <w:sz w:val="28"/>
          <w:lang w:val="en-AU"/>
        </w:rPr>
      </w:pPr>
      <w:r w:rsidRPr="00BA074C">
        <w:rPr>
          <w:rFonts w:ascii="Bradley Hand ITC" w:hAnsi="Bradley Hand ITC"/>
          <w:b/>
          <w:sz w:val="28"/>
          <w:lang w:val="en-AU"/>
        </w:rPr>
        <w:t>The Prayers of David the Son of Jesse are Ended</w:t>
      </w:r>
    </w:p>
    <w:p w:rsidR="00BA074C" w:rsidRPr="00BA074C" w:rsidRDefault="00BA074C" w:rsidP="00BA074C">
      <w:pPr>
        <w:autoSpaceDE w:val="0"/>
        <w:autoSpaceDN w:val="0"/>
        <w:adjustRightInd w:val="0"/>
        <w:jc w:val="center"/>
        <w:rPr>
          <w:rFonts w:ascii="Bradley Hand ITC" w:hAnsi="Bradley Hand ITC"/>
          <w:b/>
          <w:sz w:val="28"/>
          <w:lang w:val="en-AU"/>
        </w:rPr>
      </w:pPr>
      <w:r w:rsidRPr="00BA074C">
        <w:rPr>
          <w:rFonts w:ascii="Bradley Hand ITC" w:hAnsi="Bradley Hand ITC"/>
          <w:b/>
          <w:sz w:val="28"/>
          <w:lang w:val="en-AU"/>
        </w:rPr>
        <w:t>P. Heavyside</w:t>
      </w:r>
    </w:p>
    <w:p w:rsidR="0048421A" w:rsidRDefault="0048421A" w:rsidP="0048421A">
      <w:pPr>
        <w:autoSpaceDE w:val="0"/>
        <w:autoSpaceDN w:val="0"/>
        <w:adjustRightInd w:val="0"/>
        <w:rPr>
          <w:lang w:val="en-AU"/>
        </w:rPr>
      </w:pPr>
    </w:p>
    <w:p w:rsidR="00BA074C" w:rsidRPr="00BA074C" w:rsidRDefault="00BA074C" w:rsidP="0048421A">
      <w:pPr>
        <w:autoSpaceDE w:val="0"/>
        <w:autoSpaceDN w:val="0"/>
        <w:adjustRightInd w:val="0"/>
        <w:rPr>
          <w:rFonts w:ascii="Bradley Hand ITC" w:hAnsi="Bradley Hand ITC"/>
          <w:b/>
          <w:sz w:val="28"/>
          <w:lang w:val="en-AU"/>
        </w:rPr>
      </w:pPr>
      <w:r w:rsidRPr="00BA074C">
        <w:rPr>
          <w:rFonts w:ascii="Bradley Hand ITC" w:hAnsi="Bradley Hand ITC"/>
          <w:b/>
          <w:sz w:val="28"/>
          <w:lang w:val="en-AU"/>
        </w:rPr>
        <w:t>Introduction</w:t>
      </w:r>
    </w:p>
    <w:p w:rsidR="0048421A" w:rsidRDefault="00BA074C" w:rsidP="00BA074C">
      <w:pPr>
        <w:rPr>
          <w:lang w:val="en-GB" w:eastAsia="en-GB"/>
        </w:rPr>
      </w:pPr>
      <w:r>
        <w:rPr>
          <w:lang w:val="en-GB" w:eastAsia="en-GB"/>
        </w:rPr>
        <w:t>Determining the meaning of the expression that forms the sub-title for this exposition has far reaching consequences not just for Psalm 72 but also for the second book of psalms. Yet this expression, quoted from Psalm 72:20, is taken by most expositors and commentators I have consulted as self-evidently a statement about David being the writer of Psalm 72. In this exposition we take a closer look at the statement to expound its significance and discover, indeed, it tells us something which affects profoundly our interpretation of all the psalms in the second book. We gain powerful exhortation also from a consideration of the last months of David</w:t>
      </w:r>
      <w:r w:rsidR="000E2CE6">
        <w:rPr>
          <w:lang w:val="en-GB" w:eastAsia="en-GB"/>
        </w:rPr>
        <w:t>’</w:t>
      </w:r>
      <w:r>
        <w:rPr>
          <w:lang w:val="en-GB" w:eastAsia="en-GB"/>
        </w:rPr>
        <w:t>s life.</w:t>
      </w:r>
    </w:p>
    <w:p w:rsidR="00BA074C" w:rsidRDefault="00BA074C" w:rsidP="00BA074C">
      <w:pPr>
        <w:rPr>
          <w:lang w:val="en-GB" w:eastAsia="en-GB"/>
        </w:rPr>
      </w:pPr>
    </w:p>
    <w:p w:rsidR="002315A8" w:rsidRDefault="002315A8" w:rsidP="00BA074C">
      <w:pPr>
        <w:rPr>
          <w:lang w:val="en-GB" w:eastAsia="en-GB"/>
        </w:rPr>
      </w:pPr>
    </w:p>
    <w:p w:rsidR="002315A8" w:rsidRDefault="002315A8" w:rsidP="00BA074C">
      <w:pPr>
        <w:rPr>
          <w:lang w:val="en-GB" w:eastAsia="en-GB"/>
        </w:rPr>
      </w:pPr>
    </w:p>
    <w:p w:rsidR="00BA074C" w:rsidRPr="00BA074C" w:rsidRDefault="00BA074C" w:rsidP="00BA074C">
      <w:pPr>
        <w:autoSpaceDE w:val="0"/>
        <w:autoSpaceDN w:val="0"/>
        <w:adjustRightInd w:val="0"/>
        <w:jc w:val="left"/>
        <w:rPr>
          <w:rFonts w:ascii="Bradley Hand ITC" w:hAnsi="Bradley Hand ITC" w:cs="Helvetica-Bold"/>
          <w:b/>
          <w:bCs/>
          <w:color w:val="auto"/>
          <w:sz w:val="28"/>
          <w:szCs w:val="28"/>
          <w:lang w:val="en-GB" w:eastAsia="en-GB"/>
        </w:rPr>
      </w:pPr>
      <w:r w:rsidRPr="00BA074C">
        <w:rPr>
          <w:rFonts w:ascii="Bradley Hand ITC" w:hAnsi="Bradley Hand ITC" w:cs="Helvetica-Bold"/>
          <w:b/>
          <w:bCs/>
          <w:color w:val="auto"/>
          <w:sz w:val="28"/>
          <w:szCs w:val="28"/>
          <w:lang w:val="en-GB" w:eastAsia="en-GB"/>
        </w:rPr>
        <w:lastRenderedPageBreak/>
        <w:t>The Prophet of Psalm 72</w:t>
      </w:r>
    </w:p>
    <w:p w:rsidR="00BA074C" w:rsidRPr="00712A0D" w:rsidRDefault="00BA074C" w:rsidP="00712A0D">
      <w:pPr>
        <w:autoSpaceDE w:val="0"/>
        <w:autoSpaceDN w:val="0"/>
        <w:adjustRightInd w:val="0"/>
        <w:rPr>
          <w:rFonts w:ascii="Arial" w:hAnsi="Arial"/>
          <w:color w:val="auto"/>
          <w:sz w:val="20"/>
          <w:szCs w:val="20"/>
          <w:lang w:eastAsia="en-GB" w:bidi="he-IL"/>
        </w:rPr>
      </w:pPr>
      <w:r w:rsidRPr="00BA074C">
        <w:rPr>
          <w:lang w:val="en-GB" w:eastAsia="en-GB"/>
        </w:rPr>
        <w:t xml:space="preserve">The prophet through whom Psalm 72 was revealed is Solomon, as stated in its title. Those that read </w:t>
      </w:r>
      <w:r w:rsidR="000E2CE6">
        <w:rPr>
          <w:lang w:val="en-GB" w:eastAsia="en-GB"/>
        </w:rPr>
        <w:t>“</w:t>
      </w:r>
      <w:r w:rsidRPr="00BA074C">
        <w:rPr>
          <w:lang w:val="en-GB" w:eastAsia="en-GB"/>
        </w:rPr>
        <w:t>the prayers of David the son of Jesse are ended</w:t>
      </w:r>
      <w:r w:rsidR="000E2CE6">
        <w:rPr>
          <w:lang w:val="en-GB" w:eastAsia="en-GB"/>
        </w:rPr>
        <w:t>”</w:t>
      </w:r>
      <w:r w:rsidRPr="00BA074C">
        <w:rPr>
          <w:lang w:val="en-GB" w:eastAsia="en-GB"/>
        </w:rPr>
        <w:t xml:space="preserve"> (Ps 72:20) as self-evidently</w:t>
      </w:r>
      <w:r>
        <w:rPr>
          <w:rStyle w:val="FootnoteReference"/>
          <w:lang w:val="en-GB" w:eastAsia="en-GB"/>
        </w:rPr>
        <w:footnoteReference w:id="61"/>
      </w:r>
      <w:r w:rsidRPr="00BA074C">
        <w:rPr>
          <w:lang w:val="en-GB" w:eastAsia="en-GB"/>
        </w:rPr>
        <w:t xml:space="preserve"> a statement by David of his authorship of the psalm take its title, rendered in the KJV </w:t>
      </w:r>
      <w:r w:rsidR="000E2CE6">
        <w:rPr>
          <w:lang w:val="en-GB" w:eastAsia="en-GB"/>
        </w:rPr>
        <w:t>“</w:t>
      </w:r>
      <w:r w:rsidRPr="00BA074C">
        <w:rPr>
          <w:lang w:val="en-GB" w:eastAsia="en-GB"/>
        </w:rPr>
        <w:t>for Solomon</w:t>
      </w:r>
      <w:r w:rsidR="000E2CE6">
        <w:rPr>
          <w:lang w:val="en-GB" w:eastAsia="en-GB"/>
        </w:rPr>
        <w:t>”</w:t>
      </w:r>
      <w:r w:rsidRPr="00BA074C">
        <w:rPr>
          <w:lang w:val="en-GB" w:eastAsia="en-GB"/>
        </w:rPr>
        <w:t xml:space="preserve">, to mean something like </w:t>
      </w:r>
      <w:r w:rsidR="000E2CE6">
        <w:rPr>
          <w:lang w:val="en-GB" w:eastAsia="en-GB"/>
        </w:rPr>
        <w:t>“</w:t>
      </w:r>
      <w:r w:rsidRPr="00BA074C">
        <w:rPr>
          <w:lang w:val="en-GB" w:eastAsia="en-GB"/>
        </w:rPr>
        <w:t>about  Solomon</w:t>
      </w:r>
      <w:r w:rsidR="000E2CE6">
        <w:rPr>
          <w:lang w:val="en-GB" w:eastAsia="en-GB"/>
        </w:rPr>
        <w:t>”</w:t>
      </w:r>
      <w:r w:rsidRPr="00BA074C">
        <w:rPr>
          <w:lang w:val="en-GB" w:eastAsia="en-GB"/>
        </w:rPr>
        <w:t xml:space="preserve"> or, with significant embellishment of the Hebrew, </w:t>
      </w:r>
      <w:r w:rsidR="000E2CE6">
        <w:rPr>
          <w:lang w:val="en-GB" w:eastAsia="en-GB"/>
        </w:rPr>
        <w:t>“</w:t>
      </w:r>
      <w:r w:rsidRPr="00BA074C">
        <w:rPr>
          <w:lang w:val="en-GB" w:eastAsia="en-GB"/>
        </w:rPr>
        <w:t>written by David for Solomon</w:t>
      </w:r>
      <w:r w:rsidR="000E2CE6">
        <w:rPr>
          <w:lang w:val="en-GB" w:eastAsia="en-GB"/>
        </w:rPr>
        <w:t>”</w:t>
      </w:r>
      <w:r w:rsidRPr="00BA074C">
        <w:rPr>
          <w:lang w:val="en-GB" w:eastAsia="en-GB"/>
        </w:rPr>
        <w:t xml:space="preserve">. Yet the Hebrew of the title tells us clearly that the prophet is Solomon. The Hebrew reads </w:t>
      </w:r>
      <w:proofErr w:type="spellStart"/>
      <w:r w:rsidRPr="00BA074C">
        <w:rPr>
          <w:rFonts w:cs="Helvetica-Oblique"/>
          <w:i/>
          <w:iCs/>
          <w:lang w:val="en-GB" w:eastAsia="en-GB"/>
        </w:rPr>
        <w:t>lšlmh</w:t>
      </w:r>
      <w:proofErr w:type="spellEnd"/>
      <w:r w:rsidRPr="00BA074C">
        <w:rPr>
          <w:rFonts w:cs="Helvetica-Oblique"/>
          <w:i/>
          <w:iCs/>
          <w:lang w:val="en-GB" w:eastAsia="en-GB"/>
        </w:rPr>
        <w:t xml:space="preserve"> </w:t>
      </w:r>
      <w:r w:rsidR="00712A0D">
        <w:rPr>
          <w:rFonts w:cs="Helvetica-Oblique"/>
          <w:iCs/>
          <w:lang w:val="en-GB" w:eastAsia="en-GB"/>
        </w:rPr>
        <w:t>(</w:t>
      </w:r>
      <w:proofErr w:type="spellStart"/>
      <w:r w:rsidR="00712A0D" w:rsidRPr="00712A0D">
        <w:rPr>
          <w:rFonts w:ascii="Bwhebb" w:hAnsi="Bwhebb" w:cs="Bwhebb"/>
          <w:color w:val="auto"/>
          <w:sz w:val="28"/>
          <w:szCs w:val="36"/>
          <w:lang w:eastAsia="en-GB" w:bidi="he-IL"/>
        </w:rPr>
        <w:t>hmlvl</w:t>
      </w:r>
      <w:proofErr w:type="spellEnd"/>
      <w:r w:rsidR="00712A0D">
        <w:rPr>
          <w:rFonts w:cs="Helvetica-Oblique"/>
          <w:iCs/>
          <w:lang w:val="en-GB" w:eastAsia="en-GB"/>
        </w:rPr>
        <w:t xml:space="preserve">) </w:t>
      </w:r>
      <w:r w:rsidRPr="00BA074C">
        <w:rPr>
          <w:lang w:val="en-GB" w:eastAsia="en-GB"/>
        </w:rPr>
        <w:t xml:space="preserve">which means, straightforwardly, </w:t>
      </w:r>
      <w:r w:rsidR="000E2CE6">
        <w:rPr>
          <w:lang w:val="en-GB" w:eastAsia="en-GB"/>
        </w:rPr>
        <w:t>“</w:t>
      </w:r>
      <w:r w:rsidRPr="00BA074C">
        <w:rPr>
          <w:lang w:val="en-GB" w:eastAsia="en-GB"/>
        </w:rPr>
        <w:t>to Solomon</w:t>
      </w:r>
      <w:r w:rsidR="000E2CE6">
        <w:rPr>
          <w:lang w:val="en-GB" w:eastAsia="en-GB"/>
        </w:rPr>
        <w:t>”</w:t>
      </w:r>
      <w:r w:rsidRPr="00BA074C">
        <w:rPr>
          <w:lang w:val="en-GB" w:eastAsia="en-GB"/>
        </w:rPr>
        <w:t xml:space="preserve"> or </w:t>
      </w:r>
      <w:r w:rsidR="000E2CE6">
        <w:rPr>
          <w:lang w:val="en-GB" w:eastAsia="en-GB"/>
        </w:rPr>
        <w:t>“</w:t>
      </w:r>
      <w:r w:rsidRPr="00BA074C">
        <w:rPr>
          <w:lang w:val="en-GB" w:eastAsia="en-GB"/>
        </w:rPr>
        <w:t>of Solomon</w:t>
      </w:r>
      <w:r w:rsidR="000E2CE6">
        <w:rPr>
          <w:lang w:val="en-GB" w:eastAsia="en-GB"/>
        </w:rPr>
        <w:t>”</w:t>
      </w:r>
      <w:r w:rsidRPr="00BA074C">
        <w:rPr>
          <w:lang w:val="en-GB" w:eastAsia="en-GB"/>
        </w:rPr>
        <w:t xml:space="preserve"> and is a form of title found frequently in the psalms designating the prophet. For example, the title of Psalm 69 reads </w:t>
      </w:r>
      <w:r w:rsidR="000E2CE6">
        <w:rPr>
          <w:lang w:val="en-GB" w:eastAsia="en-GB"/>
        </w:rPr>
        <w:t>“</w:t>
      </w:r>
      <w:r w:rsidRPr="00BA074C">
        <w:rPr>
          <w:lang w:val="en-GB" w:eastAsia="en-GB"/>
        </w:rPr>
        <w:t>of David (</w:t>
      </w:r>
      <w:r w:rsidRPr="00BA074C">
        <w:rPr>
          <w:rFonts w:cs="Helvetica-Oblique"/>
          <w:i/>
          <w:iCs/>
          <w:lang w:val="en-GB" w:eastAsia="en-GB"/>
        </w:rPr>
        <w:t>ldwd</w:t>
      </w:r>
      <w:r w:rsidRPr="00BA074C">
        <w:rPr>
          <w:lang w:val="en-GB" w:eastAsia="en-GB"/>
        </w:rPr>
        <w:t>)</w:t>
      </w:r>
      <w:r w:rsidR="000E2CE6">
        <w:rPr>
          <w:lang w:val="en-GB" w:eastAsia="en-GB"/>
        </w:rPr>
        <w:t>”</w:t>
      </w:r>
      <w:r w:rsidRPr="00BA074C">
        <w:rPr>
          <w:lang w:val="en-GB" w:eastAsia="en-GB"/>
        </w:rPr>
        <w:t xml:space="preserve"> identifying David as the one through whom this psalm was spoken; that David is, indeed, the prophet of Psalm 69 is confirmed a couple of times: </w:t>
      </w:r>
    </w:p>
    <w:p w:rsidR="00BA074C" w:rsidRDefault="00BA074C" w:rsidP="00BA074C">
      <w:pPr>
        <w:autoSpaceDE w:val="0"/>
        <w:autoSpaceDN w:val="0"/>
        <w:adjustRightInd w:val="0"/>
        <w:jc w:val="left"/>
        <w:rPr>
          <w:rFonts w:ascii="Helvetica" w:hAnsi="Helvetica" w:cs="Helvetica"/>
          <w:color w:val="auto"/>
          <w:sz w:val="20"/>
          <w:szCs w:val="20"/>
          <w:lang w:val="en-GB" w:eastAsia="en-GB"/>
        </w:rPr>
      </w:pPr>
    </w:p>
    <w:p w:rsidR="00BA074C" w:rsidRDefault="00BA074C" w:rsidP="00712A0D">
      <w:pPr>
        <w:rPr>
          <w:lang w:val="en-GB" w:eastAsia="en-GB"/>
        </w:rPr>
      </w:pPr>
      <w:r>
        <w:rPr>
          <w:lang w:val="en-GB" w:eastAsia="en-GB"/>
        </w:rPr>
        <w:t>The apostl</w:t>
      </w:r>
      <w:r w:rsidR="00712A0D">
        <w:rPr>
          <w:lang w:val="en-GB" w:eastAsia="en-GB"/>
        </w:rPr>
        <w:t>e Peter, quoting Ps</w:t>
      </w:r>
      <w:r>
        <w:rPr>
          <w:lang w:val="en-GB" w:eastAsia="en-GB"/>
        </w:rPr>
        <w:t xml:space="preserve"> 69:25 in Acts 1:20, says this psalm was spoken by </w:t>
      </w:r>
      <w:r w:rsidR="000E2CE6">
        <w:rPr>
          <w:lang w:val="en-GB" w:eastAsia="en-GB"/>
        </w:rPr>
        <w:t>“</w:t>
      </w:r>
      <w:r>
        <w:rPr>
          <w:lang w:val="en-GB" w:eastAsia="en-GB"/>
        </w:rPr>
        <w:t>the holy spirit b</w:t>
      </w:r>
      <w:r w:rsidR="00712A0D">
        <w:rPr>
          <w:lang w:val="en-GB" w:eastAsia="en-GB"/>
        </w:rPr>
        <w:t>y the mouth of David</w:t>
      </w:r>
      <w:r w:rsidR="000E2CE6">
        <w:rPr>
          <w:lang w:val="en-GB" w:eastAsia="en-GB"/>
        </w:rPr>
        <w:t>”</w:t>
      </w:r>
      <w:r w:rsidR="00712A0D">
        <w:rPr>
          <w:lang w:val="en-GB" w:eastAsia="en-GB"/>
        </w:rPr>
        <w:t xml:space="preserve"> (Acts 1:16), and the apostle Paul, quoting Ps</w:t>
      </w:r>
      <w:r>
        <w:rPr>
          <w:lang w:val="en-GB" w:eastAsia="en-GB"/>
        </w:rPr>
        <w:t xml:space="preserve"> 69:22-23 in Rom 11:9-10, says of these words </w:t>
      </w:r>
      <w:r w:rsidR="000E2CE6">
        <w:rPr>
          <w:lang w:val="en-GB" w:eastAsia="en-GB"/>
        </w:rPr>
        <w:t>“</w:t>
      </w:r>
      <w:r>
        <w:rPr>
          <w:lang w:val="en-GB" w:eastAsia="en-GB"/>
        </w:rPr>
        <w:t>and David says</w:t>
      </w:r>
      <w:r w:rsidR="000E2CE6">
        <w:rPr>
          <w:lang w:val="en-GB" w:eastAsia="en-GB"/>
        </w:rPr>
        <w:t>”</w:t>
      </w:r>
      <w:r>
        <w:rPr>
          <w:lang w:val="en-GB" w:eastAsia="en-GB"/>
        </w:rPr>
        <w:t xml:space="preserve"> (Ro</w:t>
      </w:r>
      <w:r w:rsidR="00712A0D">
        <w:rPr>
          <w:lang w:val="en-GB" w:eastAsia="en-GB"/>
        </w:rPr>
        <w:t>m</w:t>
      </w:r>
      <w:r>
        <w:rPr>
          <w:lang w:val="en-GB" w:eastAsia="en-GB"/>
        </w:rPr>
        <w:t xml:space="preserve"> 11:9).</w:t>
      </w:r>
    </w:p>
    <w:p w:rsidR="00712A0D" w:rsidRDefault="00712A0D" w:rsidP="00712A0D">
      <w:pPr>
        <w:rPr>
          <w:lang w:val="en-GB" w:eastAsia="en-GB"/>
        </w:rPr>
      </w:pPr>
    </w:p>
    <w:p w:rsidR="00712A0D" w:rsidRDefault="00712A0D" w:rsidP="00712A0D">
      <w:pPr>
        <w:rPr>
          <w:lang w:val="en-GB" w:eastAsia="en-GB"/>
        </w:rPr>
      </w:pPr>
      <w:r w:rsidRPr="00712A0D">
        <w:rPr>
          <w:lang w:val="en-GB" w:eastAsia="en-GB"/>
        </w:rPr>
        <w:t xml:space="preserve">Other examples where either a later scripture or the historical reference shows that the psalmist is indisputably David, restricting ourselves to those psalms whose opening expression is </w:t>
      </w:r>
      <w:r w:rsidRPr="00712A0D">
        <w:rPr>
          <w:rFonts w:cs="Times-Italic"/>
          <w:i/>
          <w:iCs/>
          <w:lang w:val="en-GB" w:eastAsia="en-GB"/>
        </w:rPr>
        <w:t xml:space="preserve">ldwd </w:t>
      </w:r>
      <w:r w:rsidRPr="00712A0D">
        <w:rPr>
          <w:lang w:val="en-GB" w:eastAsia="en-GB"/>
        </w:rPr>
        <w:t xml:space="preserve">as </w:t>
      </w:r>
      <w:proofErr w:type="spellStart"/>
      <w:r w:rsidRPr="00712A0D">
        <w:rPr>
          <w:rFonts w:cs="Times-Italic"/>
          <w:i/>
          <w:iCs/>
          <w:lang w:val="en-GB" w:eastAsia="en-GB"/>
        </w:rPr>
        <w:t>lšlmh</w:t>
      </w:r>
      <w:proofErr w:type="spellEnd"/>
      <w:r w:rsidRPr="00712A0D">
        <w:rPr>
          <w:rFonts w:cs="Times-Italic"/>
          <w:i/>
          <w:iCs/>
          <w:lang w:val="en-GB" w:eastAsia="en-GB"/>
        </w:rPr>
        <w:t xml:space="preserve"> </w:t>
      </w:r>
      <w:r w:rsidRPr="00712A0D">
        <w:rPr>
          <w:lang w:val="en-GB" w:eastAsia="en-GB"/>
        </w:rPr>
        <w:t>is for Psalm 72, are:</w:t>
      </w:r>
    </w:p>
    <w:p w:rsidR="002315A8" w:rsidRPr="00712A0D" w:rsidRDefault="002315A8" w:rsidP="00712A0D">
      <w:pPr>
        <w:rPr>
          <w:lang w:val="en-GB" w:eastAsia="en-GB"/>
        </w:rPr>
      </w:pPr>
    </w:p>
    <w:p w:rsidR="00712A0D" w:rsidRDefault="00712A0D" w:rsidP="00712A0D">
      <w:pPr>
        <w:autoSpaceDE w:val="0"/>
        <w:autoSpaceDN w:val="0"/>
        <w:adjustRightInd w:val="0"/>
        <w:jc w:val="left"/>
        <w:rPr>
          <w:rFonts w:ascii="Times-Roman" w:hAnsi="Times-Roman" w:cs="Times-Roman"/>
          <w:color w:val="auto"/>
          <w:sz w:val="20"/>
          <w:szCs w:val="20"/>
          <w:lang w:val="en-GB" w:eastAsia="en-GB"/>
        </w:rPr>
      </w:pPr>
    </w:p>
    <w:tbl>
      <w:tblPr>
        <w:tblStyle w:val="TableTheme"/>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tblGrid>
      <w:tr w:rsidR="00712A0D" w:rsidRPr="00712A0D" w:rsidTr="002315A8">
        <w:tc>
          <w:tcPr>
            <w:tcW w:w="567" w:type="dxa"/>
            <w:shd w:val="pct25" w:color="auto" w:fill="auto"/>
          </w:tcPr>
          <w:p w:rsidR="00712A0D" w:rsidRPr="00712A0D" w:rsidRDefault="00712A0D" w:rsidP="00712A0D">
            <w:pPr>
              <w:autoSpaceDE w:val="0"/>
              <w:autoSpaceDN w:val="0"/>
              <w:adjustRightInd w:val="0"/>
              <w:ind w:left="-108"/>
              <w:jc w:val="center"/>
              <w:rPr>
                <w:rFonts w:cs="Times-Roman"/>
                <w:b/>
                <w:color w:val="auto"/>
                <w:szCs w:val="20"/>
                <w:lang w:val="en-GB" w:eastAsia="en-GB"/>
              </w:rPr>
            </w:pPr>
            <w:r w:rsidRPr="00712A0D">
              <w:rPr>
                <w:rFonts w:cs="Times-Roman"/>
                <w:b/>
                <w:color w:val="auto"/>
                <w:szCs w:val="20"/>
                <w:lang w:val="en-GB" w:eastAsia="en-GB"/>
              </w:rPr>
              <w:t>Ps</w:t>
            </w:r>
          </w:p>
        </w:tc>
        <w:tc>
          <w:tcPr>
            <w:tcW w:w="6379" w:type="dxa"/>
            <w:shd w:val="pct25" w:color="auto" w:fill="auto"/>
          </w:tcPr>
          <w:p w:rsidR="00712A0D" w:rsidRPr="00712A0D" w:rsidRDefault="00712A0D" w:rsidP="00712A0D">
            <w:pPr>
              <w:autoSpaceDE w:val="0"/>
              <w:autoSpaceDN w:val="0"/>
              <w:adjustRightInd w:val="0"/>
              <w:jc w:val="center"/>
              <w:rPr>
                <w:rFonts w:cs="Times-Roman"/>
                <w:b/>
                <w:color w:val="auto"/>
                <w:szCs w:val="20"/>
                <w:lang w:val="en-GB" w:eastAsia="en-GB"/>
              </w:rPr>
            </w:pPr>
            <w:r w:rsidRPr="00712A0D">
              <w:rPr>
                <w:rFonts w:cs="Times-Roman"/>
                <w:b/>
                <w:color w:val="auto"/>
                <w:szCs w:val="20"/>
                <w:lang w:val="en-GB" w:eastAsia="en-GB"/>
              </w:rPr>
              <w:t xml:space="preserve">Reason </w:t>
            </w:r>
            <w:r w:rsidR="002315A8">
              <w:rPr>
                <w:rFonts w:cs="Times-Roman"/>
                <w:b/>
                <w:color w:val="auto"/>
                <w:szCs w:val="20"/>
                <w:lang w:val="en-GB" w:eastAsia="en-GB"/>
              </w:rPr>
              <w:t xml:space="preserve">that </w:t>
            </w:r>
            <w:r w:rsidRPr="00712A0D">
              <w:rPr>
                <w:rFonts w:cs="Times-Roman"/>
                <w:b/>
                <w:color w:val="auto"/>
                <w:szCs w:val="20"/>
                <w:lang w:val="en-GB" w:eastAsia="en-GB"/>
              </w:rPr>
              <w:t xml:space="preserve">this psalm, beginning </w:t>
            </w:r>
            <w:r w:rsidRPr="00712A0D">
              <w:rPr>
                <w:rFonts w:cs="Times-Italic"/>
                <w:b/>
                <w:i/>
                <w:iCs/>
                <w:color w:val="auto"/>
                <w:szCs w:val="20"/>
                <w:lang w:val="en-GB" w:eastAsia="en-GB"/>
              </w:rPr>
              <w:t>ldwd</w:t>
            </w:r>
            <w:r w:rsidRPr="00712A0D">
              <w:rPr>
                <w:rFonts w:cs="Times-Roman"/>
                <w:b/>
                <w:color w:val="auto"/>
                <w:szCs w:val="20"/>
                <w:lang w:val="en-GB" w:eastAsia="en-GB"/>
              </w:rPr>
              <w:t>, is David</w:t>
            </w:r>
            <w:r w:rsidR="000E2CE6">
              <w:rPr>
                <w:rFonts w:cs="Times-Roman"/>
                <w:b/>
                <w:color w:val="auto"/>
                <w:szCs w:val="20"/>
                <w:lang w:val="en-GB" w:eastAsia="en-GB"/>
              </w:rPr>
              <w:t>’</w:t>
            </w:r>
            <w:r w:rsidRPr="00712A0D">
              <w:rPr>
                <w:rFonts w:cs="Times-Roman"/>
                <w:b/>
                <w:color w:val="auto"/>
                <w:szCs w:val="20"/>
                <w:lang w:val="en-GB" w:eastAsia="en-GB"/>
              </w:rPr>
              <w:t>s</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32</w:t>
            </w:r>
          </w:p>
        </w:tc>
        <w:tc>
          <w:tcPr>
            <w:tcW w:w="6379"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Ro</w:t>
            </w:r>
            <w:r>
              <w:rPr>
                <w:rFonts w:cs="Times-Roman"/>
                <w:color w:val="auto"/>
                <w:szCs w:val="20"/>
                <w:lang w:val="en-GB" w:eastAsia="en-GB"/>
              </w:rPr>
              <w:t>m</w:t>
            </w:r>
            <w:r w:rsidRPr="00712A0D">
              <w:rPr>
                <w:rFonts w:cs="Times-Roman"/>
                <w:color w:val="auto"/>
                <w:szCs w:val="20"/>
                <w:lang w:val="en-GB" w:eastAsia="en-GB"/>
              </w:rPr>
              <w:t xml:space="preserve"> 4:6; Ps 32:1-2 cited Ro</w:t>
            </w:r>
            <w:r>
              <w:rPr>
                <w:rFonts w:cs="Times-Roman"/>
                <w:color w:val="auto"/>
                <w:szCs w:val="20"/>
                <w:lang w:val="en-GB" w:eastAsia="en-GB"/>
              </w:rPr>
              <w:t>m</w:t>
            </w:r>
            <w:r w:rsidRPr="00712A0D">
              <w:rPr>
                <w:rFonts w:cs="Times-Roman"/>
                <w:color w:val="auto"/>
                <w:szCs w:val="20"/>
                <w:lang w:val="en-GB" w:eastAsia="en-GB"/>
              </w:rPr>
              <w:t xml:space="preserve"> 4:7-8</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34</w:t>
            </w:r>
          </w:p>
        </w:tc>
        <w:tc>
          <w:tcPr>
            <w:tcW w:w="6379" w:type="dxa"/>
          </w:tcPr>
          <w:p w:rsidR="00712A0D" w:rsidRPr="00712A0D" w:rsidRDefault="00712A0D" w:rsidP="00712A0D">
            <w:pPr>
              <w:autoSpaceDE w:val="0"/>
              <w:autoSpaceDN w:val="0"/>
              <w:adjustRightInd w:val="0"/>
              <w:jc w:val="left"/>
              <w:rPr>
                <w:rFonts w:cs="Times-Roman"/>
                <w:color w:val="auto"/>
                <w:szCs w:val="20"/>
                <w:lang w:val="en-GB" w:eastAsia="en-GB"/>
              </w:rPr>
            </w:pPr>
            <w:r>
              <w:rPr>
                <w:rFonts w:cs="Times-Roman"/>
                <w:color w:val="auto"/>
                <w:szCs w:val="20"/>
                <w:lang w:val="en-GB" w:eastAsia="en-GB"/>
              </w:rPr>
              <w:t>T</w:t>
            </w:r>
            <w:r w:rsidR="002315A8">
              <w:rPr>
                <w:rFonts w:cs="Times-Roman"/>
                <w:color w:val="auto"/>
                <w:szCs w:val="20"/>
                <w:lang w:val="en-GB" w:eastAsia="en-GB"/>
              </w:rPr>
              <w:t xml:space="preserve">he title is a </w:t>
            </w:r>
            <w:r w:rsidRPr="00712A0D">
              <w:rPr>
                <w:rFonts w:cs="Times-Roman"/>
                <w:color w:val="auto"/>
                <w:szCs w:val="20"/>
                <w:lang w:val="en-GB" w:eastAsia="en-GB"/>
              </w:rPr>
              <w:t>reference to David</w:t>
            </w:r>
            <w:r w:rsidR="000E2CE6">
              <w:rPr>
                <w:rFonts w:cs="Times-Roman"/>
                <w:color w:val="auto"/>
                <w:szCs w:val="20"/>
                <w:lang w:val="en-GB" w:eastAsia="en-GB"/>
              </w:rPr>
              <w:t>’</w:t>
            </w:r>
            <w:r w:rsidRPr="00712A0D">
              <w:rPr>
                <w:rFonts w:cs="Times-Roman"/>
                <w:color w:val="auto"/>
                <w:szCs w:val="20"/>
                <w:lang w:val="en-GB" w:eastAsia="en-GB"/>
              </w:rPr>
              <w:t>s experience in 1 Sa</w:t>
            </w:r>
            <w:r>
              <w:rPr>
                <w:rFonts w:cs="Times-Roman"/>
                <w:color w:val="auto"/>
                <w:szCs w:val="20"/>
                <w:lang w:val="en-GB" w:eastAsia="en-GB"/>
              </w:rPr>
              <w:t>m</w:t>
            </w:r>
            <w:r w:rsidRPr="00712A0D">
              <w:rPr>
                <w:rFonts w:cs="Times-Roman"/>
                <w:color w:val="auto"/>
                <w:szCs w:val="20"/>
                <w:lang w:val="en-GB" w:eastAsia="en-GB"/>
              </w:rPr>
              <w:t xml:space="preserve"> 21:10-22:2</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56</w:t>
            </w:r>
          </w:p>
        </w:tc>
        <w:tc>
          <w:tcPr>
            <w:tcW w:w="6379" w:type="dxa"/>
          </w:tcPr>
          <w:p w:rsidR="00712A0D" w:rsidRPr="00712A0D" w:rsidRDefault="00712A0D" w:rsidP="00712A0D">
            <w:pPr>
              <w:autoSpaceDE w:val="0"/>
              <w:autoSpaceDN w:val="0"/>
              <w:adjustRightInd w:val="0"/>
              <w:jc w:val="left"/>
              <w:rPr>
                <w:rFonts w:cs="Times-Roman"/>
                <w:color w:val="auto"/>
                <w:szCs w:val="20"/>
                <w:lang w:val="en-GB" w:eastAsia="en-GB"/>
              </w:rPr>
            </w:pPr>
            <w:r>
              <w:rPr>
                <w:rFonts w:cs="Times-Roman"/>
                <w:color w:val="auto"/>
                <w:szCs w:val="20"/>
                <w:lang w:val="en-GB" w:eastAsia="en-GB"/>
              </w:rPr>
              <w:t>T</w:t>
            </w:r>
            <w:r w:rsidR="002315A8">
              <w:rPr>
                <w:rFonts w:cs="Times-Roman"/>
                <w:color w:val="auto"/>
                <w:szCs w:val="20"/>
                <w:lang w:val="en-GB" w:eastAsia="en-GB"/>
              </w:rPr>
              <w:t xml:space="preserve">he title is a </w:t>
            </w:r>
            <w:r w:rsidRPr="00712A0D">
              <w:rPr>
                <w:rFonts w:cs="Times-Roman"/>
                <w:color w:val="auto"/>
                <w:szCs w:val="20"/>
                <w:lang w:val="en-GB" w:eastAsia="en-GB"/>
              </w:rPr>
              <w:t>reference to David</w:t>
            </w:r>
            <w:r w:rsidR="000E2CE6">
              <w:rPr>
                <w:rFonts w:cs="Times-Roman"/>
                <w:color w:val="auto"/>
                <w:szCs w:val="20"/>
                <w:lang w:val="en-GB" w:eastAsia="en-GB"/>
              </w:rPr>
              <w:t>’</w:t>
            </w:r>
            <w:r w:rsidRPr="00712A0D">
              <w:rPr>
                <w:rFonts w:cs="Times-Roman"/>
                <w:color w:val="auto"/>
                <w:szCs w:val="20"/>
                <w:lang w:val="en-GB" w:eastAsia="en-GB"/>
              </w:rPr>
              <w:t>s experience in 1 Sa</w:t>
            </w:r>
            <w:r>
              <w:rPr>
                <w:rFonts w:cs="Times-Roman"/>
                <w:color w:val="auto"/>
                <w:szCs w:val="20"/>
                <w:lang w:val="en-GB" w:eastAsia="en-GB"/>
              </w:rPr>
              <w:t>m</w:t>
            </w:r>
            <w:r w:rsidRPr="00712A0D">
              <w:rPr>
                <w:rFonts w:cs="Times-Roman"/>
                <w:color w:val="auto"/>
                <w:szCs w:val="20"/>
                <w:lang w:val="en-GB" w:eastAsia="en-GB"/>
              </w:rPr>
              <w:t xml:space="preserve"> 21:10-15</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57</w:t>
            </w:r>
          </w:p>
        </w:tc>
        <w:tc>
          <w:tcPr>
            <w:tcW w:w="6379" w:type="dxa"/>
          </w:tcPr>
          <w:p w:rsidR="00712A0D" w:rsidRPr="00712A0D" w:rsidRDefault="00712A0D" w:rsidP="00712A0D">
            <w:pPr>
              <w:autoSpaceDE w:val="0"/>
              <w:autoSpaceDN w:val="0"/>
              <w:adjustRightInd w:val="0"/>
              <w:jc w:val="left"/>
              <w:rPr>
                <w:rFonts w:cs="Times-Roman"/>
                <w:color w:val="auto"/>
                <w:szCs w:val="20"/>
                <w:lang w:val="en-GB" w:eastAsia="en-GB"/>
              </w:rPr>
            </w:pPr>
            <w:r>
              <w:rPr>
                <w:rFonts w:cs="Times-Roman"/>
                <w:color w:val="auto"/>
                <w:szCs w:val="20"/>
                <w:lang w:val="en-GB" w:eastAsia="en-GB"/>
              </w:rPr>
              <w:t>T</w:t>
            </w:r>
            <w:r w:rsidR="002315A8">
              <w:rPr>
                <w:rFonts w:cs="Times-Roman"/>
                <w:color w:val="auto"/>
                <w:szCs w:val="20"/>
                <w:lang w:val="en-GB" w:eastAsia="en-GB"/>
              </w:rPr>
              <w:t xml:space="preserve">he title is a </w:t>
            </w:r>
            <w:r w:rsidRPr="00712A0D">
              <w:rPr>
                <w:rFonts w:cs="Times-Roman"/>
                <w:color w:val="auto"/>
                <w:szCs w:val="20"/>
                <w:lang w:val="en-GB" w:eastAsia="en-GB"/>
              </w:rPr>
              <w:t>reference to David</w:t>
            </w:r>
            <w:r w:rsidR="000E2CE6">
              <w:rPr>
                <w:rFonts w:cs="Times-Roman"/>
                <w:color w:val="auto"/>
                <w:szCs w:val="20"/>
                <w:lang w:val="en-GB" w:eastAsia="en-GB"/>
              </w:rPr>
              <w:t>’</w:t>
            </w:r>
            <w:r w:rsidRPr="00712A0D">
              <w:rPr>
                <w:rFonts w:cs="Times-Roman"/>
                <w:color w:val="auto"/>
                <w:szCs w:val="20"/>
                <w:lang w:val="en-GB" w:eastAsia="en-GB"/>
              </w:rPr>
              <w:t>s experience in 1 Sa</w:t>
            </w:r>
            <w:r>
              <w:rPr>
                <w:rFonts w:cs="Times-Roman"/>
                <w:color w:val="auto"/>
                <w:szCs w:val="20"/>
                <w:lang w:val="en-GB" w:eastAsia="en-GB"/>
              </w:rPr>
              <w:t>m</w:t>
            </w:r>
            <w:r w:rsidRPr="00712A0D">
              <w:rPr>
                <w:rFonts w:cs="Times-Roman"/>
                <w:color w:val="auto"/>
                <w:szCs w:val="20"/>
                <w:lang w:val="en-GB" w:eastAsia="en-GB"/>
              </w:rPr>
              <w:t xml:space="preserve"> 23:29-24:8</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59</w:t>
            </w:r>
          </w:p>
        </w:tc>
        <w:tc>
          <w:tcPr>
            <w:tcW w:w="6379" w:type="dxa"/>
          </w:tcPr>
          <w:p w:rsidR="00712A0D" w:rsidRPr="00712A0D" w:rsidRDefault="00712A0D" w:rsidP="00712A0D">
            <w:pPr>
              <w:autoSpaceDE w:val="0"/>
              <w:autoSpaceDN w:val="0"/>
              <w:adjustRightInd w:val="0"/>
              <w:jc w:val="left"/>
              <w:rPr>
                <w:rFonts w:cs="Times-Roman"/>
                <w:color w:val="auto"/>
                <w:szCs w:val="20"/>
                <w:lang w:val="en-GB" w:eastAsia="en-GB"/>
              </w:rPr>
            </w:pPr>
            <w:r>
              <w:rPr>
                <w:rFonts w:cs="Times-Roman"/>
                <w:color w:val="auto"/>
                <w:szCs w:val="20"/>
                <w:lang w:val="en-GB" w:eastAsia="en-GB"/>
              </w:rPr>
              <w:t>T</w:t>
            </w:r>
            <w:r w:rsidR="002315A8">
              <w:rPr>
                <w:rFonts w:cs="Times-Roman"/>
                <w:color w:val="auto"/>
                <w:szCs w:val="20"/>
                <w:lang w:val="en-GB" w:eastAsia="en-GB"/>
              </w:rPr>
              <w:t xml:space="preserve">he title is a </w:t>
            </w:r>
            <w:r w:rsidRPr="00712A0D">
              <w:rPr>
                <w:rFonts w:cs="Times-Roman"/>
                <w:color w:val="auto"/>
                <w:szCs w:val="20"/>
                <w:lang w:val="en-GB" w:eastAsia="en-GB"/>
              </w:rPr>
              <w:t>reference to David</w:t>
            </w:r>
            <w:r w:rsidR="000E2CE6">
              <w:rPr>
                <w:rFonts w:cs="Times-Roman"/>
                <w:color w:val="auto"/>
                <w:szCs w:val="20"/>
                <w:lang w:val="en-GB" w:eastAsia="en-GB"/>
              </w:rPr>
              <w:t>’</w:t>
            </w:r>
            <w:r w:rsidRPr="00712A0D">
              <w:rPr>
                <w:rFonts w:cs="Times-Roman"/>
                <w:color w:val="auto"/>
                <w:szCs w:val="20"/>
                <w:lang w:val="en-GB" w:eastAsia="en-GB"/>
              </w:rPr>
              <w:t>s experience in 1 Sa</w:t>
            </w:r>
            <w:r>
              <w:rPr>
                <w:rFonts w:cs="Times-Roman"/>
                <w:color w:val="auto"/>
                <w:szCs w:val="20"/>
                <w:lang w:val="en-GB" w:eastAsia="en-GB"/>
              </w:rPr>
              <w:t>m</w:t>
            </w:r>
            <w:r w:rsidRPr="00712A0D">
              <w:rPr>
                <w:rFonts w:cs="Times-Roman"/>
                <w:color w:val="auto"/>
                <w:szCs w:val="20"/>
                <w:lang w:val="en-GB" w:eastAsia="en-GB"/>
              </w:rPr>
              <w:t xml:space="preserve"> 19:10-16</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109</w:t>
            </w:r>
          </w:p>
        </w:tc>
        <w:tc>
          <w:tcPr>
            <w:tcW w:w="6379"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Ac</w:t>
            </w:r>
            <w:r>
              <w:rPr>
                <w:rFonts w:cs="Times-Roman"/>
                <w:color w:val="auto"/>
                <w:szCs w:val="20"/>
                <w:lang w:val="en-GB" w:eastAsia="en-GB"/>
              </w:rPr>
              <w:t>ts</w:t>
            </w:r>
            <w:r w:rsidRPr="00712A0D">
              <w:rPr>
                <w:rFonts w:cs="Times-Roman"/>
                <w:color w:val="auto"/>
                <w:szCs w:val="20"/>
                <w:lang w:val="en-GB" w:eastAsia="en-GB"/>
              </w:rPr>
              <w:t xml:space="preserve"> 1:16; Ps 109:8 cited Ac 1:20</w:t>
            </w:r>
          </w:p>
        </w:tc>
      </w:tr>
      <w:tr w:rsidR="00712A0D" w:rsidRPr="00712A0D" w:rsidTr="002315A8">
        <w:tc>
          <w:tcPr>
            <w:tcW w:w="567" w:type="dxa"/>
          </w:tcPr>
          <w:p w:rsidR="00712A0D" w:rsidRPr="00712A0D" w:rsidRDefault="00712A0D" w:rsidP="00712A0D">
            <w:pPr>
              <w:autoSpaceDE w:val="0"/>
              <w:autoSpaceDN w:val="0"/>
              <w:adjustRightInd w:val="0"/>
              <w:jc w:val="left"/>
              <w:rPr>
                <w:rFonts w:cs="Times-Roman"/>
                <w:color w:val="auto"/>
                <w:szCs w:val="20"/>
                <w:lang w:val="en-GB" w:eastAsia="en-GB"/>
              </w:rPr>
            </w:pPr>
            <w:r w:rsidRPr="00712A0D">
              <w:rPr>
                <w:rFonts w:cs="Times-Roman"/>
                <w:color w:val="auto"/>
                <w:szCs w:val="20"/>
                <w:lang w:val="en-GB" w:eastAsia="en-GB"/>
              </w:rPr>
              <w:t>110</w:t>
            </w:r>
          </w:p>
        </w:tc>
        <w:tc>
          <w:tcPr>
            <w:tcW w:w="6379" w:type="dxa"/>
          </w:tcPr>
          <w:p w:rsidR="00712A0D" w:rsidRPr="00712A0D" w:rsidRDefault="00712A0D" w:rsidP="00712A0D">
            <w:pPr>
              <w:autoSpaceDE w:val="0"/>
              <w:autoSpaceDN w:val="0"/>
              <w:adjustRightInd w:val="0"/>
              <w:jc w:val="left"/>
            </w:pPr>
            <w:r w:rsidRPr="00712A0D">
              <w:rPr>
                <w:rFonts w:cs="Times-Roman"/>
                <w:color w:val="auto"/>
                <w:szCs w:val="20"/>
                <w:lang w:val="en-GB" w:eastAsia="en-GB"/>
              </w:rPr>
              <w:t>M</w:t>
            </w:r>
            <w:r>
              <w:rPr>
                <w:rFonts w:cs="Times-Roman"/>
                <w:color w:val="auto"/>
                <w:szCs w:val="20"/>
                <w:lang w:val="en-GB" w:eastAsia="en-GB"/>
              </w:rPr>
              <w:t>at</w:t>
            </w:r>
            <w:r w:rsidRPr="00712A0D">
              <w:rPr>
                <w:rFonts w:cs="Times-Roman"/>
                <w:color w:val="auto"/>
                <w:szCs w:val="20"/>
                <w:lang w:val="en-GB" w:eastAsia="en-GB"/>
              </w:rPr>
              <w:t>t 22:43,45; M</w:t>
            </w:r>
            <w:r>
              <w:rPr>
                <w:rFonts w:cs="Times-Roman"/>
                <w:color w:val="auto"/>
                <w:szCs w:val="20"/>
                <w:lang w:val="en-GB" w:eastAsia="en-GB"/>
              </w:rPr>
              <w:t>ar</w:t>
            </w:r>
            <w:r w:rsidRPr="00712A0D">
              <w:rPr>
                <w:rFonts w:cs="Times-Roman"/>
                <w:color w:val="auto"/>
                <w:szCs w:val="20"/>
                <w:lang w:val="en-GB" w:eastAsia="en-GB"/>
              </w:rPr>
              <w:t>k 12:36,37; L</w:t>
            </w:r>
            <w:r>
              <w:rPr>
                <w:rFonts w:cs="Times-Roman"/>
                <w:color w:val="auto"/>
                <w:szCs w:val="20"/>
                <w:lang w:val="en-GB" w:eastAsia="en-GB"/>
              </w:rPr>
              <w:t>u</w:t>
            </w:r>
            <w:r w:rsidRPr="00712A0D">
              <w:rPr>
                <w:rFonts w:cs="Times-Roman"/>
                <w:color w:val="auto"/>
                <w:szCs w:val="20"/>
                <w:lang w:val="en-GB" w:eastAsia="en-GB"/>
              </w:rPr>
              <w:t>k</w:t>
            </w:r>
            <w:r>
              <w:rPr>
                <w:rFonts w:cs="Times-Roman"/>
                <w:color w:val="auto"/>
                <w:szCs w:val="20"/>
                <w:lang w:val="en-GB" w:eastAsia="en-GB"/>
              </w:rPr>
              <w:t>e</w:t>
            </w:r>
            <w:r w:rsidRPr="00712A0D">
              <w:rPr>
                <w:rFonts w:cs="Times-Roman"/>
                <w:color w:val="auto"/>
                <w:szCs w:val="20"/>
                <w:lang w:val="en-GB" w:eastAsia="en-GB"/>
              </w:rPr>
              <w:t xml:space="preserve"> 20:42,44; Ac</w:t>
            </w:r>
            <w:r>
              <w:rPr>
                <w:rFonts w:cs="Times-Roman"/>
                <w:color w:val="auto"/>
                <w:szCs w:val="20"/>
                <w:lang w:val="en-GB" w:eastAsia="en-GB"/>
              </w:rPr>
              <w:t>ts</w:t>
            </w:r>
            <w:r w:rsidRPr="00712A0D">
              <w:rPr>
                <w:rFonts w:cs="Times-Roman"/>
                <w:color w:val="auto"/>
                <w:szCs w:val="20"/>
                <w:lang w:val="en-GB" w:eastAsia="en-GB"/>
              </w:rPr>
              <w:t xml:space="preserve"> 2:34; Ps 110:1 cited M</w:t>
            </w:r>
            <w:r>
              <w:rPr>
                <w:rFonts w:cs="Times-Roman"/>
                <w:color w:val="auto"/>
                <w:szCs w:val="20"/>
                <w:lang w:val="en-GB" w:eastAsia="en-GB"/>
              </w:rPr>
              <w:t>at</w:t>
            </w:r>
            <w:r w:rsidRPr="00712A0D">
              <w:rPr>
                <w:rFonts w:cs="Times-Roman"/>
                <w:color w:val="auto"/>
                <w:szCs w:val="20"/>
                <w:lang w:val="en-GB" w:eastAsia="en-GB"/>
              </w:rPr>
              <w:t>t 22:44; M</w:t>
            </w:r>
            <w:r>
              <w:rPr>
                <w:rFonts w:cs="Times-Roman"/>
                <w:color w:val="auto"/>
                <w:szCs w:val="20"/>
                <w:lang w:val="en-GB" w:eastAsia="en-GB"/>
              </w:rPr>
              <w:t>ar</w:t>
            </w:r>
            <w:r w:rsidRPr="00712A0D">
              <w:rPr>
                <w:rFonts w:cs="Times-Roman"/>
                <w:color w:val="auto"/>
                <w:szCs w:val="20"/>
                <w:lang w:val="en-GB" w:eastAsia="en-GB"/>
              </w:rPr>
              <w:t>k 12:36; L</w:t>
            </w:r>
            <w:r>
              <w:rPr>
                <w:rFonts w:cs="Times-Roman"/>
                <w:color w:val="auto"/>
                <w:szCs w:val="20"/>
                <w:lang w:val="en-GB" w:eastAsia="en-GB"/>
              </w:rPr>
              <w:t>u</w:t>
            </w:r>
            <w:r w:rsidRPr="00712A0D">
              <w:rPr>
                <w:rFonts w:cs="Times-Roman"/>
                <w:color w:val="auto"/>
                <w:szCs w:val="20"/>
                <w:lang w:val="en-GB" w:eastAsia="en-GB"/>
              </w:rPr>
              <w:t>k</w:t>
            </w:r>
            <w:r>
              <w:rPr>
                <w:rFonts w:cs="Times-Roman"/>
                <w:color w:val="auto"/>
                <w:szCs w:val="20"/>
                <w:lang w:val="en-GB" w:eastAsia="en-GB"/>
              </w:rPr>
              <w:t>e</w:t>
            </w:r>
            <w:r w:rsidRPr="00712A0D">
              <w:rPr>
                <w:rFonts w:cs="Times-Roman"/>
                <w:color w:val="auto"/>
                <w:szCs w:val="20"/>
                <w:lang w:val="en-GB" w:eastAsia="en-GB"/>
              </w:rPr>
              <w:t xml:space="preserve"> 20:42-43; Ac</w:t>
            </w:r>
            <w:r>
              <w:rPr>
                <w:rFonts w:cs="Times-Roman"/>
                <w:color w:val="auto"/>
                <w:szCs w:val="20"/>
                <w:lang w:val="en-GB" w:eastAsia="en-GB"/>
              </w:rPr>
              <w:t>ts</w:t>
            </w:r>
            <w:r w:rsidRPr="00712A0D">
              <w:rPr>
                <w:rFonts w:cs="Times-Roman"/>
                <w:color w:val="auto"/>
                <w:szCs w:val="20"/>
                <w:lang w:val="en-GB" w:eastAsia="en-GB"/>
              </w:rPr>
              <w:t xml:space="preserve"> 2:34-35</w:t>
            </w:r>
          </w:p>
        </w:tc>
      </w:tr>
    </w:tbl>
    <w:p w:rsidR="00712A0D" w:rsidRDefault="00712A0D" w:rsidP="00712A0D">
      <w:pPr>
        <w:autoSpaceDE w:val="0"/>
        <w:autoSpaceDN w:val="0"/>
        <w:adjustRightInd w:val="0"/>
        <w:jc w:val="left"/>
        <w:rPr>
          <w:rFonts w:ascii="Times-Roman" w:hAnsi="Times-Roman" w:cs="Times-Roman"/>
          <w:color w:val="auto"/>
          <w:sz w:val="20"/>
          <w:szCs w:val="20"/>
          <w:lang w:val="en-GB" w:eastAsia="en-GB"/>
        </w:rPr>
      </w:pPr>
    </w:p>
    <w:p w:rsidR="00BA074C" w:rsidRDefault="00BA074C" w:rsidP="00712A0D">
      <w:pPr>
        <w:rPr>
          <w:lang w:val="en-GB" w:eastAsia="en-GB"/>
        </w:rPr>
      </w:pPr>
      <w:r>
        <w:rPr>
          <w:lang w:val="en-GB" w:eastAsia="en-GB"/>
        </w:rPr>
        <w:lastRenderedPageBreak/>
        <w:t xml:space="preserve">This being the case, that Solomon is the one through whom the spirit revealed Psalm 72, what are we to make of its final verse: </w:t>
      </w:r>
      <w:r w:rsidR="000E2CE6">
        <w:rPr>
          <w:lang w:val="en-GB" w:eastAsia="en-GB"/>
        </w:rPr>
        <w:t>“</w:t>
      </w:r>
      <w:r>
        <w:rPr>
          <w:lang w:val="en-GB" w:eastAsia="en-GB"/>
        </w:rPr>
        <w:t>the prayers of David the son of Jesse are ended</w:t>
      </w:r>
      <w:r w:rsidR="000E2CE6">
        <w:rPr>
          <w:lang w:val="en-GB" w:eastAsia="en-GB"/>
        </w:rPr>
        <w:t>”</w:t>
      </w:r>
      <w:r>
        <w:rPr>
          <w:lang w:val="en-GB" w:eastAsia="en-GB"/>
        </w:rPr>
        <w:t>?</w:t>
      </w:r>
    </w:p>
    <w:p w:rsidR="00712A0D" w:rsidRDefault="00712A0D" w:rsidP="00712A0D">
      <w:pPr>
        <w:rPr>
          <w:lang w:val="en-GB" w:eastAsia="en-GB"/>
        </w:rPr>
      </w:pPr>
    </w:p>
    <w:p w:rsidR="00712A0D" w:rsidRPr="000339AD" w:rsidRDefault="000339AD" w:rsidP="00712A0D">
      <w:pPr>
        <w:autoSpaceDE w:val="0"/>
        <w:autoSpaceDN w:val="0"/>
        <w:adjustRightInd w:val="0"/>
        <w:jc w:val="left"/>
        <w:rPr>
          <w:rFonts w:ascii="Bradley Hand ITC" w:hAnsi="Bradley Hand ITC" w:cs="Helvetica-Bold"/>
          <w:b/>
          <w:bCs/>
          <w:color w:val="auto"/>
          <w:sz w:val="28"/>
          <w:szCs w:val="28"/>
          <w:lang w:val="en-GB" w:eastAsia="en-GB"/>
        </w:rPr>
      </w:pPr>
      <w:r w:rsidRPr="000339AD">
        <w:rPr>
          <w:rFonts w:ascii="Bradley Hand ITC" w:hAnsi="Bradley Hand ITC" w:cs="Helvetica-Bold"/>
          <w:b/>
          <w:bCs/>
          <w:color w:val="auto"/>
          <w:sz w:val="28"/>
          <w:szCs w:val="28"/>
          <w:lang w:val="en-GB" w:eastAsia="en-GB"/>
        </w:rPr>
        <w:t>Positioning the P</w:t>
      </w:r>
      <w:r w:rsidR="00712A0D" w:rsidRPr="000339AD">
        <w:rPr>
          <w:rFonts w:ascii="Bradley Hand ITC" w:hAnsi="Bradley Hand ITC" w:cs="Helvetica-Bold"/>
          <w:b/>
          <w:bCs/>
          <w:color w:val="auto"/>
          <w:sz w:val="28"/>
          <w:szCs w:val="28"/>
          <w:lang w:val="en-GB" w:eastAsia="en-GB"/>
        </w:rPr>
        <w:t>rayers</w:t>
      </w:r>
    </w:p>
    <w:p w:rsidR="00712A0D" w:rsidRDefault="00712A0D" w:rsidP="000339AD">
      <w:pPr>
        <w:rPr>
          <w:lang w:val="en-GB" w:eastAsia="en-GB"/>
        </w:rPr>
      </w:pPr>
      <w:r>
        <w:rPr>
          <w:lang w:val="en-GB" w:eastAsia="en-GB"/>
        </w:rPr>
        <w:t>A first aspect to note about the expression in Psalm 72:20 is that it speaks of prayer</w:t>
      </w:r>
      <w:r>
        <w:rPr>
          <w:rFonts w:ascii="Helvetica-Bold" w:hAnsi="Helvetica-Bold" w:cs="Helvetica-Bold"/>
          <w:b/>
          <w:bCs/>
          <w:lang w:val="en-GB" w:eastAsia="en-GB"/>
        </w:rPr>
        <w:t>s</w:t>
      </w:r>
      <w:r>
        <w:rPr>
          <w:lang w:val="en-GB" w:eastAsia="en-GB"/>
        </w:rPr>
        <w:t>, plural</w:t>
      </w:r>
      <w:r w:rsidR="000339AD">
        <w:rPr>
          <w:lang w:val="en-GB" w:eastAsia="en-GB"/>
        </w:rPr>
        <w:t xml:space="preserve"> </w:t>
      </w:r>
      <w:r>
        <w:rPr>
          <w:lang w:val="en-GB" w:eastAsia="en-GB"/>
        </w:rPr>
        <w:t>not singular. The significance of this arises from noting that a number of psalms are</w:t>
      </w:r>
      <w:r w:rsidR="000339AD">
        <w:rPr>
          <w:lang w:val="en-GB" w:eastAsia="en-GB"/>
        </w:rPr>
        <w:t xml:space="preserve"> </w:t>
      </w:r>
      <w:r>
        <w:rPr>
          <w:lang w:val="en-GB" w:eastAsia="en-GB"/>
        </w:rPr>
        <w:t>specifically described as prayers in their titles, as follows:</w:t>
      </w:r>
    </w:p>
    <w:p w:rsidR="00712A0D" w:rsidRPr="000339AD" w:rsidRDefault="000E2CE6" w:rsidP="00936DFC">
      <w:pPr>
        <w:pStyle w:val="ListParagraph"/>
        <w:numPr>
          <w:ilvl w:val="0"/>
          <w:numId w:val="6"/>
        </w:numPr>
        <w:spacing w:line="240" w:lineRule="auto"/>
        <w:rPr>
          <w:lang w:eastAsia="en-GB"/>
        </w:rPr>
      </w:pPr>
      <w:r>
        <w:rPr>
          <w:lang w:eastAsia="en-GB"/>
        </w:rPr>
        <w:t>“</w:t>
      </w:r>
      <w:r w:rsidR="00712A0D" w:rsidRPr="000339AD">
        <w:rPr>
          <w:lang w:eastAsia="en-GB"/>
        </w:rPr>
        <w:t>a prayer of David</w:t>
      </w:r>
      <w:r>
        <w:rPr>
          <w:lang w:eastAsia="en-GB"/>
        </w:rPr>
        <w:t>”</w:t>
      </w:r>
      <w:r w:rsidR="00712A0D" w:rsidRPr="000339AD">
        <w:rPr>
          <w:lang w:eastAsia="en-GB"/>
        </w:rPr>
        <w:t xml:space="preserve"> (Ps 17:t)</w:t>
      </w:r>
    </w:p>
    <w:p w:rsidR="00712A0D" w:rsidRPr="000339AD" w:rsidRDefault="000E2CE6" w:rsidP="00936DFC">
      <w:pPr>
        <w:pStyle w:val="ListParagraph"/>
        <w:numPr>
          <w:ilvl w:val="0"/>
          <w:numId w:val="6"/>
        </w:numPr>
        <w:spacing w:line="240" w:lineRule="auto"/>
        <w:rPr>
          <w:lang w:eastAsia="en-GB"/>
        </w:rPr>
      </w:pPr>
      <w:r>
        <w:rPr>
          <w:lang w:eastAsia="en-GB"/>
        </w:rPr>
        <w:t>“</w:t>
      </w:r>
      <w:r w:rsidR="00712A0D" w:rsidRPr="000339AD">
        <w:rPr>
          <w:lang w:eastAsia="en-GB"/>
        </w:rPr>
        <w:t>a prayer of David</w:t>
      </w:r>
      <w:r>
        <w:rPr>
          <w:lang w:eastAsia="en-GB"/>
        </w:rPr>
        <w:t>”</w:t>
      </w:r>
      <w:r w:rsidR="00712A0D" w:rsidRPr="000339AD">
        <w:rPr>
          <w:lang w:eastAsia="en-GB"/>
        </w:rPr>
        <w:t xml:space="preserve"> (Ps 86:t)</w:t>
      </w:r>
    </w:p>
    <w:p w:rsidR="00712A0D" w:rsidRPr="000339AD" w:rsidRDefault="000E2CE6" w:rsidP="00936DFC">
      <w:pPr>
        <w:pStyle w:val="ListParagraph"/>
        <w:numPr>
          <w:ilvl w:val="0"/>
          <w:numId w:val="6"/>
        </w:numPr>
        <w:spacing w:line="240" w:lineRule="auto"/>
        <w:rPr>
          <w:lang w:eastAsia="en-GB"/>
        </w:rPr>
      </w:pPr>
      <w:r>
        <w:rPr>
          <w:lang w:eastAsia="en-GB"/>
        </w:rPr>
        <w:t>“</w:t>
      </w:r>
      <w:r w:rsidR="00712A0D" w:rsidRPr="000339AD">
        <w:rPr>
          <w:lang w:eastAsia="en-GB"/>
        </w:rPr>
        <w:t>a prayer of Moses the man of God</w:t>
      </w:r>
      <w:r>
        <w:rPr>
          <w:lang w:eastAsia="en-GB"/>
        </w:rPr>
        <w:t>”</w:t>
      </w:r>
      <w:r w:rsidR="00712A0D" w:rsidRPr="000339AD">
        <w:rPr>
          <w:lang w:eastAsia="en-GB"/>
        </w:rPr>
        <w:t xml:space="preserve"> (Ps 90:t)</w:t>
      </w:r>
    </w:p>
    <w:p w:rsidR="00712A0D" w:rsidRPr="000339AD" w:rsidRDefault="000E2CE6" w:rsidP="00936DFC">
      <w:pPr>
        <w:pStyle w:val="ListParagraph"/>
        <w:numPr>
          <w:ilvl w:val="0"/>
          <w:numId w:val="6"/>
        </w:numPr>
        <w:spacing w:line="240" w:lineRule="auto"/>
        <w:rPr>
          <w:lang w:eastAsia="en-GB"/>
        </w:rPr>
      </w:pPr>
      <w:r>
        <w:rPr>
          <w:lang w:eastAsia="en-GB"/>
        </w:rPr>
        <w:t>“</w:t>
      </w:r>
      <w:r w:rsidR="00712A0D" w:rsidRPr="000339AD">
        <w:rPr>
          <w:lang w:eastAsia="en-GB"/>
        </w:rPr>
        <w:t>a prayer of the afflicted when he is overwhelmed and pours out his complaint before</w:t>
      </w:r>
      <w:r w:rsidR="000339AD" w:rsidRPr="000339AD">
        <w:rPr>
          <w:lang w:eastAsia="en-GB"/>
        </w:rPr>
        <w:t xml:space="preserve"> </w:t>
      </w:r>
      <w:r w:rsidR="00712A0D" w:rsidRPr="000339AD">
        <w:rPr>
          <w:lang w:eastAsia="en-GB"/>
        </w:rPr>
        <w:t>the Lord</w:t>
      </w:r>
      <w:r>
        <w:rPr>
          <w:lang w:eastAsia="en-GB"/>
        </w:rPr>
        <w:t>”</w:t>
      </w:r>
      <w:r w:rsidR="00712A0D" w:rsidRPr="000339AD">
        <w:rPr>
          <w:lang w:eastAsia="en-GB"/>
        </w:rPr>
        <w:t xml:space="preserve"> (Ps 102:t)</w:t>
      </w:r>
    </w:p>
    <w:p w:rsidR="00712A0D" w:rsidRPr="000339AD" w:rsidRDefault="000E2CE6" w:rsidP="00936DFC">
      <w:pPr>
        <w:pStyle w:val="ListParagraph"/>
        <w:numPr>
          <w:ilvl w:val="0"/>
          <w:numId w:val="6"/>
        </w:numPr>
        <w:spacing w:line="240" w:lineRule="auto"/>
        <w:rPr>
          <w:lang w:eastAsia="en-GB"/>
        </w:rPr>
      </w:pPr>
      <w:r>
        <w:rPr>
          <w:lang w:eastAsia="en-GB"/>
        </w:rPr>
        <w:t>“</w:t>
      </w:r>
      <w:r w:rsidR="00712A0D" w:rsidRPr="000339AD">
        <w:rPr>
          <w:lang w:eastAsia="en-GB"/>
        </w:rPr>
        <w:t>maschil of David; a prayer when he was in the cave</w:t>
      </w:r>
      <w:r>
        <w:rPr>
          <w:lang w:eastAsia="en-GB"/>
        </w:rPr>
        <w:t>”</w:t>
      </w:r>
      <w:r w:rsidR="00712A0D" w:rsidRPr="000339AD">
        <w:rPr>
          <w:lang w:eastAsia="en-GB"/>
        </w:rPr>
        <w:t xml:space="preserve"> (Ps 142:t)</w:t>
      </w:r>
    </w:p>
    <w:p w:rsidR="00712A0D" w:rsidRPr="000339AD" w:rsidRDefault="000E2CE6" w:rsidP="00936DFC">
      <w:pPr>
        <w:pStyle w:val="ListParagraph"/>
        <w:numPr>
          <w:ilvl w:val="0"/>
          <w:numId w:val="6"/>
        </w:numPr>
        <w:spacing w:line="240" w:lineRule="auto"/>
        <w:rPr>
          <w:lang w:eastAsia="en-GB"/>
        </w:rPr>
      </w:pPr>
      <w:r>
        <w:rPr>
          <w:lang w:eastAsia="en-GB"/>
        </w:rPr>
        <w:t>“</w:t>
      </w:r>
      <w:r w:rsidR="00712A0D" w:rsidRPr="000339AD">
        <w:rPr>
          <w:lang w:eastAsia="en-GB"/>
        </w:rPr>
        <w:t>a prayer of Habakkuk the prophet upon shigionoth</w:t>
      </w:r>
      <w:r>
        <w:rPr>
          <w:lang w:eastAsia="en-GB"/>
        </w:rPr>
        <w:t>”</w:t>
      </w:r>
      <w:r w:rsidR="00712A0D" w:rsidRPr="000339AD">
        <w:rPr>
          <w:lang w:eastAsia="en-GB"/>
        </w:rPr>
        <w:t xml:space="preserve"> (Hab 3:1)</w:t>
      </w:r>
    </w:p>
    <w:p w:rsidR="00712A0D" w:rsidRPr="000339AD" w:rsidRDefault="00712A0D" w:rsidP="000339AD">
      <w:pPr>
        <w:rPr>
          <w:rFonts w:eastAsiaTheme="minorHAnsi"/>
          <w:sz w:val="32"/>
          <w:lang w:val="en-AU"/>
        </w:rPr>
      </w:pPr>
      <w:r w:rsidRPr="000339AD">
        <w:rPr>
          <w:rFonts w:cs="Helvetica"/>
          <w:color w:val="auto"/>
          <w:szCs w:val="20"/>
          <w:lang w:val="en-GB" w:eastAsia="en-GB"/>
        </w:rPr>
        <w:t xml:space="preserve">It is notable that each of these titles speaks of the psalm that it heads as </w:t>
      </w:r>
      <w:r w:rsidR="000E2CE6">
        <w:rPr>
          <w:rFonts w:cs="Helvetica"/>
          <w:color w:val="auto"/>
          <w:szCs w:val="20"/>
          <w:lang w:val="en-GB" w:eastAsia="en-GB"/>
        </w:rPr>
        <w:t>“</w:t>
      </w:r>
      <w:r w:rsidRPr="000339AD">
        <w:rPr>
          <w:rFonts w:cs="Helvetica"/>
          <w:color w:val="auto"/>
          <w:szCs w:val="20"/>
          <w:lang w:val="en-GB" w:eastAsia="en-GB"/>
        </w:rPr>
        <w:t>prayer</w:t>
      </w:r>
      <w:r w:rsidR="000E2CE6">
        <w:rPr>
          <w:rFonts w:cs="Helvetica"/>
          <w:color w:val="auto"/>
          <w:szCs w:val="20"/>
          <w:lang w:val="en-GB" w:eastAsia="en-GB"/>
        </w:rPr>
        <w:t>”</w:t>
      </w:r>
      <w:r w:rsidRPr="000339AD">
        <w:rPr>
          <w:rFonts w:cs="Helvetica"/>
          <w:color w:val="auto"/>
          <w:szCs w:val="20"/>
          <w:lang w:val="en-GB" w:eastAsia="en-GB"/>
        </w:rPr>
        <w:t>, singular</w:t>
      </w:r>
      <w:r w:rsidR="000339AD" w:rsidRPr="000339AD">
        <w:rPr>
          <w:rFonts w:cs="Helvetica"/>
          <w:color w:val="auto"/>
          <w:szCs w:val="20"/>
          <w:lang w:val="en-GB" w:eastAsia="en-GB"/>
        </w:rPr>
        <w:t xml:space="preserve"> </w:t>
      </w:r>
      <w:r w:rsidRPr="000339AD">
        <w:rPr>
          <w:rFonts w:cs="Helvetica"/>
          <w:color w:val="auto"/>
          <w:szCs w:val="20"/>
          <w:lang w:val="en-GB" w:eastAsia="en-GB"/>
        </w:rPr>
        <w:t xml:space="preserve">not plural. This </w:t>
      </w:r>
      <w:proofErr w:type="gramStart"/>
      <w:r w:rsidRPr="000339AD">
        <w:rPr>
          <w:rFonts w:cs="Helvetica"/>
          <w:color w:val="auto"/>
          <w:szCs w:val="20"/>
          <w:lang w:val="en-GB" w:eastAsia="en-GB"/>
        </w:rPr>
        <w:t>shows</w:t>
      </w:r>
      <w:proofErr w:type="gramEnd"/>
      <w:r w:rsidRPr="000339AD">
        <w:rPr>
          <w:rFonts w:cs="Helvetica"/>
          <w:color w:val="auto"/>
          <w:szCs w:val="20"/>
          <w:lang w:val="en-GB" w:eastAsia="en-GB"/>
        </w:rPr>
        <w:t xml:space="preserve"> that </w:t>
      </w:r>
      <w:r w:rsidR="000E2CE6">
        <w:rPr>
          <w:rFonts w:cs="Helvetica"/>
          <w:color w:val="auto"/>
          <w:szCs w:val="20"/>
          <w:lang w:val="en-GB" w:eastAsia="en-GB"/>
        </w:rPr>
        <w:t>“</w:t>
      </w:r>
      <w:r w:rsidRPr="000339AD">
        <w:rPr>
          <w:rFonts w:cs="Helvetica"/>
          <w:color w:val="auto"/>
          <w:szCs w:val="20"/>
          <w:lang w:val="en-GB" w:eastAsia="en-GB"/>
        </w:rPr>
        <w:t>prayer</w:t>
      </w:r>
      <w:r w:rsidRPr="000339AD">
        <w:rPr>
          <w:rFonts w:cs="Helvetica-Bold"/>
          <w:b/>
          <w:bCs/>
          <w:color w:val="auto"/>
          <w:szCs w:val="20"/>
          <w:lang w:val="en-GB" w:eastAsia="en-GB"/>
        </w:rPr>
        <w:t>s</w:t>
      </w:r>
      <w:r w:rsidR="000E2CE6">
        <w:rPr>
          <w:rFonts w:cs="Helvetica"/>
          <w:color w:val="auto"/>
          <w:szCs w:val="20"/>
          <w:lang w:val="en-GB" w:eastAsia="en-GB"/>
        </w:rPr>
        <w:t>”</w:t>
      </w:r>
      <w:r w:rsidRPr="000339AD">
        <w:rPr>
          <w:rFonts w:cs="Helvetica"/>
          <w:color w:val="auto"/>
          <w:szCs w:val="20"/>
          <w:lang w:val="en-GB" w:eastAsia="en-GB"/>
        </w:rPr>
        <w:t xml:space="preserve"> (Ps 72:20) speaks of more than just Psalm </w:t>
      </w:r>
      <w:r w:rsidR="00E47CC8" w:rsidRPr="000339AD">
        <w:rPr>
          <w:rFonts w:cs="Helvetica"/>
          <w:color w:val="auto"/>
          <w:szCs w:val="20"/>
          <w:lang w:val="en-GB" w:eastAsia="en-GB"/>
        </w:rPr>
        <w:t>72;</w:t>
      </w:r>
      <w:r w:rsidRPr="000339AD">
        <w:rPr>
          <w:rFonts w:cs="Helvetica"/>
          <w:color w:val="auto"/>
          <w:szCs w:val="20"/>
          <w:lang w:val="en-GB" w:eastAsia="en-GB"/>
        </w:rPr>
        <w:t xml:space="preserve"> it speaks</w:t>
      </w:r>
      <w:r w:rsidR="000339AD" w:rsidRPr="000339AD">
        <w:rPr>
          <w:rFonts w:cs="Helvetica"/>
          <w:color w:val="auto"/>
          <w:szCs w:val="20"/>
          <w:lang w:val="en-GB" w:eastAsia="en-GB"/>
        </w:rPr>
        <w:t xml:space="preserve"> </w:t>
      </w:r>
      <w:r w:rsidRPr="000339AD">
        <w:rPr>
          <w:rFonts w:cs="Helvetica"/>
          <w:color w:val="auto"/>
          <w:szCs w:val="20"/>
          <w:lang w:val="en-GB" w:eastAsia="en-GB"/>
        </w:rPr>
        <w:t>of a number of psalms that are prayers.</w:t>
      </w:r>
    </w:p>
    <w:p w:rsidR="0048421A" w:rsidRPr="003365C6" w:rsidRDefault="0048421A" w:rsidP="0048421A">
      <w:pPr>
        <w:autoSpaceDE w:val="0"/>
        <w:autoSpaceDN w:val="0"/>
        <w:adjustRightInd w:val="0"/>
        <w:rPr>
          <w:rFonts w:ascii="Arial" w:eastAsiaTheme="minorHAnsi" w:hAnsi="Arial"/>
          <w:lang w:val="en-AU"/>
        </w:rPr>
      </w:pPr>
    </w:p>
    <w:p w:rsidR="00504B8B" w:rsidRDefault="00504B8B" w:rsidP="00504B8B">
      <w:pPr>
        <w:rPr>
          <w:lang w:val="en-GB" w:eastAsia="en-GB"/>
        </w:rPr>
      </w:pPr>
      <w:r>
        <w:rPr>
          <w:lang w:val="en-GB" w:eastAsia="en-GB"/>
        </w:rPr>
        <w:t xml:space="preserve">A second aspect to note about </w:t>
      </w:r>
      <w:r w:rsidR="000E2CE6">
        <w:rPr>
          <w:lang w:val="en-GB" w:eastAsia="en-GB"/>
        </w:rPr>
        <w:t>“</w:t>
      </w:r>
      <w:r>
        <w:rPr>
          <w:lang w:val="en-GB" w:eastAsia="en-GB"/>
        </w:rPr>
        <w:t>the prayers of David the son of Jesse are ended</w:t>
      </w:r>
      <w:r w:rsidR="000E2CE6">
        <w:rPr>
          <w:lang w:val="en-GB" w:eastAsia="en-GB"/>
        </w:rPr>
        <w:t>”</w:t>
      </w:r>
      <w:r>
        <w:rPr>
          <w:lang w:val="en-GB" w:eastAsia="en-GB"/>
        </w:rPr>
        <w:t xml:space="preserve"> is its position. Psalm 72 concludes the second book of psalms and it is helpful to consider the concluding words of all the five books within the book of psalms as shown in the following table:</w:t>
      </w:r>
    </w:p>
    <w:p w:rsidR="00504B8B" w:rsidRDefault="00504B8B" w:rsidP="00504B8B">
      <w:pPr>
        <w:autoSpaceDE w:val="0"/>
        <w:autoSpaceDN w:val="0"/>
        <w:adjustRightInd w:val="0"/>
        <w:jc w:val="left"/>
        <w:rPr>
          <w:rFonts w:ascii="Helvetica" w:hAnsi="Helvetica" w:cs="Helvetica"/>
          <w:color w:val="auto"/>
          <w:sz w:val="20"/>
          <w:szCs w:val="20"/>
          <w:lang w:val="en-GB" w:eastAsia="en-GB"/>
        </w:rPr>
      </w:pPr>
    </w:p>
    <w:tbl>
      <w:tblPr>
        <w:tblStyle w:val="TableTheme"/>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504B8B" w:rsidRPr="00141AB1" w:rsidTr="004F6E89">
        <w:tc>
          <w:tcPr>
            <w:tcW w:w="1843" w:type="dxa"/>
            <w:shd w:val="pct25" w:color="auto" w:fill="auto"/>
          </w:tcPr>
          <w:p w:rsidR="00504B8B" w:rsidRPr="00141AB1" w:rsidRDefault="00141AB1" w:rsidP="004F6E89">
            <w:pPr>
              <w:jc w:val="center"/>
              <w:rPr>
                <w:b/>
                <w:lang w:val="en-GB" w:eastAsia="en-GB"/>
              </w:rPr>
            </w:pPr>
            <w:r w:rsidRPr="00141AB1">
              <w:rPr>
                <w:b/>
                <w:lang w:val="en-GB" w:eastAsia="en-GB"/>
              </w:rPr>
              <w:t>Book</w:t>
            </w:r>
          </w:p>
        </w:tc>
        <w:tc>
          <w:tcPr>
            <w:tcW w:w="5103" w:type="dxa"/>
            <w:shd w:val="pct25" w:color="auto" w:fill="auto"/>
          </w:tcPr>
          <w:p w:rsidR="00504B8B" w:rsidRPr="00141AB1" w:rsidRDefault="00141AB1" w:rsidP="004F6E89">
            <w:pPr>
              <w:jc w:val="center"/>
              <w:rPr>
                <w:b/>
                <w:lang w:val="en-GB" w:eastAsia="en-GB"/>
              </w:rPr>
            </w:pPr>
            <w:r w:rsidRPr="00141AB1">
              <w:rPr>
                <w:b/>
                <w:lang w:val="en-GB" w:eastAsia="en-GB"/>
              </w:rPr>
              <w:t>Concluding Words</w:t>
            </w:r>
          </w:p>
        </w:tc>
      </w:tr>
      <w:tr w:rsidR="00504B8B" w:rsidTr="004F6E89">
        <w:tc>
          <w:tcPr>
            <w:tcW w:w="1843" w:type="dxa"/>
          </w:tcPr>
          <w:p w:rsidR="00141AB1" w:rsidRDefault="00141AB1" w:rsidP="00141AB1">
            <w:pPr>
              <w:rPr>
                <w:lang w:val="en-GB" w:eastAsia="en-GB"/>
              </w:rPr>
            </w:pPr>
            <w:r>
              <w:rPr>
                <w:lang w:val="en-GB" w:eastAsia="en-GB"/>
              </w:rPr>
              <w:t>book 1:</w:t>
            </w:r>
          </w:p>
          <w:p w:rsidR="00504B8B" w:rsidRDefault="00141AB1" w:rsidP="00141AB1">
            <w:pPr>
              <w:rPr>
                <w:lang w:val="en-GB" w:eastAsia="en-GB"/>
              </w:rPr>
            </w:pPr>
            <w:r>
              <w:rPr>
                <w:lang w:val="en-GB" w:eastAsia="en-GB"/>
              </w:rPr>
              <w:t>psalms 1-41</w:t>
            </w:r>
          </w:p>
        </w:tc>
        <w:tc>
          <w:tcPr>
            <w:tcW w:w="5103" w:type="dxa"/>
          </w:tcPr>
          <w:p w:rsidR="00504B8B" w:rsidRDefault="000E2CE6" w:rsidP="00141AB1">
            <w:pPr>
              <w:rPr>
                <w:lang w:val="en-GB" w:eastAsia="en-GB"/>
              </w:rPr>
            </w:pPr>
            <w:r>
              <w:rPr>
                <w:lang w:val="en-GB" w:eastAsia="en-GB"/>
              </w:rPr>
              <w:t>“</w:t>
            </w:r>
            <w:r w:rsidR="00141AB1">
              <w:rPr>
                <w:lang w:val="en-GB" w:eastAsia="en-GB"/>
              </w:rPr>
              <w:t>Blessed be the Lord God of Israel from everlasting and to everlasting.</w:t>
            </w:r>
            <w:r w:rsidR="004F6E89">
              <w:rPr>
                <w:lang w:val="en-GB" w:eastAsia="en-GB"/>
              </w:rPr>
              <w:t xml:space="preserve"> </w:t>
            </w:r>
            <w:r w:rsidR="00141AB1">
              <w:rPr>
                <w:lang w:val="en-GB" w:eastAsia="en-GB"/>
              </w:rPr>
              <w:t>Amen, and Amen</w:t>
            </w:r>
            <w:r>
              <w:rPr>
                <w:lang w:val="en-GB" w:eastAsia="en-GB"/>
              </w:rPr>
              <w:t>”</w:t>
            </w:r>
            <w:r w:rsidR="00141AB1">
              <w:rPr>
                <w:lang w:val="en-GB" w:eastAsia="en-GB"/>
              </w:rPr>
              <w:t xml:space="preserve"> (Ps 41:13)</w:t>
            </w:r>
          </w:p>
        </w:tc>
      </w:tr>
      <w:tr w:rsidR="00504B8B" w:rsidTr="004F6E89">
        <w:tc>
          <w:tcPr>
            <w:tcW w:w="1843" w:type="dxa"/>
          </w:tcPr>
          <w:p w:rsidR="00141AB1" w:rsidRDefault="00141AB1" w:rsidP="00141AB1">
            <w:pPr>
              <w:rPr>
                <w:lang w:val="en-GB" w:eastAsia="en-GB"/>
              </w:rPr>
            </w:pPr>
            <w:r>
              <w:rPr>
                <w:lang w:val="en-GB" w:eastAsia="en-GB"/>
              </w:rPr>
              <w:t>book 2:</w:t>
            </w:r>
          </w:p>
          <w:p w:rsidR="00141AB1" w:rsidRDefault="00141AB1" w:rsidP="00141AB1">
            <w:pPr>
              <w:rPr>
                <w:lang w:val="en-GB" w:eastAsia="en-GB"/>
              </w:rPr>
            </w:pPr>
            <w:r>
              <w:rPr>
                <w:lang w:val="en-GB" w:eastAsia="en-GB"/>
              </w:rPr>
              <w:t>psalms 42-72</w:t>
            </w:r>
          </w:p>
          <w:p w:rsidR="00504B8B" w:rsidRDefault="00504B8B" w:rsidP="00141AB1">
            <w:pPr>
              <w:rPr>
                <w:lang w:val="en-GB" w:eastAsia="en-GB"/>
              </w:rPr>
            </w:pPr>
          </w:p>
        </w:tc>
        <w:tc>
          <w:tcPr>
            <w:tcW w:w="5103" w:type="dxa"/>
          </w:tcPr>
          <w:p w:rsidR="00504B8B" w:rsidRDefault="000E2CE6" w:rsidP="004F6E89">
            <w:pPr>
              <w:rPr>
                <w:lang w:val="en-GB" w:eastAsia="en-GB"/>
              </w:rPr>
            </w:pPr>
            <w:r>
              <w:rPr>
                <w:lang w:val="en-GB" w:eastAsia="en-GB"/>
              </w:rPr>
              <w:t>“</w:t>
            </w:r>
            <w:r w:rsidR="00141AB1">
              <w:rPr>
                <w:lang w:val="en-GB" w:eastAsia="en-GB"/>
              </w:rPr>
              <w:t>Blessed be the Lord God, the God of Israel, who only does wondrous</w:t>
            </w:r>
            <w:r w:rsidR="004F6E89">
              <w:rPr>
                <w:lang w:val="en-GB" w:eastAsia="en-GB"/>
              </w:rPr>
              <w:t xml:space="preserve"> </w:t>
            </w:r>
            <w:r w:rsidR="00141AB1">
              <w:rPr>
                <w:lang w:val="en-GB" w:eastAsia="en-GB"/>
              </w:rPr>
              <w:t>things. And blessed be his glorious name for ever: and let the whole earth</w:t>
            </w:r>
            <w:r w:rsidR="004F6E89">
              <w:rPr>
                <w:lang w:val="en-GB" w:eastAsia="en-GB"/>
              </w:rPr>
              <w:t xml:space="preserve"> </w:t>
            </w:r>
            <w:r w:rsidR="00141AB1">
              <w:rPr>
                <w:lang w:val="en-GB" w:eastAsia="en-GB"/>
              </w:rPr>
              <w:t>be filled with his glory: Amen and Amen</w:t>
            </w:r>
            <w:r>
              <w:rPr>
                <w:lang w:val="en-GB" w:eastAsia="en-GB"/>
              </w:rPr>
              <w:t>”</w:t>
            </w:r>
            <w:r w:rsidR="00141AB1">
              <w:rPr>
                <w:lang w:val="en-GB" w:eastAsia="en-GB"/>
              </w:rPr>
              <w:t xml:space="preserve"> (Ps 72:18-19)</w:t>
            </w:r>
          </w:p>
        </w:tc>
      </w:tr>
      <w:tr w:rsidR="00504B8B" w:rsidTr="004F6E89">
        <w:tc>
          <w:tcPr>
            <w:tcW w:w="1843" w:type="dxa"/>
          </w:tcPr>
          <w:p w:rsidR="00141AB1" w:rsidRDefault="00141AB1" w:rsidP="00141AB1">
            <w:pPr>
              <w:rPr>
                <w:lang w:val="en-GB" w:eastAsia="en-GB"/>
              </w:rPr>
            </w:pPr>
            <w:r>
              <w:rPr>
                <w:lang w:val="en-GB" w:eastAsia="en-GB"/>
              </w:rPr>
              <w:t>book 3:</w:t>
            </w:r>
          </w:p>
          <w:p w:rsidR="00504B8B" w:rsidRDefault="00141AB1" w:rsidP="00141AB1">
            <w:pPr>
              <w:rPr>
                <w:lang w:val="en-GB" w:eastAsia="en-GB"/>
              </w:rPr>
            </w:pPr>
            <w:r>
              <w:rPr>
                <w:lang w:val="en-GB" w:eastAsia="en-GB"/>
              </w:rPr>
              <w:t>psalms 73-89</w:t>
            </w:r>
          </w:p>
        </w:tc>
        <w:tc>
          <w:tcPr>
            <w:tcW w:w="5103" w:type="dxa"/>
          </w:tcPr>
          <w:p w:rsidR="00504B8B" w:rsidRDefault="000E2CE6" w:rsidP="00141AB1">
            <w:pPr>
              <w:rPr>
                <w:lang w:val="en-GB" w:eastAsia="en-GB"/>
              </w:rPr>
            </w:pPr>
            <w:r>
              <w:rPr>
                <w:lang w:val="en-GB" w:eastAsia="en-GB"/>
              </w:rPr>
              <w:t>“</w:t>
            </w:r>
            <w:r w:rsidR="00141AB1">
              <w:rPr>
                <w:lang w:val="en-GB" w:eastAsia="en-GB"/>
              </w:rPr>
              <w:t>Blessed be the Lord for evermore. Amen and Amen</w:t>
            </w:r>
            <w:r>
              <w:rPr>
                <w:lang w:val="en-GB" w:eastAsia="en-GB"/>
              </w:rPr>
              <w:t>”</w:t>
            </w:r>
            <w:r w:rsidR="00141AB1">
              <w:rPr>
                <w:lang w:val="en-GB" w:eastAsia="en-GB"/>
              </w:rPr>
              <w:t xml:space="preserve"> (Ps 89:52)</w:t>
            </w:r>
          </w:p>
        </w:tc>
      </w:tr>
      <w:tr w:rsidR="00141AB1" w:rsidTr="004F6E89">
        <w:tc>
          <w:tcPr>
            <w:tcW w:w="1843" w:type="dxa"/>
          </w:tcPr>
          <w:p w:rsidR="00141AB1" w:rsidRDefault="00141AB1" w:rsidP="00141AB1">
            <w:pPr>
              <w:rPr>
                <w:lang w:val="en-GB" w:eastAsia="en-GB"/>
              </w:rPr>
            </w:pPr>
            <w:r>
              <w:rPr>
                <w:lang w:val="en-GB" w:eastAsia="en-GB"/>
              </w:rPr>
              <w:t>book 4:</w:t>
            </w:r>
          </w:p>
          <w:p w:rsidR="00141AB1" w:rsidRDefault="00141AB1" w:rsidP="00141AB1">
            <w:pPr>
              <w:rPr>
                <w:lang w:val="en-GB" w:eastAsia="en-GB"/>
              </w:rPr>
            </w:pPr>
            <w:r>
              <w:rPr>
                <w:lang w:val="en-GB" w:eastAsia="en-GB"/>
              </w:rPr>
              <w:t>psalms 90-106</w:t>
            </w:r>
          </w:p>
          <w:p w:rsidR="00141AB1" w:rsidRDefault="00141AB1" w:rsidP="00141AB1">
            <w:pPr>
              <w:rPr>
                <w:lang w:val="en-GB" w:eastAsia="en-GB"/>
              </w:rPr>
            </w:pPr>
          </w:p>
        </w:tc>
        <w:tc>
          <w:tcPr>
            <w:tcW w:w="5103" w:type="dxa"/>
          </w:tcPr>
          <w:p w:rsidR="00141AB1" w:rsidRDefault="000E2CE6" w:rsidP="00141AB1">
            <w:pPr>
              <w:rPr>
                <w:lang w:val="en-GB" w:eastAsia="en-GB"/>
              </w:rPr>
            </w:pPr>
            <w:r>
              <w:rPr>
                <w:lang w:val="en-GB" w:eastAsia="en-GB"/>
              </w:rPr>
              <w:t>“</w:t>
            </w:r>
            <w:r w:rsidR="00141AB1">
              <w:rPr>
                <w:lang w:val="en-GB" w:eastAsia="en-GB"/>
              </w:rPr>
              <w:t>Blessed be the Lord God of Israel from everlasting to everlasting: and let</w:t>
            </w:r>
            <w:r w:rsidR="004F6E89">
              <w:rPr>
                <w:lang w:val="en-GB" w:eastAsia="en-GB"/>
              </w:rPr>
              <w:t xml:space="preserve"> </w:t>
            </w:r>
            <w:r w:rsidR="00141AB1">
              <w:rPr>
                <w:lang w:val="en-GB" w:eastAsia="en-GB"/>
              </w:rPr>
              <w:t>all the people say, Amen. Halleluyah</w:t>
            </w:r>
            <w:r>
              <w:rPr>
                <w:lang w:val="en-GB" w:eastAsia="en-GB"/>
              </w:rPr>
              <w:t>”</w:t>
            </w:r>
            <w:r w:rsidR="00141AB1">
              <w:rPr>
                <w:lang w:val="en-GB" w:eastAsia="en-GB"/>
              </w:rPr>
              <w:t xml:space="preserve"> (Ps 106:48)</w:t>
            </w:r>
          </w:p>
        </w:tc>
      </w:tr>
      <w:tr w:rsidR="002315A8" w:rsidRPr="00141AB1" w:rsidTr="00400A62">
        <w:tc>
          <w:tcPr>
            <w:tcW w:w="1843" w:type="dxa"/>
            <w:shd w:val="pct25" w:color="auto" w:fill="auto"/>
          </w:tcPr>
          <w:p w:rsidR="002315A8" w:rsidRPr="00141AB1" w:rsidRDefault="002315A8" w:rsidP="00400A62">
            <w:pPr>
              <w:jc w:val="center"/>
              <w:rPr>
                <w:b/>
                <w:lang w:val="en-GB" w:eastAsia="en-GB"/>
              </w:rPr>
            </w:pPr>
            <w:r w:rsidRPr="00141AB1">
              <w:rPr>
                <w:b/>
                <w:lang w:val="en-GB" w:eastAsia="en-GB"/>
              </w:rPr>
              <w:lastRenderedPageBreak/>
              <w:t>Book</w:t>
            </w:r>
          </w:p>
        </w:tc>
        <w:tc>
          <w:tcPr>
            <w:tcW w:w="5103" w:type="dxa"/>
            <w:shd w:val="pct25" w:color="auto" w:fill="auto"/>
          </w:tcPr>
          <w:p w:rsidR="002315A8" w:rsidRPr="00141AB1" w:rsidRDefault="002315A8" w:rsidP="00400A62">
            <w:pPr>
              <w:jc w:val="center"/>
              <w:rPr>
                <w:b/>
                <w:lang w:val="en-GB" w:eastAsia="en-GB"/>
              </w:rPr>
            </w:pPr>
            <w:r w:rsidRPr="00141AB1">
              <w:rPr>
                <w:b/>
                <w:lang w:val="en-GB" w:eastAsia="en-GB"/>
              </w:rPr>
              <w:t>Concluding Words</w:t>
            </w:r>
          </w:p>
        </w:tc>
      </w:tr>
      <w:tr w:rsidR="00141AB1" w:rsidTr="004F6E89">
        <w:tc>
          <w:tcPr>
            <w:tcW w:w="1843" w:type="dxa"/>
          </w:tcPr>
          <w:p w:rsidR="00141AB1" w:rsidRDefault="00141AB1" w:rsidP="00141AB1">
            <w:pPr>
              <w:rPr>
                <w:lang w:val="en-GB" w:eastAsia="en-GB"/>
              </w:rPr>
            </w:pPr>
            <w:r>
              <w:rPr>
                <w:lang w:val="en-GB" w:eastAsia="en-GB"/>
              </w:rPr>
              <w:t>book 5:</w:t>
            </w:r>
          </w:p>
          <w:p w:rsidR="00141AB1" w:rsidRDefault="00141AB1" w:rsidP="00141AB1">
            <w:pPr>
              <w:rPr>
                <w:lang w:val="en-GB" w:eastAsia="en-GB"/>
              </w:rPr>
            </w:pPr>
            <w:r>
              <w:rPr>
                <w:lang w:val="en-GB" w:eastAsia="en-GB"/>
              </w:rPr>
              <w:t>psalms 107-150</w:t>
            </w:r>
          </w:p>
          <w:p w:rsidR="00141AB1" w:rsidRDefault="00141AB1" w:rsidP="00141AB1">
            <w:pPr>
              <w:rPr>
                <w:lang w:val="en-GB" w:eastAsia="en-GB"/>
              </w:rPr>
            </w:pPr>
          </w:p>
        </w:tc>
        <w:tc>
          <w:tcPr>
            <w:tcW w:w="5103" w:type="dxa"/>
          </w:tcPr>
          <w:p w:rsidR="00141AB1" w:rsidRDefault="00141AB1" w:rsidP="004F6E89">
            <w:pPr>
              <w:rPr>
                <w:lang w:val="en-GB" w:eastAsia="en-GB"/>
              </w:rPr>
            </w:pPr>
            <w:r>
              <w:rPr>
                <w:lang w:val="en-GB" w:eastAsia="en-GB"/>
              </w:rPr>
              <w:t>The whole of Psalm 150 seems to function as a similar closure for book 5:</w:t>
            </w:r>
            <w:r w:rsidR="004F6E89">
              <w:rPr>
                <w:lang w:val="en-GB" w:eastAsia="en-GB"/>
              </w:rPr>
              <w:t xml:space="preserve"> </w:t>
            </w:r>
            <w:r w:rsidR="000E2CE6">
              <w:rPr>
                <w:lang w:val="en-GB" w:eastAsia="en-GB"/>
              </w:rPr>
              <w:t>“</w:t>
            </w:r>
            <w:r>
              <w:rPr>
                <w:lang w:val="en-GB" w:eastAsia="en-GB"/>
              </w:rPr>
              <w:t>Halleluyah. Praise God in his sanctuary: praise him in the firmament of</w:t>
            </w:r>
            <w:r w:rsidR="004F6E89">
              <w:rPr>
                <w:lang w:val="en-GB" w:eastAsia="en-GB"/>
              </w:rPr>
              <w:t xml:space="preserve"> </w:t>
            </w:r>
            <w:r>
              <w:rPr>
                <w:lang w:val="en-GB" w:eastAsia="en-GB"/>
              </w:rPr>
              <w:t xml:space="preserve">his power… Let </w:t>
            </w:r>
            <w:proofErr w:type="spellStart"/>
            <w:r>
              <w:rPr>
                <w:lang w:val="en-GB" w:eastAsia="en-GB"/>
              </w:rPr>
              <w:t>every thing</w:t>
            </w:r>
            <w:proofErr w:type="spellEnd"/>
            <w:r>
              <w:rPr>
                <w:lang w:val="en-GB" w:eastAsia="en-GB"/>
              </w:rPr>
              <w:t xml:space="preserve"> that has breath praise the Lord. Halleluyah</w:t>
            </w:r>
            <w:r w:rsidR="000E2CE6">
              <w:rPr>
                <w:lang w:val="en-GB" w:eastAsia="en-GB"/>
              </w:rPr>
              <w:t>”</w:t>
            </w:r>
            <w:r w:rsidR="004F6E89">
              <w:rPr>
                <w:lang w:val="en-GB" w:eastAsia="en-GB"/>
              </w:rPr>
              <w:t xml:space="preserve"> </w:t>
            </w:r>
            <w:r>
              <w:rPr>
                <w:lang w:val="en-GB" w:eastAsia="en-GB"/>
              </w:rPr>
              <w:t>(Ps 150)</w:t>
            </w:r>
          </w:p>
        </w:tc>
      </w:tr>
    </w:tbl>
    <w:p w:rsidR="00504B8B" w:rsidRDefault="00504B8B" w:rsidP="00504B8B">
      <w:pPr>
        <w:autoSpaceDE w:val="0"/>
        <w:autoSpaceDN w:val="0"/>
        <w:adjustRightInd w:val="0"/>
        <w:jc w:val="left"/>
        <w:rPr>
          <w:rFonts w:ascii="Helvetica" w:hAnsi="Helvetica" w:cs="Helvetica"/>
          <w:color w:val="auto"/>
          <w:sz w:val="20"/>
          <w:szCs w:val="20"/>
          <w:lang w:val="en-GB" w:eastAsia="en-GB"/>
        </w:rPr>
      </w:pPr>
    </w:p>
    <w:p w:rsidR="00ED57EC" w:rsidRDefault="00504B8B" w:rsidP="00342718">
      <w:pPr>
        <w:rPr>
          <w:lang w:val="en-GB" w:eastAsia="en-GB"/>
        </w:rPr>
      </w:pPr>
      <w:r>
        <w:rPr>
          <w:lang w:val="en-GB" w:eastAsia="en-GB"/>
        </w:rPr>
        <w:t>The similarity of the closures for the first four books, of blessing the Lord with Amen, is</w:t>
      </w:r>
      <w:r w:rsidR="00342718">
        <w:rPr>
          <w:lang w:val="en-GB" w:eastAsia="en-GB"/>
        </w:rPr>
        <w:t xml:space="preserve"> </w:t>
      </w:r>
      <w:r>
        <w:rPr>
          <w:lang w:val="en-GB" w:eastAsia="en-GB"/>
        </w:rPr>
        <w:t>unmistakable. The departure from blessing the Lord to praising him for the closure of the fifth</w:t>
      </w:r>
      <w:r w:rsidR="00342718">
        <w:rPr>
          <w:lang w:val="en-GB" w:eastAsia="en-GB"/>
        </w:rPr>
        <w:t xml:space="preserve"> </w:t>
      </w:r>
      <w:r>
        <w:rPr>
          <w:lang w:val="en-GB" w:eastAsia="en-GB"/>
        </w:rPr>
        <w:t xml:space="preserve">book plainly picks up the closing expression of book 4, </w:t>
      </w:r>
      <w:r w:rsidR="000E2CE6">
        <w:rPr>
          <w:lang w:val="en-GB" w:eastAsia="en-GB"/>
        </w:rPr>
        <w:t>“</w:t>
      </w:r>
      <w:r w:rsidR="00342718">
        <w:rPr>
          <w:lang w:val="en-GB" w:eastAsia="en-GB"/>
        </w:rPr>
        <w:t>Halleluyah</w:t>
      </w:r>
      <w:r w:rsidR="000E2CE6">
        <w:rPr>
          <w:lang w:val="en-GB" w:eastAsia="en-GB"/>
        </w:rPr>
        <w:t>”</w:t>
      </w:r>
      <w:r>
        <w:rPr>
          <w:lang w:val="en-GB" w:eastAsia="en-GB"/>
        </w:rPr>
        <w:t>, but requires further</w:t>
      </w:r>
      <w:r w:rsidR="00342718">
        <w:rPr>
          <w:lang w:val="en-GB" w:eastAsia="en-GB"/>
        </w:rPr>
        <w:t xml:space="preserve"> </w:t>
      </w:r>
      <w:r>
        <w:rPr>
          <w:lang w:val="en-GB" w:eastAsia="en-GB"/>
        </w:rPr>
        <w:t>examination to discover the full significance of this shift; nevertheless, the similarity of</w:t>
      </w:r>
      <w:r w:rsidR="00342718">
        <w:rPr>
          <w:lang w:val="en-GB" w:eastAsia="en-GB"/>
        </w:rPr>
        <w:t xml:space="preserve"> </w:t>
      </w:r>
      <w:r>
        <w:rPr>
          <w:lang w:val="en-GB" w:eastAsia="en-GB"/>
        </w:rPr>
        <w:t>sentiment for closure of the fifth book is clear.</w:t>
      </w:r>
    </w:p>
    <w:p w:rsidR="00342718" w:rsidRDefault="00342718" w:rsidP="00342718">
      <w:pPr>
        <w:rPr>
          <w:lang w:val="en-GB" w:eastAsia="en-GB"/>
        </w:rPr>
      </w:pPr>
    </w:p>
    <w:p w:rsidR="00342718" w:rsidRPr="00342718" w:rsidRDefault="00342718" w:rsidP="00342718">
      <w:pPr>
        <w:rPr>
          <w:lang w:val="en-GB" w:eastAsia="en-GB"/>
        </w:rPr>
      </w:pPr>
      <w:r w:rsidRPr="00342718">
        <w:rPr>
          <w:lang w:val="en-GB" w:eastAsia="en-GB"/>
        </w:rPr>
        <w:t xml:space="preserve">Now, the significance of noting these book closures is this: the second book of psalms is </w:t>
      </w:r>
      <w:r>
        <w:rPr>
          <w:lang w:val="en-GB" w:eastAsia="en-GB"/>
        </w:rPr>
        <w:t>closed by Ps</w:t>
      </w:r>
      <w:r w:rsidRPr="00342718">
        <w:rPr>
          <w:lang w:val="en-GB" w:eastAsia="en-GB"/>
        </w:rPr>
        <w:t xml:space="preserve"> 72:18-19; the expression we are examining in this exposition is positioned </w:t>
      </w:r>
      <w:r w:rsidRPr="00342718">
        <w:rPr>
          <w:rFonts w:cs="Helvetica-Bold"/>
          <w:b/>
          <w:bCs/>
          <w:lang w:val="en-GB" w:eastAsia="en-GB"/>
        </w:rPr>
        <w:t xml:space="preserve">after </w:t>
      </w:r>
      <w:r w:rsidRPr="00342718">
        <w:rPr>
          <w:lang w:val="en-GB" w:eastAsia="en-GB"/>
        </w:rPr>
        <w:t xml:space="preserve">the closure of the second book. This suggests that </w:t>
      </w:r>
      <w:r w:rsidR="000E2CE6">
        <w:rPr>
          <w:lang w:val="en-GB" w:eastAsia="en-GB"/>
        </w:rPr>
        <w:t>“</w:t>
      </w:r>
      <w:r w:rsidRPr="00342718">
        <w:rPr>
          <w:lang w:val="en-GB" w:eastAsia="en-GB"/>
        </w:rPr>
        <w:t>the prayers of David the son of Jesse are ended</w:t>
      </w:r>
      <w:r w:rsidR="000E2CE6">
        <w:rPr>
          <w:lang w:val="en-GB" w:eastAsia="en-GB"/>
        </w:rPr>
        <w:t>”</w:t>
      </w:r>
      <w:r w:rsidRPr="00342718">
        <w:rPr>
          <w:lang w:val="en-GB" w:eastAsia="en-GB"/>
        </w:rPr>
        <w:t xml:space="preserve"> is a statement about, at least, book 2 of </w:t>
      </w:r>
      <w:r>
        <w:rPr>
          <w:lang w:val="en-GB" w:eastAsia="en-GB"/>
        </w:rPr>
        <w:t>the psalms. Read this way, Ps</w:t>
      </w:r>
      <w:r w:rsidRPr="00342718">
        <w:rPr>
          <w:lang w:val="en-GB" w:eastAsia="en-GB"/>
        </w:rPr>
        <w:t xml:space="preserve"> 72:20 is an editorial statement of compilation: having completed the compilation of the second book, the prophet David annotates it by making the statement: </w:t>
      </w:r>
      <w:r w:rsidR="000E2CE6">
        <w:rPr>
          <w:lang w:val="en-GB" w:eastAsia="en-GB"/>
        </w:rPr>
        <w:t>“</w:t>
      </w:r>
      <w:r w:rsidRPr="00342718">
        <w:rPr>
          <w:lang w:val="en-GB" w:eastAsia="en-GB"/>
        </w:rPr>
        <w:t>the prayers of David the son of Jesse are ended</w:t>
      </w:r>
      <w:r w:rsidR="000E2CE6">
        <w:rPr>
          <w:lang w:val="en-GB" w:eastAsia="en-GB"/>
        </w:rPr>
        <w:t>”</w:t>
      </w:r>
      <w:r w:rsidRPr="00342718">
        <w:rPr>
          <w:lang w:val="en-GB" w:eastAsia="en-GB"/>
        </w:rPr>
        <w:t xml:space="preserve">. Given a couple of other factors, it is probable that </w:t>
      </w:r>
      <w:r w:rsidR="000E2CE6">
        <w:rPr>
          <w:lang w:val="en-GB" w:eastAsia="en-GB"/>
        </w:rPr>
        <w:t>“</w:t>
      </w:r>
      <w:r w:rsidRPr="00342718">
        <w:rPr>
          <w:lang w:val="en-GB" w:eastAsia="en-GB"/>
        </w:rPr>
        <w:t>the prayers of David the son of Jesse are ended</w:t>
      </w:r>
      <w:r w:rsidR="000E2CE6">
        <w:rPr>
          <w:lang w:val="en-GB" w:eastAsia="en-GB"/>
        </w:rPr>
        <w:t>”</w:t>
      </w:r>
      <w:r w:rsidRPr="00342718">
        <w:rPr>
          <w:lang w:val="en-GB" w:eastAsia="en-GB"/>
        </w:rPr>
        <w:t xml:space="preserve"> is a statement not just about book 2 but also about book 1; these factors are as follows: </w:t>
      </w:r>
    </w:p>
    <w:p w:rsidR="00342718" w:rsidRDefault="00342718" w:rsidP="00342718">
      <w:pPr>
        <w:rPr>
          <w:lang w:val="en-GB" w:eastAsia="en-GB"/>
        </w:rPr>
      </w:pPr>
    </w:p>
    <w:p w:rsidR="00342718" w:rsidRPr="00342718" w:rsidRDefault="00342718" w:rsidP="00936DFC">
      <w:pPr>
        <w:pStyle w:val="ListParagraph"/>
        <w:numPr>
          <w:ilvl w:val="0"/>
          <w:numId w:val="7"/>
        </w:numPr>
        <w:spacing w:after="0" w:line="240" w:lineRule="auto"/>
        <w:ind w:left="360"/>
        <w:rPr>
          <w:lang w:eastAsia="en-GB"/>
        </w:rPr>
      </w:pPr>
      <w:r w:rsidRPr="00342718">
        <w:rPr>
          <w:lang w:eastAsia="en-GB"/>
        </w:rPr>
        <w:t xml:space="preserve">There is only one psalm included in the book of psalms prior to Psalm 72 which is actually titled as a prayer: </w:t>
      </w:r>
      <w:r w:rsidR="000E2CE6">
        <w:rPr>
          <w:lang w:eastAsia="en-GB"/>
        </w:rPr>
        <w:t>“</w:t>
      </w:r>
      <w:r w:rsidRPr="00342718">
        <w:rPr>
          <w:lang w:eastAsia="en-GB"/>
        </w:rPr>
        <w:t>a prayer of David</w:t>
      </w:r>
      <w:r w:rsidR="000E2CE6">
        <w:rPr>
          <w:lang w:eastAsia="en-GB"/>
        </w:rPr>
        <w:t>”</w:t>
      </w:r>
      <w:r w:rsidRPr="00342718">
        <w:rPr>
          <w:lang w:eastAsia="en-GB"/>
        </w:rPr>
        <w:t xml:space="preserve"> (Ps 17:t); this suggests that David</w:t>
      </w:r>
      <w:r w:rsidR="000E2CE6">
        <w:rPr>
          <w:lang w:eastAsia="en-GB"/>
        </w:rPr>
        <w:t>’</w:t>
      </w:r>
      <w:r w:rsidRPr="00342718">
        <w:rPr>
          <w:lang w:eastAsia="en-GB"/>
        </w:rPr>
        <w:t>s statement about his prayers being ended include also this psalm and therefore book 1 within which it is set.</w:t>
      </w:r>
    </w:p>
    <w:p w:rsidR="00342718" w:rsidRDefault="00342718" w:rsidP="00342718">
      <w:pPr>
        <w:rPr>
          <w:lang w:val="en-GB" w:eastAsia="en-GB"/>
        </w:rPr>
      </w:pPr>
    </w:p>
    <w:p w:rsidR="00342718" w:rsidRDefault="00342718" w:rsidP="00936DFC">
      <w:pPr>
        <w:pStyle w:val="ListParagraph"/>
        <w:numPr>
          <w:ilvl w:val="0"/>
          <w:numId w:val="7"/>
        </w:numPr>
        <w:spacing w:after="0" w:line="240" w:lineRule="auto"/>
        <w:ind w:left="360"/>
      </w:pPr>
      <w:r w:rsidRPr="00342718">
        <w:rPr>
          <w:lang w:eastAsia="en-GB"/>
        </w:rPr>
        <w:t xml:space="preserve">Psalm 37 is a psalm spoken when David was old: </w:t>
      </w:r>
      <w:r w:rsidR="000E2CE6">
        <w:rPr>
          <w:lang w:eastAsia="en-GB"/>
        </w:rPr>
        <w:t>“</w:t>
      </w:r>
      <w:r w:rsidRPr="00342718">
        <w:rPr>
          <w:lang w:eastAsia="en-GB"/>
        </w:rPr>
        <w:t>I have been young, and now am old</w:t>
      </w:r>
      <w:r w:rsidR="000E2CE6">
        <w:rPr>
          <w:lang w:eastAsia="en-GB"/>
        </w:rPr>
        <w:t>”</w:t>
      </w:r>
      <w:r w:rsidRPr="00342718">
        <w:rPr>
          <w:lang w:eastAsia="en-GB"/>
        </w:rPr>
        <w:t xml:space="preserve"> (Ps 37:25). Consequently Psalms 1-41 cannot have been compiled into the first book of psalms until David</w:t>
      </w:r>
      <w:r w:rsidR="000E2CE6">
        <w:rPr>
          <w:lang w:eastAsia="en-GB"/>
        </w:rPr>
        <w:t>’</w:t>
      </w:r>
      <w:r w:rsidRPr="00342718">
        <w:rPr>
          <w:lang w:eastAsia="en-GB"/>
        </w:rPr>
        <w:t xml:space="preserve">s later life, near-contemporaneous with his compilation of the second book of psalms as shown later; this also suggests that when concluding </w:t>
      </w:r>
      <w:r>
        <w:rPr>
          <w:lang w:eastAsia="en-GB"/>
        </w:rPr>
        <w:t>book 2 with his words in Ps</w:t>
      </w:r>
      <w:r w:rsidRPr="00342718">
        <w:rPr>
          <w:lang w:eastAsia="en-GB"/>
        </w:rPr>
        <w:t xml:space="preserve"> 72:20 he was also making a statement about the recently completed book 1.</w:t>
      </w:r>
    </w:p>
    <w:p w:rsidR="00F72B04" w:rsidRPr="00F72B04" w:rsidRDefault="00F72B04" w:rsidP="00F72B04">
      <w:pPr>
        <w:autoSpaceDE w:val="0"/>
        <w:autoSpaceDN w:val="0"/>
        <w:adjustRightInd w:val="0"/>
        <w:jc w:val="left"/>
        <w:rPr>
          <w:rFonts w:ascii="Bradley Hand ITC" w:hAnsi="Bradley Hand ITC" w:cs="Helvetica-BoldOblique"/>
          <w:b/>
          <w:bCs/>
          <w:iCs/>
          <w:color w:val="auto"/>
          <w:sz w:val="28"/>
          <w:szCs w:val="28"/>
          <w:lang w:val="en-GB" w:eastAsia="en-GB"/>
        </w:rPr>
      </w:pPr>
      <w:r>
        <w:rPr>
          <w:rFonts w:ascii="Bradley Hand ITC" w:hAnsi="Bradley Hand ITC" w:cs="Helvetica-BoldOblique"/>
          <w:b/>
          <w:bCs/>
          <w:iCs/>
          <w:color w:val="auto"/>
          <w:sz w:val="28"/>
          <w:szCs w:val="28"/>
          <w:lang w:val="en-GB" w:eastAsia="en-GB"/>
        </w:rPr>
        <w:lastRenderedPageBreak/>
        <w:t>T</w:t>
      </w:r>
      <w:r w:rsidRPr="00F72B04">
        <w:rPr>
          <w:rFonts w:ascii="Bradley Hand ITC" w:hAnsi="Bradley Hand ITC" w:cs="Helvetica-BoldOblique"/>
          <w:b/>
          <w:bCs/>
          <w:iCs/>
          <w:color w:val="auto"/>
          <w:sz w:val="28"/>
          <w:szCs w:val="28"/>
          <w:lang w:val="en-GB" w:eastAsia="en-GB"/>
        </w:rPr>
        <w:t xml:space="preserve">he </w:t>
      </w:r>
      <w:r>
        <w:rPr>
          <w:rFonts w:ascii="Bradley Hand ITC" w:hAnsi="Bradley Hand ITC" w:cs="Helvetica-BoldOblique"/>
          <w:b/>
          <w:bCs/>
          <w:iCs/>
          <w:color w:val="auto"/>
          <w:sz w:val="28"/>
          <w:szCs w:val="28"/>
          <w:lang w:val="en-GB" w:eastAsia="en-GB"/>
        </w:rPr>
        <w:t>P</w:t>
      </w:r>
      <w:r w:rsidRPr="00F72B04">
        <w:rPr>
          <w:rFonts w:ascii="Bradley Hand ITC" w:hAnsi="Bradley Hand ITC" w:cs="Helvetica-BoldOblique"/>
          <w:b/>
          <w:bCs/>
          <w:iCs/>
          <w:color w:val="auto"/>
          <w:sz w:val="28"/>
          <w:szCs w:val="28"/>
          <w:lang w:val="en-GB" w:eastAsia="en-GB"/>
        </w:rPr>
        <w:t>rayers of David</w:t>
      </w:r>
    </w:p>
    <w:p w:rsidR="00E843D2" w:rsidRDefault="00E843D2" w:rsidP="00E843D2">
      <w:pPr>
        <w:rPr>
          <w:lang w:val="en-GB" w:eastAsia="en-GB"/>
        </w:rPr>
      </w:pPr>
      <w:r>
        <w:rPr>
          <w:lang w:val="en-GB" w:eastAsia="en-GB"/>
        </w:rPr>
        <w:t>Seeing Ps</w:t>
      </w:r>
      <w:r w:rsidR="00F72B04">
        <w:rPr>
          <w:lang w:val="en-GB" w:eastAsia="en-GB"/>
        </w:rPr>
        <w:t xml:space="preserve"> 72:20 as an editorial statement of compilation then, indicates that the second book of psalms, at least, is a compilation of psalms put together by David as a book of prayers. This book of prayers includes psalms by David but also by psalmists other than him:</w:t>
      </w:r>
      <w:r>
        <w:rPr>
          <w:lang w:val="en-GB" w:eastAsia="en-GB"/>
        </w:rPr>
        <w:t xml:space="preserve"> </w:t>
      </w:r>
      <w:r w:rsidR="00F72B04">
        <w:rPr>
          <w:lang w:val="en-GB" w:eastAsia="en-GB"/>
        </w:rPr>
        <w:t>Psalms 42-45 and 47-49 are for certain by the sons of Korah and Psalm 50 is for certain by</w:t>
      </w:r>
      <w:r>
        <w:rPr>
          <w:lang w:val="en-GB" w:eastAsia="en-GB"/>
        </w:rPr>
        <w:t xml:space="preserve"> </w:t>
      </w:r>
      <w:r w:rsidR="00F72B04">
        <w:rPr>
          <w:lang w:val="en-GB" w:eastAsia="en-GB"/>
        </w:rPr>
        <w:t xml:space="preserve">Asaph. This being the case, </w:t>
      </w:r>
      <w:r>
        <w:rPr>
          <w:lang w:val="en-GB" w:eastAsia="en-GB"/>
        </w:rPr>
        <w:t>that David</w:t>
      </w:r>
      <w:r w:rsidR="00F72B04">
        <w:rPr>
          <w:lang w:val="en-GB" w:eastAsia="en-GB"/>
        </w:rPr>
        <w:t xml:space="preserve"> can adopt psalms by others for his prayers in book </w:t>
      </w:r>
      <w:proofErr w:type="gramStart"/>
      <w:r w:rsidR="00F72B04">
        <w:rPr>
          <w:lang w:val="en-GB" w:eastAsia="en-GB"/>
        </w:rPr>
        <w:t>2,</w:t>
      </w:r>
      <w:proofErr w:type="gramEnd"/>
      <w:r>
        <w:rPr>
          <w:lang w:val="en-GB" w:eastAsia="en-GB"/>
        </w:rPr>
        <w:t xml:space="preserve"> </w:t>
      </w:r>
      <w:r w:rsidR="00F72B04">
        <w:rPr>
          <w:lang w:val="en-GB" w:eastAsia="en-GB"/>
        </w:rPr>
        <w:t>he can also adopt Psalm 72 by Solomon as his prayer. This resolves the dilemma seen by</w:t>
      </w:r>
      <w:r>
        <w:rPr>
          <w:lang w:val="en-GB" w:eastAsia="en-GB"/>
        </w:rPr>
        <w:t xml:space="preserve"> </w:t>
      </w:r>
      <w:r w:rsidR="00F72B04">
        <w:rPr>
          <w:lang w:val="en-GB" w:eastAsia="en-GB"/>
        </w:rPr>
        <w:t>those who wrestl</w:t>
      </w:r>
      <w:r>
        <w:rPr>
          <w:lang w:val="en-GB" w:eastAsia="en-GB"/>
        </w:rPr>
        <w:t>e with the significance of Ps</w:t>
      </w:r>
      <w:r w:rsidR="00F72B04">
        <w:rPr>
          <w:lang w:val="en-GB" w:eastAsia="en-GB"/>
        </w:rPr>
        <w:t xml:space="preserve"> 72:20 and the psalm</w:t>
      </w:r>
      <w:r w:rsidR="000E2CE6">
        <w:rPr>
          <w:lang w:val="en-GB" w:eastAsia="en-GB"/>
        </w:rPr>
        <w:t>’</w:t>
      </w:r>
      <w:r w:rsidR="00F72B04">
        <w:rPr>
          <w:lang w:val="en-GB" w:eastAsia="en-GB"/>
        </w:rPr>
        <w:t xml:space="preserve">s title </w:t>
      </w:r>
      <w:r w:rsidR="000E2CE6">
        <w:rPr>
          <w:lang w:val="en-GB" w:eastAsia="en-GB"/>
        </w:rPr>
        <w:t>“</w:t>
      </w:r>
      <w:r w:rsidR="00F72B04">
        <w:rPr>
          <w:lang w:val="en-GB" w:eastAsia="en-GB"/>
        </w:rPr>
        <w:t>of Solomon</w:t>
      </w:r>
      <w:r w:rsidR="000E2CE6">
        <w:rPr>
          <w:lang w:val="en-GB" w:eastAsia="en-GB"/>
        </w:rPr>
        <w:t>”</w:t>
      </w:r>
      <w:r w:rsidR="00F72B04">
        <w:rPr>
          <w:lang w:val="en-GB" w:eastAsia="en-GB"/>
        </w:rPr>
        <w:t>.</w:t>
      </w:r>
    </w:p>
    <w:p w:rsidR="00E843D2" w:rsidRDefault="00E843D2" w:rsidP="00F72B04">
      <w:pPr>
        <w:autoSpaceDE w:val="0"/>
        <w:autoSpaceDN w:val="0"/>
        <w:adjustRightInd w:val="0"/>
        <w:jc w:val="left"/>
        <w:rPr>
          <w:rFonts w:ascii="Helvetica" w:hAnsi="Helvetica" w:cs="Helvetica"/>
          <w:color w:val="auto"/>
          <w:sz w:val="20"/>
          <w:szCs w:val="20"/>
          <w:lang w:val="en-GB" w:eastAsia="en-GB"/>
        </w:rPr>
      </w:pPr>
    </w:p>
    <w:p w:rsidR="00F72B04" w:rsidRDefault="00F72B04" w:rsidP="00351FA7">
      <w:pPr>
        <w:rPr>
          <w:lang w:val="en-GB" w:eastAsia="en-GB"/>
        </w:rPr>
      </w:pPr>
      <w:r>
        <w:rPr>
          <w:lang w:val="en-GB" w:eastAsia="en-GB"/>
        </w:rPr>
        <w:t xml:space="preserve">But is </w:t>
      </w:r>
      <w:r w:rsidR="000E2CE6">
        <w:rPr>
          <w:lang w:val="en-GB" w:eastAsia="en-GB"/>
        </w:rPr>
        <w:t>“</w:t>
      </w:r>
      <w:r>
        <w:rPr>
          <w:lang w:val="en-GB" w:eastAsia="en-GB"/>
        </w:rPr>
        <w:t>the prayers of David the son of Jesse are ended</w:t>
      </w:r>
      <w:r w:rsidR="000E2CE6">
        <w:rPr>
          <w:lang w:val="en-GB" w:eastAsia="en-GB"/>
        </w:rPr>
        <w:t>”</w:t>
      </w:r>
      <w:r>
        <w:rPr>
          <w:lang w:val="en-GB" w:eastAsia="en-GB"/>
        </w:rPr>
        <w:t xml:space="preserve"> a statement included by a later</w:t>
      </w:r>
      <w:r w:rsidR="00E843D2">
        <w:rPr>
          <w:lang w:val="en-GB" w:eastAsia="en-GB"/>
        </w:rPr>
        <w:t xml:space="preserve"> </w:t>
      </w:r>
      <w:r>
        <w:rPr>
          <w:lang w:val="en-GB" w:eastAsia="en-GB"/>
        </w:rPr>
        <w:t>editor? There are a number of arguments against this. There are also matters that argue,</w:t>
      </w:r>
      <w:r w:rsidR="00E843D2">
        <w:rPr>
          <w:lang w:val="en-GB" w:eastAsia="en-GB"/>
        </w:rPr>
        <w:t xml:space="preserve"> </w:t>
      </w:r>
      <w:r>
        <w:rPr>
          <w:lang w:val="en-GB" w:eastAsia="en-GB"/>
        </w:rPr>
        <w:t>even given the possibility of the statement being that of a later editor, that such a suggestion</w:t>
      </w:r>
      <w:r w:rsidR="00E843D2">
        <w:rPr>
          <w:lang w:val="en-GB" w:eastAsia="en-GB"/>
        </w:rPr>
        <w:t xml:space="preserve"> </w:t>
      </w:r>
      <w:r>
        <w:rPr>
          <w:lang w:val="en-GB" w:eastAsia="en-GB"/>
        </w:rPr>
        <w:t>does not alter the conclusion that book 2 of the psalms was compiled by David. But first to</w:t>
      </w:r>
      <w:r w:rsidR="00E843D2">
        <w:rPr>
          <w:lang w:val="en-GB" w:eastAsia="en-GB"/>
        </w:rPr>
        <w:t xml:space="preserve"> </w:t>
      </w:r>
      <w:r>
        <w:rPr>
          <w:lang w:val="en-GB" w:eastAsia="en-GB"/>
        </w:rPr>
        <w:t xml:space="preserve">the arguments for this expression being </w:t>
      </w:r>
      <w:r w:rsidR="00A03ADA">
        <w:rPr>
          <w:lang w:val="en-GB" w:eastAsia="en-GB"/>
        </w:rPr>
        <w:t xml:space="preserve">the </w:t>
      </w:r>
      <w:r>
        <w:rPr>
          <w:lang w:val="en-GB" w:eastAsia="en-GB"/>
        </w:rPr>
        <w:t xml:space="preserve">words of David by the </w:t>
      </w:r>
      <w:proofErr w:type="gramStart"/>
      <w:r>
        <w:rPr>
          <w:lang w:val="en-GB" w:eastAsia="en-GB"/>
        </w:rPr>
        <w:t>holy spirit</w:t>
      </w:r>
      <w:proofErr w:type="gramEnd"/>
      <w:r>
        <w:rPr>
          <w:lang w:val="en-GB" w:eastAsia="en-GB"/>
        </w:rPr>
        <w:t>, which include</w:t>
      </w:r>
      <w:r w:rsidR="00E843D2">
        <w:rPr>
          <w:lang w:val="en-GB" w:eastAsia="en-GB"/>
        </w:rPr>
        <w:t xml:space="preserve"> </w:t>
      </w:r>
      <w:r>
        <w:rPr>
          <w:lang w:val="en-GB" w:eastAsia="en-GB"/>
        </w:rPr>
        <w:t>aspects related to timing and to self-reference.</w:t>
      </w:r>
      <w:r w:rsidR="00E843D2">
        <w:rPr>
          <w:lang w:val="en-GB" w:eastAsia="en-GB"/>
        </w:rPr>
        <w:t xml:space="preserve"> </w:t>
      </w:r>
      <w:r>
        <w:rPr>
          <w:lang w:val="en-GB" w:eastAsia="en-GB"/>
        </w:rPr>
        <w:t>The arguments related to timing are as follows:</w:t>
      </w:r>
    </w:p>
    <w:p w:rsidR="00A03ADA" w:rsidRPr="00A03ADA" w:rsidRDefault="00A03ADA" w:rsidP="00351FA7">
      <w:pPr>
        <w:rPr>
          <w:lang w:val="en-GB" w:eastAsia="en-GB"/>
        </w:rPr>
      </w:pPr>
    </w:p>
    <w:p w:rsidR="00A03ADA" w:rsidRDefault="00A03ADA" w:rsidP="00936DFC">
      <w:pPr>
        <w:pStyle w:val="ListParagraph"/>
        <w:numPr>
          <w:ilvl w:val="0"/>
          <w:numId w:val="8"/>
        </w:numPr>
        <w:spacing w:line="240" w:lineRule="auto"/>
        <w:ind w:left="360"/>
        <w:rPr>
          <w:rFonts w:cs="Helvetica"/>
          <w:lang w:eastAsia="en-GB"/>
        </w:rPr>
      </w:pPr>
      <w:r w:rsidRPr="00A03ADA">
        <w:rPr>
          <w:rFonts w:cs="Helvetica"/>
          <w:lang w:eastAsia="en-GB"/>
        </w:rPr>
        <w:t xml:space="preserve">The expression </w:t>
      </w:r>
      <w:r w:rsidR="000E2CE6">
        <w:rPr>
          <w:rFonts w:cs="Helvetica"/>
          <w:lang w:eastAsia="en-GB"/>
        </w:rPr>
        <w:t>“</w:t>
      </w:r>
      <w:r w:rsidRPr="00A03ADA">
        <w:rPr>
          <w:rFonts w:cs="Helvetica"/>
          <w:lang w:eastAsia="en-GB"/>
        </w:rPr>
        <w:t>David the son of Jesse</w:t>
      </w:r>
      <w:r w:rsidR="000E2CE6">
        <w:rPr>
          <w:rFonts w:cs="Helvetica"/>
          <w:lang w:eastAsia="en-GB"/>
        </w:rPr>
        <w:t>”</w:t>
      </w:r>
      <w:r w:rsidRPr="00A03ADA">
        <w:rPr>
          <w:rFonts w:cs="Helvetica"/>
          <w:lang w:eastAsia="en-GB"/>
        </w:rPr>
        <w:t xml:space="preserve"> is found i</w:t>
      </w:r>
      <w:r>
        <w:rPr>
          <w:rFonts w:cs="Helvetica"/>
          <w:lang w:eastAsia="en-GB"/>
        </w:rPr>
        <w:t>n only four scriptures: 2 Sam</w:t>
      </w:r>
      <w:r w:rsidRPr="00A03ADA">
        <w:rPr>
          <w:rFonts w:cs="Helvetica"/>
          <w:lang w:eastAsia="en-GB"/>
        </w:rPr>
        <w:t xml:space="preserve"> </w:t>
      </w:r>
      <w:r>
        <w:rPr>
          <w:rFonts w:cs="Helvetica"/>
          <w:lang w:eastAsia="en-GB"/>
        </w:rPr>
        <w:t>23:1; Ps 72:20; 1 Chron</w:t>
      </w:r>
      <w:r w:rsidRPr="00A03ADA">
        <w:rPr>
          <w:rFonts w:cs="Helvetica"/>
          <w:lang w:eastAsia="en-GB"/>
        </w:rPr>
        <w:t xml:space="preserve"> 10:14; 29:26. But in these scriptures there are two distinct Hebrew spellings of David</w:t>
      </w:r>
      <w:r w:rsidR="000E2CE6">
        <w:rPr>
          <w:rFonts w:cs="Helvetica"/>
          <w:lang w:eastAsia="en-GB"/>
        </w:rPr>
        <w:t>’</w:t>
      </w:r>
      <w:r w:rsidRPr="00A03ADA">
        <w:rPr>
          <w:rFonts w:cs="Helvetica"/>
          <w:lang w:eastAsia="en-GB"/>
        </w:rPr>
        <w:t xml:space="preserve">s name: 2 Sam 23:1 and Ps 72:20 use </w:t>
      </w:r>
      <w:proofErr w:type="spellStart"/>
      <w:r w:rsidRPr="00A03ADA">
        <w:rPr>
          <w:rFonts w:cs="Helvetica-Oblique"/>
          <w:i/>
          <w:iCs/>
          <w:lang w:eastAsia="en-GB"/>
        </w:rPr>
        <w:t>dwd</w:t>
      </w:r>
      <w:proofErr w:type="spellEnd"/>
      <w:r w:rsidRPr="00A03ADA">
        <w:rPr>
          <w:rFonts w:cs="Helvetica-Oblique"/>
          <w:i/>
          <w:iCs/>
          <w:lang w:eastAsia="en-GB"/>
        </w:rPr>
        <w:t xml:space="preserve"> </w:t>
      </w:r>
      <w:r w:rsidRPr="00A03ADA">
        <w:rPr>
          <w:rFonts w:cs="Helvetica"/>
          <w:lang w:eastAsia="en-GB"/>
        </w:rPr>
        <w:t xml:space="preserve">whereas 1 Chron 10:14; 29:26 use </w:t>
      </w:r>
      <w:proofErr w:type="spellStart"/>
      <w:r w:rsidRPr="00A03ADA">
        <w:rPr>
          <w:rFonts w:cs="Helvetica-Oblique"/>
          <w:i/>
          <w:iCs/>
          <w:lang w:eastAsia="en-GB"/>
        </w:rPr>
        <w:t>dwyd</w:t>
      </w:r>
      <w:proofErr w:type="spellEnd"/>
      <w:r w:rsidRPr="00A03ADA">
        <w:rPr>
          <w:rFonts w:cs="Helvetica"/>
          <w:lang w:eastAsia="en-GB"/>
        </w:rPr>
        <w:t xml:space="preserve">. The latter scriptures are, of course, dated at around the time of Ezra and, </w:t>
      </w:r>
      <w:r>
        <w:rPr>
          <w:rFonts w:cs="Helvetica"/>
          <w:lang w:eastAsia="en-GB"/>
        </w:rPr>
        <w:t>apart from one instance in Ps</w:t>
      </w:r>
      <w:r w:rsidRPr="00A03ADA">
        <w:rPr>
          <w:rFonts w:cs="Helvetica"/>
          <w:lang w:eastAsia="en-GB"/>
        </w:rPr>
        <w:t xml:space="preserve"> 122:5, the spelling employed in these is only ever used in scripture </w:t>
      </w:r>
      <w:r w:rsidRPr="00A03ADA">
        <w:rPr>
          <w:rFonts w:cs="Helvetica-Bold"/>
          <w:b/>
          <w:bCs/>
          <w:lang w:eastAsia="en-GB"/>
        </w:rPr>
        <w:t>after David</w:t>
      </w:r>
      <w:r w:rsidR="000E2CE6">
        <w:rPr>
          <w:rFonts w:cs="Helvetica-Bold"/>
          <w:b/>
          <w:bCs/>
          <w:lang w:eastAsia="en-GB"/>
        </w:rPr>
        <w:t>’</w:t>
      </w:r>
      <w:r w:rsidRPr="00A03ADA">
        <w:rPr>
          <w:rFonts w:cs="Helvetica-Bold"/>
          <w:b/>
          <w:bCs/>
          <w:lang w:eastAsia="en-GB"/>
        </w:rPr>
        <w:t>s death</w:t>
      </w:r>
      <w:r w:rsidRPr="00A03ADA">
        <w:rPr>
          <w:rFonts w:cs="Helvetica"/>
          <w:lang w:eastAsia="en-GB"/>
        </w:rPr>
        <w:t xml:space="preserve">: the first instance of such a spelling, other than that in Ps 122:5, is found in 1 Kgs 3:14. The </w:t>
      </w:r>
      <w:r w:rsidR="000E2CE6">
        <w:rPr>
          <w:rFonts w:cs="Helvetica"/>
          <w:lang w:eastAsia="en-GB"/>
        </w:rPr>
        <w:t>“</w:t>
      </w:r>
      <w:r w:rsidRPr="00A03ADA">
        <w:rPr>
          <w:rFonts w:cs="Helvetica"/>
          <w:lang w:eastAsia="en-GB"/>
        </w:rPr>
        <w:t>earlier</w:t>
      </w:r>
      <w:r w:rsidR="000E2CE6">
        <w:rPr>
          <w:rFonts w:cs="Helvetica"/>
          <w:lang w:eastAsia="en-GB"/>
        </w:rPr>
        <w:t>”</w:t>
      </w:r>
      <w:r w:rsidRPr="00A03ADA">
        <w:rPr>
          <w:rFonts w:cs="Helvetica"/>
          <w:lang w:eastAsia="en-GB"/>
        </w:rPr>
        <w:t xml:space="preserve"> spelling used in Ps 72:20 argues for a chronology of this expression having been written at a time pre-dating 1 Kgs 3:14.</w:t>
      </w:r>
      <w:r>
        <w:rPr>
          <w:rStyle w:val="FootnoteReference"/>
          <w:lang w:eastAsia="en-GB"/>
        </w:rPr>
        <w:footnoteReference w:id="62"/>
      </w:r>
    </w:p>
    <w:p w:rsidR="00351FA7" w:rsidRDefault="00A03ADA" w:rsidP="00936DFC">
      <w:pPr>
        <w:pStyle w:val="ListParagraph"/>
        <w:numPr>
          <w:ilvl w:val="0"/>
          <w:numId w:val="8"/>
        </w:numPr>
        <w:spacing w:line="240" w:lineRule="auto"/>
        <w:ind w:left="360"/>
        <w:rPr>
          <w:rFonts w:cs="Helvetica"/>
          <w:lang w:eastAsia="en-GB"/>
        </w:rPr>
      </w:pPr>
      <w:r w:rsidRPr="00A03ADA">
        <w:rPr>
          <w:rFonts w:cs="Helvetica"/>
          <w:lang w:eastAsia="en-GB"/>
        </w:rPr>
        <w:lastRenderedPageBreak/>
        <w:t>This chronology can be narrowed to between the final months of David</w:t>
      </w:r>
      <w:r w:rsidR="000E2CE6">
        <w:rPr>
          <w:rFonts w:cs="Helvetica"/>
          <w:lang w:eastAsia="en-GB"/>
        </w:rPr>
        <w:t>’</w:t>
      </w:r>
      <w:r w:rsidRPr="00A03ADA">
        <w:rPr>
          <w:rFonts w:cs="Helvetica"/>
          <w:lang w:eastAsia="en-GB"/>
        </w:rPr>
        <w:t xml:space="preserve">s life and before 1 Kgs 3:14. This is </w:t>
      </w:r>
      <w:r w:rsidR="00351FA7">
        <w:rPr>
          <w:rFonts w:cs="Helvetica"/>
          <w:lang w:eastAsia="en-GB"/>
        </w:rPr>
        <w:t>derived</w:t>
      </w:r>
      <w:r w:rsidRPr="00A03ADA">
        <w:rPr>
          <w:rFonts w:cs="Helvetica"/>
          <w:lang w:eastAsia="en-GB"/>
        </w:rPr>
        <w:t xml:space="preserve"> from a consideration of the time of revelation of Psalm 72, which was by God in fellowship with Solomon during the rebellion of Adonijah</w:t>
      </w:r>
      <w:r w:rsidR="00351FA7">
        <w:rPr>
          <w:rStyle w:val="FootnoteReference"/>
          <w:lang w:eastAsia="en-GB"/>
        </w:rPr>
        <w:footnoteReference w:id="63"/>
      </w:r>
      <w:r w:rsidRPr="00A03ADA">
        <w:rPr>
          <w:rFonts w:cs="Helvetica"/>
          <w:lang w:eastAsia="en-GB"/>
        </w:rPr>
        <w:t xml:space="preserve"> recorded in 1 Kings 1. Thus, for Psalm 72 to be included in book 2 of the psalms</w:t>
      </w:r>
      <w:r w:rsidR="00351FA7">
        <w:rPr>
          <w:rFonts w:cs="Helvetica"/>
          <w:lang w:eastAsia="en-GB"/>
        </w:rPr>
        <w:t>,</w:t>
      </w:r>
      <w:r w:rsidRPr="00A03ADA">
        <w:rPr>
          <w:rFonts w:cs="Helvetica"/>
          <w:lang w:eastAsia="en-GB"/>
        </w:rPr>
        <w:t xml:space="preserve"> and for the expression </w:t>
      </w:r>
      <w:r w:rsidR="000E2CE6">
        <w:rPr>
          <w:rFonts w:cs="Helvetica"/>
          <w:lang w:eastAsia="en-GB"/>
        </w:rPr>
        <w:t>“</w:t>
      </w:r>
      <w:r w:rsidRPr="00A03ADA">
        <w:rPr>
          <w:rFonts w:cs="Helvetica"/>
          <w:lang w:eastAsia="en-GB"/>
        </w:rPr>
        <w:t>David the son of Jesse (</w:t>
      </w:r>
      <w:proofErr w:type="spellStart"/>
      <w:r w:rsidRPr="00A03ADA">
        <w:rPr>
          <w:rFonts w:cs="Helvetica-Oblique"/>
          <w:i/>
          <w:iCs/>
          <w:lang w:eastAsia="en-GB"/>
        </w:rPr>
        <w:t>dwd</w:t>
      </w:r>
      <w:proofErr w:type="spellEnd"/>
      <w:r w:rsidRPr="00A03ADA">
        <w:rPr>
          <w:rFonts w:cs="Helvetica-Oblique"/>
          <w:i/>
          <w:iCs/>
          <w:lang w:eastAsia="en-GB"/>
        </w:rPr>
        <w:t xml:space="preserve"> </w:t>
      </w:r>
      <w:proofErr w:type="spellStart"/>
      <w:r w:rsidRPr="00A03ADA">
        <w:rPr>
          <w:rFonts w:cs="Helvetica-Oblique"/>
          <w:i/>
          <w:iCs/>
          <w:lang w:eastAsia="en-GB"/>
        </w:rPr>
        <w:t>bn</w:t>
      </w:r>
      <w:proofErr w:type="spellEnd"/>
      <w:r w:rsidRPr="00A03ADA">
        <w:rPr>
          <w:rFonts w:cs="Helvetica-Oblique"/>
          <w:i/>
          <w:iCs/>
          <w:lang w:eastAsia="en-GB"/>
        </w:rPr>
        <w:t xml:space="preserve"> </w:t>
      </w:r>
      <w:proofErr w:type="spellStart"/>
      <w:r w:rsidRPr="00A03ADA">
        <w:rPr>
          <w:rFonts w:cs="Helvetica-Oblique"/>
          <w:i/>
          <w:iCs/>
          <w:lang w:eastAsia="en-GB"/>
        </w:rPr>
        <w:t>yšy</w:t>
      </w:r>
      <w:proofErr w:type="spellEnd"/>
      <w:r w:rsidRPr="00A03ADA">
        <w:rPr>
          <w:rFonts w:cs="Helvetica"/>
          <w:lang w:eastAsia="en-GB"/>
        </w:rPr>
        <w:t>)</w:t>
      </w:r>
      <w:r w:rsidR="000E2CE6">
        <w:rPr>
          <w:rFonts w:cs="Helvetica"/>
          <w:lang w:eastAsia="en-GB"/>
        </w:rPr>
        <w:t>”</w:t>
      </w:r>
      <w:r w:rsidRPr="00A03ADA">
        <w:rPr>
          <w:rFonts w:cs="Helvetica"/>
          <w:lang w:eastAsia="en-GB"/>
        </w:rPr>
        <w:t xml:space="preserve"> (Ps 72:20) to accompany it</w:t>
      </w:r>
      <w:r w:rsidR="00351FA7">
        <w:rPr>
          <w:rFonts w:cs="Helvetica"/>
          <w:lang w:eastAsia="en-GB"/>
        </w:rPr>
        <w:t>,</w:t>
      </w:r>
      <w:r w:rsidRPr="00A03ADA">
        <w:rPr>
          <w:rFonts w:cs="Helvetica"/>
          <w:lang w:eastAsia="en-GB"/>
        </w:rPr>
        <w:t xml:space="preserve"> dates their inclusion to around the final months of David</w:t>
      </w:r>
      <w:r w:rsidR="000E2CE6">
        <w:rPr>
          <w:rFonts w:cs="Helvetica"/>
          <w:lang w:eastAsia="en-GB"/>
        </w:rPr>
        <w:t>’</w:t>
      </w:r>
      <w:r w:rsidRPr="00A03ADA">
        <w:rPr>
          <w:rFonts w:cs="Helvetica"/>
          <w:lang w:eastAsia="en-GB"/>
        </w:rPr>
        <w:t>s life</w:t>
      </w:r>
      <w:r w:rsidR="00351FA7">
        <w:rPr>
          <w:rFonts w:cs="Helvetica"/>
          <w:lang w:eastAsia="en-GB"/>
        </w:rPr>
        <w:t>,</w:t>
      </w:r>
      <w:r w:rsidR="00351FA7">
        <w:rPr>
          <w:rStyle w:val="FootnoteReference"/>
          <w:lang w:eastAsia="en-GB"/>
        </w:rPr>
        <w:footnoteReference w:id="64"/>
      </w:r>
      <w:r w:rsidRPr="00A03ADA">
        <w:rPr>
          <w:rFonts w:cs="Helvetica"/>
          <w:lang w:eastAsia="en-GB"/>
        </w:rPr>
        <w:t xml:space="preserve"> and </w:t>
      </w:r>
      <w:r w:rsidR="00351FA7">
        <w:rPr>
          <w:rFonts w:cs="Helvetica"/>
          <w:lang w:eastAsia="en-GB"/>
        </w:rPr>
        <w:t>before 1 K</w:t>
      </w:r>
      <w:r w:rsidRPr="00A03ADA">
        <w:rPr>
          <w:rFonts w:cs="Helvetica"/>
          <w:lang w:eastAsia="en-GB"/>
        </w:rPr>
        <w:t>gs 3:14</w:t>
      </w:r>
      <w:r w:rsidR="00351FA7">
        <w:rPr>
          <w:rFonts w:cs="Helvetica"/>
          <w:lang w:eastAsia="en-GB"/>
        </w:rPr>
        <w:t>,</w:t>
      </w:r>
      <w:r w:rsidRPr="00A03ADA">
        <w:rPr>
          <w:rFonts w:cs="Helvetica"/>
          <w:lang w:eastAsia="en-GB"/>
        </w:rPr>
        <w:t xml:space="preserve"> since David was </w:t>
      </w:r>
      <w:r w:rsidR="000E2CE6">
        <w:rPr>
          <w:rFonts w:cs="Helvetica"/>
          <w:lang w:eastAsia="en-GB"/>
        </w:rPr>
        <w:t>“</w:t>
      </w:r>
      <w:r w:rsidR="00351FA7">
        <w:rPr>
          <w:rFonts w:cs="Helvetica"/>
          <w:lang w:eastAsia="en-GB"/>
        </w:rPr>
        <w:t>old and stricken in years</w:t>
      </w:r>
      <w:r w:rsidR="000E2CE6">
        <w:rPr>
          <w:rFonts w:cs="Helvetica"/>
          <w:lang w:eastAsia="en-GB"/>
        </w:rPr>
        <w:t>”</w:t>
      </w:r>
      <w:r w:rsidR="00351FA7">
        <w:rPr>
          <w:rFonts w:cs="Helvetica"/>
          <w:lang w:eastAsia="en-GB"/>
        </w:rPr>
        <w:t xml:space="preserve"> (1 Kgs</w:t>
      </w:r>
      <w:r w:rsidRPr="00A03ADA">
        <w:rPr>
          <w:rFonts w:cs="Helvetica"/>
          <w:lang w:eastAsia="en-GB"/>
        </w:rPr>
        <w:t xml:space="preserve"> 1:1) when Adonijah raised his rebellion.</w:t>
      </w:r>
    </w:p>
    <w:p w:rsidR="00A03ADA" w:rsidRPr="00351FA7" w:rsidRDefault="00A03ADA" w:rsidP="00351FA7">
      <w:pPr>
        <w:pStyle w:val="ListParagraph"/>
        <w:spacing w:line="240" w:lineRule="auto"/>
        <w:ind w:left="360"/>
        <w:rPr>
          <w:rFonts w:cs="Helvetica"/>
          <w:lang w:eastAsia="en-GB"/>
        </w:rPr>
      </w:pPr>
      <w:r w:rsidRPr="00A03ADA">
        <w:rPr>
          <w:rFonts w:cs="Helvetica"/>
          <w:lang w:eastAsia="en-GB"/>
        </w:rPr>
        <w:t xml:space="preserve"> </w:t>
      </w:r>
    </w:p>
    <w:p w:rsidR="00AA6982" w:rsidRPr="00AA6982" w:rsidRDefault="00A03ADA" w:rsidP="00936DFC">
      <w:pPr>
        <w:pStyle w:val="ListParagraph"/>
        <w:numPr>
          <w:ilvl w:val="0"/>
          <w:numId w:val="8"/>
        </w:numPr>
        <w:spacing w:line="240" w:lineRule="auto"/>
        <w:ind w:left="360"/>
      </w:pPr>
      <w:r w:rsidRPr="00A03ADA">
        <w:rPr>
          <w:rFonts w:cs="Helvetica"/>
          <w:lang w:eastAsia="en-GB"/>
        </w:rPr>
        <w:t xml:space="preserve">Furthermore, the use of </w:t>
      </w:r>
      <w:r w:rsidR="000E2CE6">
        <w:rPr>
          <w:rFonts w:cs="Helvetica"/>
          <w:lang w:eastAsia="en-GB"/>
        </w:rPr>
        <w:t>“</w:t>
      </w:r>
      <w:r w:rsidRPr="00A03ADA">
        <w:rPr>
          <w:rFonts w:cs="Helvetica"/>
          <w:lang w:eastAsia="en-GB"/>
        </w:rPr>
        <w:t>David the son of Jesse</w:t>
      </w:r>
      <w:r w:rsidR="000E2CE6">
        <w:rPr>
          <w:rFonts w:cs="Helvetica"/>
          <w:lang w:eastAsia="en-GB"/>
        </w:rPr>
        <w:t>”</w:t>
      </w:r>
      <w:r w:rsidRPr="00A03ADA">
        <w:rPr>
          <w:rFonts w:cs="Helvetica"/>
          <w:lang w:eastAsia="en-GB"/>
        </w:rPr>
        <w:t xml:space="preserve"> uniquely in only one other place, in 2 Sam 23:1, when David was still alive, suggests Ps 72:20 </w:t>
      </w:r>
      <w:proofErr w:type="gramStart"/>
      <w:r w:rsidRPr="00A03ADA">
        <w:rPr>
          <w:rFonts w:cs="Helvetica"/>
          <w:lang w:eastAsia="en-GB"/>
        </w:rPr>
        <w:t>was</w:t>
      </w:r>
      <w:proofErr w:type="gramEnd"/>
      <w:r w:rsidRPr="00A03ADA">
        <w:rPr>
          <w:rFonts w:cs="Helvetica"/>
          <w:lang w:eastAsia="en-GB"/>
        </w:rPr>
        <w:t xml:space="preserve"> also penned before David</w:t>
      </w:r>
      <w:r w:rsidR="000E2CE6">
        <w:rPr>
          <w:rFonts w:cs="Helvetica"/>
          <w:lang w:eastAsia="en-GB"/>
        </w:rPr>
        <w:t>’</w:t>
      </w:r>
      <w:r w:rsidRPr="00A03ADA">
        <w:rPr>
          <w:rFonts w:cs="Helvetica"/>
          <w:lang w:eastAsia="en-GB"/>
        </w:rPr>
        <w:t>s death.</w:t>
      </w:r>
      <w:r w:rsidR="00351FA7">
        <w:rPr>
          <w:rFonts w:cs="Helvetica"/>
          <w:lang w:eastAsia="en-GB"/>
        </w:rPr>
        <w:t xml:space="preserve"> </w:t>
      </w:r>
    </w:p>
    <w:p w:rsidR="00A03ADA" w:rsidRPr="00A03ADA" w:rsidRDefault="00A03ADA" w:rsidP="00AA6982">
      <w:r w:rsidRPr="00AA6982">
        <w:rPr>
          <w:rFonts w:cs="Helvetica"/>
          <w:lang w:eastAsia="en-GB"/>
        </w:rPr>
        <w:t xml:space="preserve">Thus, there are a number of arguments for a timing of the expression </w:t>
      </w:r>
      <w:r w:rsidR="000E2CE6">
        <w:rPr>
          <w:rFonts w:cs="Helvetica"/>
          <w:lang w:eastAsia="en-GB"/>
        </w:rPr>
        <w:t>“</w:t>
      </w:r>
      <w:r w:rsidRPr="00AA6982">
        <w:rPr>
          <w:rFonts w:cs="Helvetica"/>
          <w:lang w:eastAsia="en-GB"/>
        </w:rPr>
        <w:t>the prayers of David the son of Jesse are ended</w:t>
      </w:r>
      <w:r w:rsidR="000E2CE6">
        <w:rPr>
          <w:rFonts w:cs="Helvetica"/>
          <w:lang w:eastAsia="en-GB"/>
        </w:rPr>
        <w:t>”</w:t>
      </w:r>
      <w:r w:rsidRPr="00AA6982">
        <w:rPr>
          <w:rFonts w:cs="Helvetica"/>
          <w:lang w:eastAsia="en-GB"/>
        </w:rPr>
        <w:t xml:space="preserve"> (Ps 72:20) to be towards the end of David</w:t>
      </w:r>
      <w:r w:rsidR="000E2CE6">
        <w:rPr>
          <w:rFonts w:cs="Helvetica"/>
          <w:lang w:eastAsia="en-GB"/>
        </w:rPr>
        <w:t>’</w:t>
      </w:r>
      <w:r w:rsidRPr="00AA6982">
        <w:rPr>
          <w:rFonts w:cs="Helvetica"/>
          <w:lang w:eastAsia="en-GB"/>
        </w:rPr>
        <w:t>s life.</w:t>
      </w:r>
      <w:r w:rsidR="00351FA7">
        <w:rPr>
          <w:rStyle w:val="FootnoteReference"/>
          <w:lang w:eastAsia="en-GB"/>
        </w:rPr>
        <w:footnoteReference w:id="65"/>
      </w:r>
    </w:p>
    <w:p w:rsidR="00AA6982" w:rsidRPr="00AA6982" w:rsidRDefault="00AA6982" w:rsidP="00AA6982">
      <w:pPr>
        <w:rPr>
          <w:rFonts w:cs="Helvetica"/>
          <w:color w:val="auto"/>
          <w:szCs w:val="20"/>
          <w:lang w:val="en-GB" w:eastAsia="en-GB"/>
        </w:rPr>
      </w:pPr>
      <w:r w:rsidRPr="00AA6982">
        <w:rPr>
          <w:rFonts w:cs="Helvetica"/>
          <w:color w:val="auto"/>
          <w:szCs w:val="20"/>
          <w:lang w:val="en-GB" w:eastAsia="en-GB"/>
        </w:rPr>
        <w:lastRenderedPageBreak/>
        <w:t xml:space="preserve">The arguments related to </w:t>
      </w:r>
      <w:r w:rsidR="000E2CE6">
        <w:rPr>
          <w:rFonts w:cs="Helvetica"/>
          <w:color w:val="auto"/>
          <w:szCs w:val="20"/>
          <w:lang w:val="en-GB" w:eastAsia="en-GB"/>
        </w:rPr>
        <w:t>“</w:t>
      </w:r>
      <w:r w:rsidRPr="00AA6982">
        <w:rPr>
          <w:rFonts w:cs="Helvetica"/>
          <w:color w:val="auto"/>
          <w:szCs w:val="20"/>
          <w:lang w:val="en-GB" w:eastAsia="en-GB"/>
        </w:rPr>
        <w:t>David the son of Jesse</w:t>
      </w:r>
      <w:r w:rsidR="000E2CE6">
        <w:rPr>
          <w:rFonts w:cs="Helvetica"/>
          <w:color w:val="auto"/>
          <w:szCs w:val="20"/>
          <w:lang w:val="en-GB" w:eastAsia="en-GB"/>
        </w:rPr>
        <w:t>”</w:t>
      </w:r>
      <w:r w:rsidRPr="00AA6982">
        <w:rPr>
          <w:rFonts w:cs="Helvetica"/>
          <w:color w:val="auto"/>
          <w:szCs w:val="20"/>
          <w:lang w:val="en-GB" w:eastAsia="en-GB"/>
        </w:rPr>
        <w:t xml:space="preserve"> as self-reference, that it is an expression that replaces </w:t>
      </w:r>
      <w:r w:rsidR="000E2CE6">
        <w:rPr>
          <w:rFonts w:cs="Helvetica"/>
          <w:color w:val="auto"/>
          <w:szCs w:val="20"/>
          <w:lang w:val="en-GB" w:eastAsia="en-GB"/>
        </w:rPr>
        <w:t>“</w:t>
      </w:r>
      <w:r w:rsidRPr="00AA6982">
        <w:rPr>
          <w:rFonts w:cs="Helvetica"/>
          <w:color w:val="auto"/>
          <w:szCs w:val="20"/>
          <w:lang w:val="en-GB" w:eastAsia="en-GB"/>
        </w:rPr>
        <w:t>I</w:t>
      </w:r>
      <w:r w:rsidR="000E2CE6">
        <w:rPr>
          <w:rFonts w:cs="Helvetica"/>
          <w:color w:val="auto"/>
          <w:szCs w:val="20"/>
          <w:lang w:val="en-GB" w:eastAsia="en-GB"/>
        </w:rPr>
        <w:t>”</w:t>
      </w:r>
      <w:r w:rsidRPr="00AA6982">
        <w:rPr>
          <w:rFonts w:cs="Helvetica"/>
          <w:color w:val="auto"/>
          <w:szCs w:val="20"/>
          <w:lang w:val="en-GB" w:eastAsia="en-GB"/>
        </w:rPr>
        <w:t xml:space="preserve"> in David</w:t>
      </w:r>
      <w:r w:rsidR="000E2CE6">
        <w:rPr>
          <w:rFonts w:cs="Helvetica"/>
          <w:color w:val="auto"/>
          <w:szCs w:val="20"/>
          <w:lang w:val="en-GB" w:eastAsia="en-GB"/>
        </w:rPr>
        <w:t>’</w:t>
      </w:r>
      <w:r w:rsidRPr="00AA6982">
        <w:rPr>
          <w:rFonts w:cs="Helvetica"/>
          <w:color w:val="auto"/>
          <w:szCs w:val="20"/>
          <w:lang w:val="en-GB" w:eastAsia="en-GB"/>
        </w:rPr>
        <w:t>s mouth, are these:</w:t>
      </w:r>
    </w:p>
    <w:p w:rsidR="00AA6982" w:rsidRPr="00AA6982" w:rsidRDefault="00AA6982" w:rsidP="00AA6982">
      <w:pPr>
        <w:rPr>
          <w:rFonts w:cs="Helvetica"/>
          <w:color w:val="auto"/>
          <w:szCs w:val="20"/>
          <w:lang w:val="en-GB" w:eastAsia="en-GB"/>
        </w:rPr>
      </w:pPr>
    </w:p>
    <w:p w:rsidR="00AA6982" w:rsidRDefault="00AA6982" w:rsidP="00936DFC">
      <w:pPr>
        <w:pStyle w:val="ListParagraph"/>
        <w:numPr>
          <w:ilvl w:val="0"/>
          <w:numId w:val="9"/>
        </w:numPr>
        <w:spacing w:line="240" w:lineRule="auto"/>
        <w:ind w:left="360"/>
        <w:rPr>
          <w:lang w:eastAsia="en-GB"/>
        </w:rPr>
      </w:pPr>
      <w:r>
        <w:rPr>
          <w:lang w:eastAsia="en-GB"/>
        </w:rPr>
        <w:t>In 2 Sam</w:t>
      </w:r>
      <w:r w:rsidRPr="00AA6982">
        <w:rPr>
          <w:lang w:eastAsia="en-GB"/>
        </w:rPr>
        <w:t xml:space="preserve"> 23:1, the only other place where the expression </w:t>
      </w:r>
      <w:r w:rsidR="000E2CE6">
        <w:rPr>
          <w:lang w:eastAsia="en-GB"/>
        </w:rPr>
        <w:t>“</w:t>
      </w:r>
      <w:r w:rsidRPr="00AA6982">
        <w:rPr>
          <w:lang w:eastAsia="en-GB"/>
        </w:rPr>
        <w:t>David the son of Jesse</w:t>
      </w:r>
      <w:r w:rsidR="000E2CE6">
        <w:rPr>
          <w:lang w:eastAsia="en-GB"/>
        </w:rPr>
        <w:t>”</w:t>
      </w:r>
      <w:r w:rsidRPr="00AA6982">
        <w:rPr>
          <w:lang w:eastAsia="en-GB"/>
        </w:rPr>
        <w:t xml:space="preserve"> occurs with the </w:t>
      </w:r>
      <w:r w:rsidR="000E2CE6">
        <w:rPr>
          <w:lang w:eastAsia="en-GB"/>
        </w:rPr>
        <w:t>“</w:t>
      </w:r>
      <w:r w:rsidRPr="00AA6982">
        <w:rPr>
          <w:lang w:eastAsia="en-GB"/>
        </w:rPr>
        <w:t>earlier</w:t>
      </w:r>
      <w:r w:rsidR="000E2CE6">
        <w:rPr>
          <w:lang w:eastAsia="en-GB"/>
        </w:rPr>
        <w:t>”</w:t>
      </w:r>
      <w:r w:rsidRPr="00AA6982">
        <w:rPr>
          <w:lang w:eastAsia="en-GB"/>
        </w:rPr>
        <w:t xml:space="preserve"> spelling of David, these words are introduced as words of David, by which he refers to himself. The prophet who </w:t>
      </w:r>
      <w:r w:rsidR="0059352C">
        <w:rPr>
          <w:lang w:eastAsia="en-GB"/>
        </w:rPr>
        <w:t>recorded this in</w:t>
      </w:r>
      <w:r w:rsidRPr="00AA6982">
        <w:rPr>
          <w:lang w:eastAsia="en-GB"/>
        </w:rPr>
        <w:t xml:space="preserve"> 2 Samuel says: </w:t>
      </w:r>
      <w:r w:rsidR="000E2CE6">
        <w:rPr>
          <w:lang w:eastAsia="en-GB"/>
        </w:rPr>
        <w:t>“</w:t>
      </w:r>
      <w:r w:rsidRPr="00AA6982">
        <w:rPr>
          <w:lang w:eastAsia="en-GB"/>
        </w:rPr>
        <w:t>and these are the last words of David</w:t>
      </w:r>
      <w:r w:rsidR="000E2CE6">
        <w:rPr>
          <w:lang w:eastAsia="en-GB"/>
        </w:rPr>
        <w:t>”</w:t>
      </w:r>
      <w:r w:rsidRPr="00AA6982">
        <w:rPr>
          <w:lang w:eastAsia="en-GB"/>
        </w:rPr>
        <w:t xml:space="preserve"> and </w:t>
      </w:r>
      <w:r w:rsidR="0059352C">
        <w:rPr>
          <w:lang w:eastAsia="en-GB"/>
        </w:rPr>
        <w:t xml:space="preserve">he </w:t>
      </w:r>
      <w:r w:rsidRPr="00AA6982">
        <w:rPr>
          <w:lang w:eastAsia="en-GB"/>
        </w:rPr>
        <w:t>then r</w:t>
      </w:r>
      <w:r>
        <w:rPr>
          <w:lang w:eastAsia="en-GB"/>
        </w:rPr>
        <w:t>ecords David</w:t>
      </w:r>
      <w:r w:rsidR="000E2CE6">
        <w:rPr>
          <w:lang w:eastAsia="en-GB"/>
        </w:rPr>
        <w:t>’</w:t>
      </w:r>
      <w:r>
        <w:rPr>
          <w:lang w:eastAsia="en-GB"/>
        </w:rPr>
        <w:t>s words in 2 Sam</w:t>
      </w:r>
      <w:r w:rsidRPr="00AA6982">
        <w:rPr>
          <w:lang w:eastAsia="en-GB"/>
        </w:rPr>
        <w:t xml:space="preserve"> 23:1b-7. From this it follows that </w:t>
      </w:r>
      <w:r w:rsidR="000E2CE6">
        <w:rPr>
          <w:lang w:eastAsia="en-GB"/>
        </w:rPr>
        <w:t>“</w:t>
      </w:r>
      <w:r w:rsidRPr="00AA6982">
        <w:rPr>
          <w:lang w:eastAsia="en-GB"/>
        </w:rPr>
        <w:t>David the son of Jesse said…</w:t>
      </w:r>
      <w:r w:rsidR="000E2CE6">
        <w:rPr>
          <w:lang w:eastAsia="en-GB"/>
        </w:rPr>
        <w:t>”</w:t>
      </w:r>
      <w:r w:rsidRPr="00AA6982">
        <w:rPr>
          <w:lang w:eastAsia="en-GB"/>
        </w:rPr>
        <w:t xml:space="preserve"> is included in the last words of David</w:t>
      </w:r>
      <w:r w:rsidR="0059352C">
        <w:rPr>
          <w:rStyle w:val="FootnoteReference"/>
          <w:lang w:eastAsia="en-GB"/>
        </w:rPr>
        <w:footnoteReference w:id="66"/>
      </w:r>
      <w:r w:rsidRPr="00AA6982">
        <w:rPr>
          <w:sz w:val="13"/>
          <w:szCs w:val="13"/>
          <w:lang w:eastAsia="en-GB"/>
        </w:rPr>
        <w:t xml:space="preserve"> </w:t>
      </w:r>
      <w:r w:rsidRPr="00AA6982">
        <w:rPr>
          <w:lang w:eastAsia="en-GB"/>
        </w:rPr>
        <w:t xml:space="preserve">and </w:t>
      </w:r>
      <w:r w:rsidR="000E2CE6">
        <w:rPr>
          <w:lang w:eastAsia="en-GB"/>
        </w:rPr>
        <w:t>“</w:t>
      </w:r>
      <w:r w:rsidRPr="00AA6982">
        <w:rPr>
          <w:lang w:eastAsia="en-GB"/>
        </w:rPr>
        <w:t>David the son of Jesse</w:t>
      </w:r>
      <w:r w:rsidR="000E2CE6">
        <w:rPr>
          <w:lang w:eastAsia="en-GB"/>
        </w:rPr>
        <w:t>”</w:t>
      </w:r>
      <w:r w:rsidRPr="00AA6982">
        <w:rPr>
          <w:lang w:eastAsia="en-GB"/>
        </w:rPr>
        <w:t xml:space="preserve"> is an expression of self-reference by David.</w:t>
      </w:r>
    </w:p>
    <w:p w:rsidR="00AA6982" w:rsidRPr="00AA6982" w:rsidRDefault="00AA6982" w:rsidP="00AA6982">
      <w:pPr>
        <w:pStyle w:val="ListParagraph"/>
        <w:spacing w:line="240" w:lineRule="auto"/>
        <w:ind w:left="360"/>
        <w:rPr>
          <w:lang w:eastAsia="en-GB"/>
        </w:rPr>
      </w:pPr>
    </w:p>
    <w:p w:rsidR="00AA6982" w:rsidRDefault="00AA6982" w:rsidP="00936DFC">
      <w:pPr>
        <w:pStyle w:val="ListParagraph"/>
        <w:numPr>
          <w:ilvl w:val="0"/>
          <w:numId w:val="9"/>
        </w:numPr>
        <w:spacing w:line="240" w:lineRule="auto"/>
        <w:ind w:left="360"/>
        <w:rPr>
          <w:lang w:eastAsia="en-GB"/>
        </w:rPr>
      </w:pPr>
      <w:r w:rsidRPr="00AA6982">
        <w:rPr>
          <w:lang w:eastAsia="en-GB"/>
        </w:rPr>
        <w:t xml:space="preserve">Reinforcing this identification of </w:t>
      </w:r>
      <w:r w:rsidR="000E2CE6">
        <w:rPr>
          <w:lang w:eastAsia="en-GB"/>
        </w:rPr>
        <w:t>“</w:t>
      </w:r>
      <w:r w:rsidRPr="00AA6982">
        <w:rPr>
          <w:lang w:eastAsia="en-GB"/>
        </w:rPr>
        <w:t>David the son of Jesse</w:t>
      </w:r>
      <w:r w:rsidR="000E2CE6">
        <w:rPr>
          <w:lang w:eastAsia="en-GB"/>
        </w:rPr>
        <w:t>”</w:t>
      </w:r>
      <w:r w:rsidRPr="00AA6982">
        <w:rPr>
          <w:lang w:eastAsia="en-GB"/>
        </w:rPr>
        <w:t xml:space="preserve"> as words uttered by David is that both 2 Sam 23:1 and Ps 72:20 deal with an ending, with a completion. </w:t>
      </w:r>
      <w:r w:rsidR="000E2CE6">
        <w:rPr>
          <w:lang w:eastAsia="en-GB"/>
        </w:rPr>
        <w:t>“</w:t>
      </w:r>
      <w:r w:rsidRPr="00AA6982">
        <w:rPr>
          <w:lang w:eastAsia="en-GB"/>
        </w:rPr>
        <w:t>The last words of David</w:t>
      </w:r>
      <w:r w:rsidR="000E2CE6">
        <w:rPr>
          <w:lang w:eastAsia="en-GB"/>
        </w:rPr>
        <w:t>”</w:t>
      </w:r>
      <w:r w:rsidRPr="00AA6982">
        <w:rPr>
          <w:lang w:eastAsia="en-GB"/>
        </w:rPr>
        <w:t xml:space="preserve"> (2 Sa</w:t>
      </w:r>
      <w:r>
        <w:rPr>
          <w:lang w:eastAsia="en-GB"/>
        </w:rPr>
        <w:t>m</w:t>
      </w:r>
      <w:r w:rsidRPr="00AA6982">
        <w:rPr>
          <w:lang w:eastAsia="en-GB"/>
        </w:rPr>
        <w:t xml:space="preserve"> 23:1) resonates strongly with David speaking of another ending, the completion of his compilation of book 2 of the psalms.</w:t>
      </w:r>
    </w:p>
    <w:p w:rsidR="00AA6982" w:rsidRDefault="00AA6982" w:rsidP="00AA6982">
      <w:pPr>
        <w:rPr>
          <w:lang w:val="en-GB" w:eastAsia="en-GB"/>
        </w:rPr>
      </w:pPr>
      <w:r>
        <w:rPr>
          <w:lang w:val="en-GB" w:eastAsia="en-GB"/>
        </w:rPr>
        <w:t>But, as was mentioned earlier, even if it is conceded that the words of Ps 72:20 are the words of a later editor, this does not alter the conclusion that David compiled book 2 of the psalms before he slept with his fathers. The argument that shows this is as follows:</w:t>
      </w:r>
    </w:p>
    <w:p w:rsidR="00AA6982" w:rsidRDefault="00AA6982" w:rsidP="00AA6982">
      <w:pPr>
        <w:rPr>
          <w:lang w:val="en-GB" w:eastAsia="en-GB"/>
        </w:rPr>
      </w:pPr>
    </w:p>
    <w:p w:rsidR="00AA6982" w:rsidRDefault="00AA6982" w:rsidP="00936DFC">
      <w:pPr>
        <w:pStyle w:val="ListParagraph"/>
        <w:numPr>
          <w:ilvl w:val="0"/>
          <w:numId w:val="10"/>
        </w:numPr>
        <w:spacing w:line="240" w:lineRule="auto"/>
        <w:ind w:left="360"/>
        <w:rPr>
          <w:lang w:eastAsia="en-GB"/>
        </w:rPr>
      </w:pPr>
      <w:r>
        <w:rPr>
          <w:lang w:eastAsia="en-GB"/>
        </w:rPr>
        <w:t>The positioning of Ps</w:t>
      </w:r>
      <w:r w:rsidRPr="00AA6982">
        <w:rPr>
          <w:lang w:eastAsia="en-GB"/>
        </w:rPr>
        <w:t xml:space="preserve"> 72:20 after the closure of book 2 and referring to prayer</w:t>
      </w:r>
      <w:r w:rsidRPr="0059352C">
        <w:rPr>
          <w:rFonts w:cs="Helvetica-Bold"/>
          <w:b/>
          <w:bCs/>
          <w:u w:val="single"/>
          <w:lang w:eastAsia="en-GB"/>
        </w:rPr>
        <w:t>s</w:t>
      </w:r>
      <w:r w:rsidRPr="00AA6982">
        <w:rPr>
          <w:rFonts w:ascii="Helvetica-Bold" w:hAnsi="Helvetica-Bold" w:cs="Helvetica-Bold"/>
          <w:b/>
          <w:bCs/>
          <w:lang w:eastAsia="en-GB"/>
        </w:rPr>
        <w:t xml:space="preserve"> </w:t>
      </w:r>
      <w:r w:rsidRPr="00AA6982">
        <w:rPr>
          <w:lang w:eastAsia="en-GB"/>
        </w:rPr>
        <w:t xml:space="preserve">(plural) shows that this verse refers to at least all the psalms in the second book. The inclusion of psalms by the sons of Korah and </w:t>
      </w:r>
      <w:r w:rsidRPr="00AA6982">
        <w:rPr>
          <w:lang w:eastAsia="en-GB"/>
        </w:rPr>
        <w:lastRenderedPageBreak/>
        <w:t xml:space="preserve">Asaph requires that </w:t>
      </w:r>
      <w:r w:rsidR="000E2CE6">
        <w:rPr>
          <w:lang w:eastAsia="en-GB"/>
        </w:rPr>
        <w:t>“</w:t>
      </w:r>
      <w:r w:rsidRPr="00AA6982">
        <w:rPr>
          <w:lang w:eastAsia="en-GB"/>
        </w:rPr>
        <w:t>the prayers of David the son of Jesse are ended</w:t>
      </w:r>
      <w:r w:rsidR="000E2CE6">
        <w:rPr>
          <w:lang w:eastAsia="en-GB"/>
        </w:rPr>
        <w:t>”</w:t>
      </w:r>
      <w:r w:rsidRPr="00AA6982">
        <w:rPr>
          <w:lang w:eastAsia="en-GB"/>
        </w:rPr>
        <w:t xml:space="preserve"> speaks of the adoption of these psalms by David for his own prayers.</w:t>
      </w:r>
    </w:p>
    <w:p w:rsidR="00AA6982" w:rsidRPr="00AA6982" w:rsidRDefault="00AA6982" w:rsidP="00AA6982">
      <w:pPr>
        <w:pStyle w:val="ListParagraph"/>
        <w:spacing w:line="240" w:lineRule="auto"/>
        <w:ind w:left="360"/>
        <w:rPr>
          <w:lang w:eastAsia="en-GB"/>
        </w:rPr>
      </w:pPr>
    </w:p>
    <w:p w:rsidR="00AA6982" w:rsidRPr="00AA6982" w:rsidRDefault="00AA6982" w:rsidP="00936DFC">
      <w:pPr>
        <w:pStyle w:val="ListParagraph"/>
        <w:numPr>
          <w:ilvl w:val="0"/>
          <w:numId w:val="10"/>
        </w:numPr>
        <w:spacing w:line="240" w:lineRule="auto"/>
        <w:ind w:left="360"/>
        <w:rPr>
          <w:lang w:eastAsia="en-GB"/>
        </w:rPr>
      </w:pPr>
      <w:r w:rsidRPr="00AA6982">
        <w:rPr>
          <w:lang w:eastAsia="en-GB"/>
        </w:rPr>
        <w:t xml:space="preserve">Thus, even if </w:t>
      </w:r>
      <w:r w:rsidR="000E2CE6">
        <w:rPr>
          <w:lang w:eastAsia="en-GB"/>
        </w:rPr>
        <w:t>“</w:t>
      </w:r>
      <w:r w:rsidRPr="00AA6982">
        <w:rPr>
          <w:lang w:eastAsia="en-GB"/>
        </w:rPr>
        <w:t>the prayers of David the son of Jesse are ended</w:t>
      </w:r>
      <w:r w:rsidR="000E2CE6">
        <w:rPr>
          <w:lang w:eastAsia="en-GB"/>
        </w:rPr>
        <w:t>”</w:t>
      </w:r>
      <w:r w:rsidRPr="00AA6982">
        <w:rPr>
          <w:lang w:eastAsia="en-GB"/>
        </w:rPr>
        <w:t xml:space="preserve"> are the words of an editor other than and later than David, they still accurately record the fact that David compiled book 2 as his prayers.</w:t>
      </w:r>
    </w:p>
    <w:p w:rsidR="00AA6982" w:rsidRDefault="00AA6982" w:rsidP="00AA6982">
      <w:pPr>
        <w:rPr>
          <w:lang w:val="en-GB" w:eastAsia="en-GB"/>
        </w:rPr>
      </w:pPr>
      <w:r>
        <w:rPr>
          <w:lang w:val="en-GB" w:eastAsia="en-GB"/>
        </w:rPr>
        <w:t>We are left then with two possibilities; either:</w:t>
      </w:r>
    </w:p>
    <w:p w:rsidR="00AA6982" w:rsidRDefault="00AA6982" w:rsidP="00AA6982">
      <w:pPr>
        <w:rPr>
          <w:lang w:val="en-GB" w:eastAsia="en-GB"/>
        </w:rPr>
      </w:pPr>
    </w:p>
    <w:p w:rsidR="00AA6982" w:rsidRDefault="00AA6982" w:rsidP="00936DFC">
      <w:pPr>
        <w:pStyle w:val="ListParagraph"/>
        <w:numPr>
          <w:ilvl w:val="0"/>
          <w:numId w:val="11"/>
        </w:numPr>
        <w:spacing w:line="240" w:lineRule="auto"/>
        <w:ind w:left="360"/>
        <w:rPr>
          <w:lang w:eastAsia="en-GB"/>
        </w:rPr>
      </w:pPr>
      <w:r w:rsidRPr="00AA6982">
        <w:rPr>
          <w:lang w:eastAsia="en-GB"/>
        </w:rPr>
        <w:t>David adopted all of the psalms in book 2 for his prayers and this fact was recorded by another editor; or, as I argue</w:t>
      </w:r>
      <w:r>
        <w:rPr>
          <w:lang w:eastAsia="en-GB"/>
        </w:rPr>
        <w:t>,</w:t>
      </w:r>
    </w:p>
    <w:p w:rsidR="00AA6982" w:rsidRPr="00AA6982" w:rsidRDefault="00AA6982" w:rsidP="00AA6982">
      <w:pPr>
        <w:pStyle w:val="ListParagraph"/>
        <w:spacing w:line="240" w:lineRule="auto"/>
        <w:ind w:left="360"/>
        <w:rPr>
          <w:lang w:eastAsia="en-GB"/>
        </w:rPr>
      </w:pPr>
    </w:p>
    <w:p w:rsidR="00AA6982" w:rsidRPr="00AA6982" w:rsidRDefault="00AA6982" w:rsidP="00936DFC">
      <w:pPr>
        <w:pStyle w:val="ListParagraph"/>
        <w:numPr>
          <w:ilvl w:val="0"/>
          <w:numId w:val="11"/>
        </w:numPr>
        <w:spacing w:line="240" w:lineRule="auto"/>
        <w:ind w:left="360"/>
        <w:rPr>
          <w:lang w:eastAsia="en-GB"/>
        </w:rPr>
      </w:pPr>
      <w:r w:rsidRPr="00AA6982">
        <w:rPr>
          <w:lang w:eastAsia="en-GB"/>
        </w:rPr>
        <w:t>David wrote the words of Ps 72:20 upon completion of his compilation of book 2, having including psalms by the sons of Korah, Asaph, Solomon and himself.</w:t>
      </w:r>
    </w:p>
    <w:p w:rsidR="0059352C" w:rsidRDefault="00AA6982" w:rsidP="00AA6982">
      <w:pPr>
        <w:rPr>
          <w:lang w:val="en-GB" w:eastAsia="en-GB"/>
        </w:rPr>
      </w:pPr>
      <w:r>
        <w:rPr>
          <w:lang w:val="en-GB" w:eastAsia="en-GB"/>
        </w:rPr>
        <w:t>In either case, the compilation of book 2 was David</w:t>
      </w:r>
      <w:r w:rsidR="000E2CE6">
        <w:rPr>
          <w:lang w:val="en-GB" w:eastAsia="en-GB"/>
        </w:rPr>
        <w:t>’</w:t>
      </w:r>
      <w:r>
        <w:rPr>
          <w:lang w:val="en-GB" w:eastAsia="en-GB"/>
        </w:rPr>
        <w:t>s work in fellowship with God, after Adonijah</w:t>
      </w:r>
      <w:r w:rsidR="000E2CE6">
        <w:rPr>
          <w:lang w:val="en-GB" w:eastAsia="en-GB"/>
        </w:rPr>
        <w:t>’</w:t>
      </w:r>
      <w:r>
        <w:rPr>
          <w:lang w:val="en-GB" w:eastAsia="en-GB"/>
        </w:rPr>
        <w:t>s rebellion. And, yielding far-reaching consequences, all of the psalms in the book pre-date David</w:t>
      </w:r>
      <w:r w:rsidR="000E2CE6">
        <w:rPr>
          <w:lang w:val="en-GB" w:eastAsia="en-GB"/>
        </w:rPr>
        <w:t>’</w:t>
      </w:r>
      <w:r>
        <w:rPr>
          <w:lang w:val="en-GB" w:eastAsia="en-GB"/>
        </w:rPr>
        <w:t>s death.</w:t>
      </w:r>
    </w:p>
    <w:p w:rsidR="0059352C" w:rsidRDefault="0059352C" w:rsidP="00AA6982">
      <w:pPr>
        <w:rPr>
          <w:lang w:val="en-GB" w:eastAsia="en-GB"/>
        </w:rPr>
      </w:pPr>
    </w:p>
    <w:p w:rsidR="0059352C" w:rsidRPr="0059352C" w:rsidRDefault="0059352C" w:rsidP="0059352C">
      <w:pPr>
        <w:autoSpaceDE w:val="0"/>
        <w:autoSpaceDN w:val="0"/>
        <w:adjustRightInd w:val="0"/>
        <w:jc w:val="left"/>
        <w:rPr>
          <w:rFonts w:ascii="Bradley Hand ITC" w:hAnsi="Bradley Hand ITC" w:cs="Helvetica-Bold"/>
          <w:b/>
          <w:bCs/>
          <w:color w:val="auto"/>
          <w:sz w:val="28"/>
          <w:szCs w:val="28"/>
          <w:lang w:val="en-GB" w:eastAsia="en-GB"/>
        </w:rPr>
      </w:pPr>
      <w:r>
        <w:rPr>
          <w:rFonts w:ascii="Bradley Hand ITC" w:hAnsi="Bradley Hand ITC" w:cs="Helvetica-Bold"/>
          <w:b/>
          <w:bCs/>
          <w:color w:val="auto"/>
          <w:sz w:val="28"/>
          <w:szCs w:val="28"/>
          <w:lang w:val="en-GB" w:eastAsia="en-GB"/>
        </w:rPr>
        <w:t>C</w:t>
      </w:r>
      <w:r w:rsidRPr="0059352C">
        <w:rPr>
          <w:rFonts w:ascii="Bradley Hand ITC" w:hAnsi="Bradley Hand ITC" w:cs="Helvetica-Bold"/>
          <w:b/>
          <w:bCs/>
          <w:color w:val="auto"/>
          <w:sz w:val="28"/>
          <w:szCs w:val="28"/>
          <w:lang w:val="en-GB" w:eastAsia="en-GB"/>
        </w:rPr>
        <w:t>hronology</w:t>
      </w:r>
    </w:p>
    <w:p w:rsidR="0059352C" w:rsidRDefault="0059352C" w:rsidP="0059352C">
      <w:pPr>
        <w:rPr>
          <w:lang w:val="en-GB" w:eastAsia="en-GB"/>
        </w:rPr>
      </w:pPr>
      <w:r>
        <w:rPr>
          <w:lang w:val="en-GB" w:eastAsia="en-GB"/>
        </w:rPr>
        <w:t>Psalms 42-50 are often expounded against historical settings long after David</w:t>
      </w:r>
      <w:r w:rsidR="000E2CE6">
        <w:rPr>
          <w:lang w:val="en-GB" w:eastAsia="en-GB"/>
        </w:rPr>
        <w:t>’</w:t>
      </w:r>
      <w:r>
        <w:rPr>
          <w:lang w:val="en-GB" w:eastAsia="en-GB"/>
        </w:rPr>
        <w:t>s death, commonly (though not exclusively) during the reign of Hezekiah. Psalm 45, for example, is expounded, other than within its prophetic significance of Christ and his bride, as a record of a joyous ceremony related either to the marriage of Hezekiah and Hephzibah or to the marriage of Solomon and Pharaoh</w:t>
      </w:r>
      <w:r w:rsidR="000E2CE6">
        <w:rPr>
          <w:lang w:val="en-GB" w:eastAsia="en-GB"/>
        </w:rPr>
        <w:t>’</w:t>
      </w:r>
      <w:r>
        <w:rPr>
          <w:lang w:val="en-GB" w:eastAsia="en-GB"/>
        </w:rPr>
        <w:t>s daughter. But the meaning of Ps 72:20 shows that neither of these interpretations can be correct.</w:t>
      </w:r>
    </w:p>
    <w:p w:rsidR="0059352C" w:rsidRDefault="0059352C" w:rsidP="0059352C">
      <w:pPr>
        <w:rPr>
          <w:rFonts w:ascii="Helvetica" w:hAnsi="Helvetica" w:cs="Helvetica"/>
          <w:color w:val="auto"/>
          <w:sz w:val="20"/>
          <w:szCs w:val="20"/>
          <w:lang w:val="en-GB" w:eastAsia="en-GB"/>
        </w:rPr>
      </w:pPr>
    </w:p>
    <w:p w:rsidR="0059352C" w:rsidRPr="00B21F3B" w:rsidRDefault="00B21F3B" w:rsidP="0059352C">
      <w:pPr>
        <w:autoSpaceDE w:val="0"/>
        <w:autoSpaceDN w:val="0"/>
        <w:adjustRightInd w:val="0"/>
        <w:jc w:val="left"/>
        <w:rPr>
          <w:rFonts w:ascii="Bradley Hand ITC" w:hAnsi="Bradley Hand ITC" w:cs="Helvetica-BoldOblique"/>
          <w:b/>
          <w:bCs/>
          <w:iCs/>
          <w:color w:val="auto"/>
          <w:sz w:val="28"/>
          <w:szCs w:val="28"/>
          <w:lang w:val="en-GB" w:eastAsia="en-GB"/>
        </w:rPr>
      </w:pPr>
      <w:r>
        <w:rPr>
          <w:rFonts w:ascii="Bradley Hand ITC" w:hAnsi="Bradley Hand ITC" w:cs="Helvetica-BoldOblique"/>
          <w:b/>
          <w:bCs/>
          <w:iCs/>
          <w:color w:val="auto"/>
          <w:sz w:val="28"/>
          <w:szCs w:val="28"/>
          <w:lang w:val="en-GB" w:eastAsia="en-GB"/>
        </w:rPr>
        <w:t>Old and Stricken in Y</w:t>
      </w:r>
      <w:r w:rsidR="0059352C" w:rsidRPr="00B21F3B">
        <w:rPr>
          <w:rFonts w:ascii="Bradley Hand ITC" w:hAnsi="Bradley Hand ITC" w:cs="Helvetica-BoldOblique"/>
          <w:b/>
          <w:bCs/>
          <w:iCs/>
          <w:color w:val="auto"/>
          <w:sz w:val="28"/>
          <w:szCs w:val="28"/>
          <w:lang w:val="en-GB" w:eastAsia="en-GB"/>
        </w:rPr>
        <w:t>ears</w:t>
      </w:r>
    </w:p>
    <w:p w:rsidR="00B21F3B" w:rsidRDefault="0059352C" w:rsidP="0059352C">
      <w:pPr>
        <w:rPr>
          <w:lang w:val="en-GB" w:eastAsia="en-GB"/>
        </w:rPr>
      </w:pPr>
      <w:r w:rsidRPr="0059352C">
        <w:rPr>
          <w:lang w:val="en-GB" w:eastAsia="en-GB"/>
        </w:rPr>
        <w:t xml:space="preserve">The rebellion of Adonijah took place when David was </w:t>
      </w:r>
      <w:r w:rsidR="000E2CE6">
        <w:rPr>
          <w:lang w:val="en-GB" w:eastAsia="en-GB"/>
        </w:rPr>
        <w:t>“</w:t>
      </w:r>
      <w:r w:rsidRPr="0059352C">
        <w:rPr>
          <w:lang w:val="en-GB" w:eastAsia="en-GB"/>
        </w:rPr>
        <w:t xml:space="preserve">old and stricken in years… and… he </w:t>
      </w:r>
      <w:r w:rsidR="00B21F3B">
        <w:rPr>
          <w:lang w:val="en-GB" w:eastAsia="en-GB"/>
        </w:rPr>
        <w:t>got no heat</w:t>
      </w:r>
      <w:r w:rsidR="000E2CE6">
        <w:rPr>
          <w:lang w:val="en-GB" w:eastAsia="en-GB"/>
        </w:rPr>
        <w:t>”</w:t>
      </w:r>
      <w:r w:rsidR="00B21F3B">
        <w:rPr>
          <w:lang w:val="en-GB" w:eastAsia="en-GB"/>
        </w:rPr>
        <w:t xml:space="preserve"> (1 Kgs</w:t>
      </w:r>
      <w:r w:rsidRPr="0059352C">
        <w:rPr>
          <w:lang w:val="en-GB" w:eastAsia="en-GB"/>
        </w:rPr>
        <w:t xml:space="preserve"> 1:1): a frailty borne not just of age, no doubt, but also from the years of privations when he was persecuted by Saul and three thousand men, including in the waterless deserts of Judah, and from the severe, life-threatening illnesses he had suffered, as evidenced in the psalms. And yet, David raised himself from this debilitating weakness </w:t>
      </w:r>
      <w:r w:rsidR="000E2CE6">
        <w:rPr>
          <w:lang w:val="en-GB" w:eastAsia="en-GB"/>
        </w:rPr>
        <w:t>“</w:t>
      </w:r>
      <w:r w:rsidRPr="0059352C">
        <w:rPr>
          <w:lang w:val="en-GB" w:eastAsia="en-GB"/>
        </w:rPr>
        <w:t>in the strength of the Lord God</w:t>
      </w:r>
      <w:r w:rsidR="000E2CE6">
        <w:rPr>
          <w:lang w:val="en-GB" w:eastAsia="en-GB"/>
        </w:rPr>
        <w:t>”</w:t>
      </w:r>
      <w:r w:rsidRPr="0059352C">
        <w:rPr>
          <w:lang w:val="en-GB" w:eastAsia="en-GB"/>
        </w:rPr>
        <w:t xml:space="preserve"> (Ps 71:16) that he might bring to remembrance </w:t>
      </w:r>
      <w:r w:rsidRPr="0059352C">
        <w:rPr>
          <w:lang w:val="en-GB" w:eastAsia="en-GB"/>
        </w:rPr>
        <w:lastRenderedPageBreak/>
        <w:t>the Lord</w:t>
      </w:r>
      <w:r w:rsidR="000E2CE6">
        <w:rPr>
          <w:lang w:val="en-GB" w:eastAsia="en-GB"/>
        </w:rPr>
        <w:t>’</w:t>
      </w:r>
      <w:r w:rsidRPr="0059352C">
        <w:rPr>
          <w:lang w:val="en-GB" w:eastAsia="en-GB"/>
        </w:rPr>
        <w:t xml:space="preserve">s righteousness and show his strength to that generation and that he might show his power </w:t>
      </w:r>
      <w:r w:rsidR="000E2CE6">
        <w:rPr>
          <w:lang w:val="en-GB" w:eastAsia="en-GB"/>
        </w:rPr>
        <w:t>“</w:t>
      </w:r>
      <w:r w:rsidRPr="0059352C">
        <w:rPr>
          <w:lang w:val="en-GB" w:eastAsia="en-GB"/>
        </w:rPr>
        <w:t xml:space="preserve">to </w:t>
      </w:r>
      <w:proofErr w:type="spellStart"/>
      <w:r w:rsidRPr="0059352C">
        <w:rPr>
          <w:lang w:val="en-GB" w:eastAsia="en-GB"/>
        </w:rPr>
        <w:t>every one</w:t>
      </w:r>
      <w:proofErr w:type="spellEnd"/>
      <w:r w:rsidRPr="0059352C">
        <w:rPr>
          <w:lang w:val="en-GB" w:eastAsia="en-GB"/>
        </w:rPr>
        <w:t xml:space="preserve"> that is to come</w:t>
      </w:r>
      <w:r w:rsidR="000E2CE6">
        <w:rPr>
          <w:lang w:val="en-GB" w:eastAsia="en-GB"/>
        </w:rPr>
        <w:t>”</w:t>
      </w:r>
      <w:r w:rsidRPr="0059352C">
        <w:rPr>
          <w:lang w:val="en-GB" w:eastAsia="en-GB"/>
        </w:rPr>
        <w:t xml:space="preserve"> (Ps 71:16,</w:t>
      </w:r>
      <w:r w:rsidR="00B21F3B">
        <w:rPr>
          <w:lang w:val="en-GB" w:eastAsia="en-GB"/>
        </w:rPr>
        <w:t xml:space="preserve"> </w:t>
      </w:r>
      <w:r w:rsidRPr="0059352C">
        <w:rPr>
          <w:lang w:val="en-GB" w:eastAsia="en-GB"/>
        </w:rPr>
        <w:t xml:space="preserve">18). </w:t>
      </w:r>
    </w:p>
    <w:p w:rsidR="00B21F3B" w:rsidRDefault="00B21F3B" w:rsidP="0059352C">
      <w:pPr>
        <w:rPr>
          <w:lang w:val="en-GB" w:eastAsia="en-GB"/>
        </w:rPr>
      </w:pPr>
    </w:p>
    <w:p w:rsidR="0059352C" w:rsidRPr="0059352C" w:rsidRDefault="0059352C" w:rsidP="0059352C">
      <w:pPr>
        <w:rPr>
          <w:lang w:val="en-GB" w:eastAsia="en-GB"/>
        </w:rPr>
      </w:pPr>
      <w:r w:rsidRPr="0059352C">
        <w:rPr>
          <w:lang w:val="en-GB" w:eastAsia="en-GB"/>
        </w:rPr>
        <w:t xml:space="preserve">The fruit of this activity is seen, at least, in this second book of psalms: raised from his debilitated state, David worked in fellowship with the Lord to compile this book of psalms for that generation and for every one that was to come, </w:t>
      </w:r>
      <w:r w:rsidRPr="0059352C">
        <w:rPr>
          <w:rFonts w:cs="Helvetica-Bold"/>
          <w:b/>
          <w:bCs/>
          <w:lang w:val="en-GB" w:eastAsia="en-GB"/>
        </w:rPr>
        <w:t>for us</w:t>
      </w:r>
      <w:r w:rsidRPr="0059352C">
        <w:rPr>
          <w:lang w:val="en-GB" w:eastAsia="en-GB"/>
        </w:rPr>
        <w:t>. Even during the final months of David</w:t>
      </w:r>
      <w:r w:rsidR="000E2CE6">
        <w:rPr>
          <w:lang w:val="en-GB" w:eastAsia="en-GB"/>
        </w:rPr>
        <w:t>’</w:t>
      </w:r>
      <w:r w:rsidRPr="0059352C">
        <w:rPr>
          <w:lang w:val="en-GB" w:eastAsia="en-GB"/>
        </w:rPr>
        <w:t xml:space="preserve">s life when he was old and grey-headed (Ps 71:18), quite apart from the immense work recorded in 1 Chronicles 23-29, the sweet psalmist of Israel produced this book of psalms for our profit and so that we might sing praises to the Lord. How do we envision our later years? Do we envision a life of increasing leisure? The prevalent talk of </w:t>
      </w:r>
      <w:r w:rsidR="000E2CE6">
        <w:rPr>
          <w:lang w:val="en-GB" w:eastAsia="en-GB"/>
        </w:rPr>
        <w:t>“</w:t>
      </w:r>
      <w:r w:rsidRPr="0059352C">
        <w:rPr>
          <w:lang w:val="en-GB" w:eastAsia="en-GB"/>
        </w:rPr>
        <w:t>retirement</w:t>
      </w:r>
      <w:r w:rsidR="000E2CE6">
        <w:rPr>
          <w:lang w:val="en-GB" w:eastAsia="en-GB"/>
        </w:rPr>
        <w:t>”</w:t>
      </w:r>
      <w:r w:rsidRPr="0059352C">
        <w:rPr>
          <w:lang w:val="en-GB" w:eastAsia="en-GB"/>
        </w:rPr>
        <w:t>, particularly in the developed world and in advanced economies, is a powerful pressure on our expectations of that which we anticipate for our later years. Yet, whilst the world talks of retirement, scripture speaks of finishing the course (2 Ti</w:t>
      </w:r>
      <w:r w:rsidR="00B21F3B">
        <w:rPr>
          <w:lang w:val="en-GB" w:eastAsia="en-GB"/>
        </w:rPr>
        <w:t>m</w:t>
      </w:r>
      <w:r w:rsidRPr="0059352C">
        <w:rPr>
          <w:lang w:val="en-GB" w:eastAsia="en-GB"/>
        </w:rPr>
        <w:t xml:space="preserve"> 4:7); this is certainly what David, one of scripture</w:t>
      </w:r>
      <w:r w:rsidR="000E2CE6">
        <w:rPr>
          <w:lang w:val="en-GB" w:eastAsia="en-GB"/>
        </w:rPr>
        <w:t>’</w:t>
      </w:r>
      <w:r w:rsidRPr="0059352C">
        <w:rPr>
          <w:lang w:val="en-GB" w:eastAsia="en-GB"/>
        </w:rPr>
        <w:t xml:space="preserve">s faithful </w:t>
      </w:r>
      <w:proofErr w:type="gramStart"/>
      <w:r w:rsidRPr="0059352C">
        <w:rPr>
          <w:lang w:val="en-GB" w:eastAsia="en-GB"/>
        </w:rPr>
        <w:t>cloud</w:t>
      </w:r>
      <w:proofErr w:type="gramEnd"/>
      <w:r w:rsidRPr="0059352C">
        <w:rPr>
          <w:lang w:val="en-GB" w:eastAsia="en-GB"/>
        </w:rPr>
        <w:t xml:space="preserve"> of witnesses, did.</w:t>
      </w:r>
    </w:p>
    <w:p w:rsidR="0059352C" w:rsidRDefault="0059352C" w:rsidP="0059352C">
      <w:pPr>
        <w:rPr>
          <w:lang w:val="en-GB" w:eastAsia="en-GB"/>
        </w:rPr>
      </w:pPr>
    </w:p>
    <w:p w:rsidR="007B5262" w:rsidRDefault="0059352C" w:rsidP="0059352C">
      <w:pPr>
        <w:rPr>
          <w:lang w:val="en-GB" w:eastAsia="en-GB"/>
        </w:rPr>
      </w:pPr>
      <w:r>
        <w:rPr>
          <w:lang w:val="en-GB" w:eastAsia="en-GB"/>
        </w:rPr>
        <w:t xml:space="preserve">How do we envision our later years? Do we envision working </w:t>
      </w:r>
      <w:r w:rsidR="000E2CE6">
        <w:rPr>
          <w:lang w:val="en-GB" w:eastAsia="en-GB"/>
        </w:rPr>
        <w:t>“</w:t>
      </w:r>
      <w:r>
        <w:rPr>
          <w:lang w:val="en-GB" w:eastAsia="en-GB"/>
        </w:rPr>
        <w:t xml:space="preserve">all the </w:t>
      </w:r>
      <w:proofErr w:type="spellStart"/>
      <w:r>
        <w:rPr>
          <w:lang w:val="en-GB" w:eastAsia="en-GB"/>
        </w:rPr>
        <w:t>day long</w:t>
      </w:r>
      <w:proofErr w:type="spellEnd"/>
      <w:r w:rsidR="000E2CE6">
        <w:rPr>
          <w:lang w:val="en-GB" w:eastAsia="en-GB"/>
        </w:rPr>
        <w:t>”</w:t>
      </w:r>
      <w:r>
        <w:rPr>
          <w:lang w:val="en-GB" w:eastAsia="en-GB"/>
        </w:rPr>
        <w:t xml:space="preserve"> (Ps 71:24) to bring to remembrance the Lord</w:t>
      </w:r>
      <w:r w:rsidR="000E2CE6">
        <w:rPr>
          <w:lang w:val="en-GB" w:eastAsia="en-GB"/>
        </w:rPr>
        <w:t>’</w:t>
      </w:r>
      <w:r>
        <w:rPr>
          <w:lang w:val="en-GB" w:eastAsia="en-GB"/>
        </w:rPr>
        <w:t>s righteousness and to show his strength to our generation? Or do we think we will leave that to others?</w:t>
      </w:r>
    </w:p>
    <w:p w:rsidR="00E47CC8" w:rsidRDefault="00E47CC8" w:rsidP="002315A8">
      <w:pPr>
        <w:jc w:val="center"/>
        <w:rPr>
          <w:rFonts w:ascii="Bradley Hand ITC" w:hAnsi="Bradley Hand ITC"/>
          <w:b/>
          <w:sz w:val="28"/>
        </w:rPr>
      </w:pPr>
    </w:p>
    <w:p w:rsidR="003B6934" w:rsidRPr="002315A8" w:rsidRDefault="002315A8" w:rsidP="002315A8">
      <w:pPr>
        <w:jc w:val="center"/>
        <w:rPr>
          <w:rFonts w:ascii="Bradley Hand ITC" w:hAnsi="Bradley Hand ITC"/>
          <w:b/>
          <w:sz w:val="28"/>
        </w:rPr>
      </w:pPr>
      <w:r w:rsidRPr="002315A8">
        <w:rPr>
          <w:rFonts w:ascii="Bradley Hand ITC" w:hAnsi="Bradley Hand ITC"/>
          <w:b/>
          <w:sz w:val="28"/>
        </w:rPr>
        <w:t>Arius (2)</w:t>
      </w:r>
    </w:p>
    <w:p w:rsidR="002315A8" w:rsidRPr="002315A8" w:rsidRDefault="002315A8" w:rsidP="002315A8">
      <w:pPr>
        <w:jc w:val="center"/>
        <w:rPr>
          <w:rFonts w:ascii="Bradley Hand ITC" w:hAnsi="Bradley Hand ITC"/>
          <w:b/>
          <w:sz w:val="28"/>
        </w:rPr>
      </w:pPr>
      <w:r w:rsidRPr="002315A8">
        <w:rPr>
          <w:rFonts w:ascii="Bradley Hand ITC" w:hAnsi="Bradley Hand ITC"/>
          <w:b/>
          <w:sz w:val="28"/>
        </w:rPr>
        <w:t>D. Burke</w:t>
      </w:r>
    </w:p>
    <w:p w:rsidR="002315A8" w:rsidRPr="002315A8" w:rsidRDefault="002315A8">
      <w:pPr>
        <w:jc w:val="left"/>
      </w:pPr>
    </w:p>
    <w:p w:rsidR="002315A8" w:rsidRPr="002315A8" w:rsidRDefault="000F1348" w:rsidP="000F1348">
      <w:pPr>
        <w:rPr>
          <w:rFonts w:cs="Times New Roman"/>
          <w:lang w:eastAsia="en-AU"/>
        </w:rPr>
      </w:pPr>
      <w:r w:rsidRPr="002315A8">
        <w:rPr>
          <w:rFonts w:cs="Times New Roman"/>
          <w:lang w:eastAsia="en-AU"/>
        </w:rPr>
        <w:t>Born in Libya around AD 250, Arius had studied at the feet of Lucian, presbyter of Antioch, who was later martyred for his faith. Lucian himself had studied under Paul of Samosata at one time, but had not embraced his Christology. Instead</w:t>
      </w:r>
      <w:r w:rsidR="002315A8">
        <w:rPr>
          <w:rFonts w:cs="Times New Roman"/>
          <w:lang w:eastAsia="en-AU"/>
        </w:rPr>
        <w:t>,</w:t>
      </w:r>
      <w:r w:rsidRPr="002315A8">
        <w:rPr>
          <w:rFonts w:cs="Times New Roman"/>
          <w:lang w:eastAsia="en-AU"/>
        </w:rPr>
        <w:t xml:space="preserve"> he followed in the footsteps of Justin Martyr and Origen, seeing the Son of God as a superlative divine being, yet something less than God Himself.</w:t>
      </w:r>
    </w:p>
    <w:p w:rsidR="006C2AE4" w:rsidRDefault="000F1348" w:rsidP="000F1348">
      <w:pPr>
        <w:rPr>
          <w:rFonts w:cs="Times New Roman"/>
          <w:lang w:eastAsia="en-AU"/>
        </w:rPr>
      </w:pPr>
      <w:r w:rsidRPr="006C2AE4">
        <w:rPr>
          <w:rFonts w:cs="Times New Roman"/>
          <w:lang w:eastAsia="en-AU"/>
        </w:rPr>
        <w:br/>
        <w:t>Origen</w:t>
      </w:r>
      <w:r w:rsidR="000E2CE6">
        <w:rPr>
          <w:rFonts w:cs="Times New Roman"/>
          <w:lang w:eastAsia="en-AU"/>
        </w:rPr>
        <w:t>’</w:t>
      </w:r>
      <w:r w:rsidRPr="006C2AE4">
        <w:rPr>
          <w:rFonts w:cs="Times New Roman"/>
          <w:lang w:eastAsia="en-AU"/>
        </w:rPr>
        <w:t>s Christology provides some of the terms and definitions which Arius would later use</w:t>
      </w:r>
      <w:r w:rsidR="006C2AE4">
        <w:rPr>
          <w:rFonts w:cs="Times New Roman"/>
          <w:lang w:eastAsia="en-AU"/>
        </w:rPr>
        <w:t xml:space="preserve"> (n</w:t>
      </w:r>
      <w:r w:rsidRPr="006C2AE4">
        <w:rPr>
          <w:rFonts w:cs="Times New Roman"/>
          <w:lang w:eastAsia="en-AU"/>
        </w:rPr>
        <w:t xml:space="preserve">ote the idiosyncratic reference to </w:t>
      </w:r>
      <w:r w:rsidR="000E2CE6">
        <w:rPr>
          <w:rFonts w:cs="Times New Roman"/>
          <w:lang w:eastAsia="en-AU"/>
        </w:rPr>
        <w:t>‘</w:t>
      </w:r>
      <w:r w:rsidRPr="006C2AE4">
        <w:rPr>
          <w:rFonts w:cs="Times New Roman"/>
          <w:lang w:eastAsia="en-AU"/>
        </w:rPr>
        <w:t>two gods</w:t>
      </w:r>
      <w:r w:rsidR="000E2CE6">
        <w:rPr>
          <w:rFonts w:cs="Times New Roman"/>
          <w:lang w:eastAsia="en-AU"/>
        </w:rPr>
        <w:t>’</w:t>
      </w:r>
      <w:r w:rsidR="006C2AE4">
        <w:rPr>
          <w:rFonts w:cs="Times New Roman"/>
          <w:lang w:eastAsia="en-AU"/>
        </w:rPr>
        <w:t xml:space="preserve"> below).</w:t>
      </w:r>
      <w:r w:rsidRPr="006C2AE4">
        <w:rPr>
          <w:rFonts w:cs="Times New Roman"/>
          <w:lang w:eastAsia="en-AU"/>
        </w:rPr>
        <w:t xml:space="preserve"> Arians had no difficulty referring to Christ as </w:t>
      </w:r>
      <w:r w:rsidR="000E2CE6">
        <w:rPr>
          <w:rFonts w:cs="Times New Roman"/>
          <w:lang w:eastAsia="en-AU"/>
        </w:rPr>
        <w:t>‘</w:t>
      </w:r>
      <w:r w:rsidRPr="006C2AE4">
        <w:rPr>
          <w:rFonts w:cs="Times New Roman"/>
          <w:lang w:eastAsia="en-AU"/>
        </w:rPr>
        <w:t>God</w:t>
      </w:r>
      <w:r w:rsidR="000E2CE6">
        <w:rPr>
          <w:rFonts w:cs="Times New Roman"/>
          <w:lang w:eastAsia="en-AU"/>
        </w:rPr>
        <w:t>’</w:t>
      </w:r>
      <w:r w:rsidRPr="006C2AE4">
        <w:rPr>
          <w:rFonts w:cs="Times New Roman"/>
          <w:lang w:eastAsia="en-AU"/>
        </w:rPr>
        <w:t xml:space="preserve"> in the sense of a divine being ontologically distinct from the Father; to their minds, this did not compromise monotheism:</w:t>
      </w:r>
    </w:p>
    <w:p w:rsidR="00FE2A32" w:rsidRPr="006C2AE4" w:rsidRDefault="00FE2A32" w:rsidP="000F1348">
      <w:pPr>
        <w:rPr>
          <w:rFonts w:cs="Times New Roman"/>
          <w:lang w:eastAsia="en-AU"/>
        </w:rPr>
      </w:pPr>
    </w:p>
    <w:p w:rsidR="006C2AE4" w:rsidRPr="006C2AE4" w:rsidRDefault="000F1348" w:rsidP="007915FF">
      <w:pPr>
        <w:ind w:left="284"/>
        <w:rPr>
          <w:rFonts w:cs="Times New Roman"/>
          <w:lang w:eastAsia="en-AU"/>
        </w:rPr>
      </w:pPr>
      <w:r w:rsidRPr="006C2AE4">
        <w:rPr>
          <w:rFonts w:cs="Times New Roman"/>
          <w:b/>
          <w:iCs/>
          <w:lang w:eastAsia="en-AU"/>
        </w:rPr>
        <w:lastRenderedPageBreak/>
        <w:t>Origen:</w:t>
      </w:r>
      <w:r w:rsidRPr="006C2AE4">
        <w:rPr>
          <w:rFonts w:cs="Times New Roman"/>
          <w:lang w:eastAsia="en-AU"/>
        </w:rPr>
        <w:t xml:space="preserve"> Is the Father God?</w:t>
      </w:r>
    </w:p>
    <w:p w:rsidR="006C2AE4" w:rsidRPr="006C2AE4" w:rsidRDefault="000F1348" w:rsidP="006C2AE4">
      <w:pPr>
        <w:ind w:left="284"/>
        <w:rPr>
          <w:rFonts w:cs="Times New Roman"/>
          <w:lang w:eastAsia="en-AU"/>
        </w:rPr>
      </w:pPr>
      <w:r w:rsidRPr="006C2AE4">
        <w:rPr>
          <w:rFonts w:cs="Times New Roman"/>
          <w:b/>
          <w:iCs/>
          <w:lang w:eastAsia="en-AU"/>
        </w:rPr>
        <w:t>Heraclides:</w:t>
      </w:r>
      <w:r w:rsidRPr="006C2AE4">
        <w:rPr>
          <w:rFonts w:cs="Times New Roman"/>
          <w:lang w:eastAsia="en-AU"/>
        </w:rPr>
        <w:t xml:space="preserve"> Assuredly.</w:t>
      </w:r>
    </w:p>
    <w:p w:rsidR="006C2AE4" w:rsidRPr="006C2AE4" w:rsidRDefault="000F1348" w:rsidP="006C2AE4">
      <w:pPr>
        <w:ind w:left="284"/>
        <w:rPr>
          <w:rFonts w:cs="Times New Roman"/>
          <w:lang w:eastAsia="en-AU"/>
        </w:rPr>
      </w:pPr>
      <w:r w:rsidRPr="006C2AE4">
        <w:rPr>
          <w:rFonts w:cs="Times New Roman"/>
          <w:b/>
          <w:iCs/>
          <w:lang w:eastAsia="en-AU"/>
        </w:rPr>
        <w:t>Origen:</w:t>
      </w:r>
      <w:r w:rsidRPr="006C2AE4">
        <w:rPr>
          <w:rFonts w:cs="Times New Roman"/>
          <w:lang w:eastAsia="en-AU"/>
        </w:rPr>
        <w:t xml:space="preserve"> Is the Son distinct from the Father?</w:t>
      </w:r>
    </w:p>
    <w:p w:rsidR="006C2AE4" w:rsidRPr="006C2AE4" w:rsidRDefault="000F1348" w:rsidP="006C2AE4">
      <w:pPr>
        <w:ind w:left="284"/>
        <w:rPr>
          <w:rFonts w:cs="Times New Roman"/>
          <w:lang w:eastAsia="en-AU"/>
        </w:rPr>
      </w:pPr>
      <w:r w:rsidRPr="006C2AE4">
        <w:rPr>
          <w:rFonts w:cs="Times New Roman"/>
          <w:b/>
          <w:iCs/>
          <w:lang w:eastAsia="en-AU"/>
        </w:rPr>
        <w:t>Heraclides:</w:t>
      </w:r>
      <w:r w:rsidRPr="006C2AE4">
        <w:rPr>
          <w:rFonts w:cs="Times New Roman"/>
          <w:lang w:eastAsia="en-AU"/>
        </w:rPr>
        <w:t xml:space="preserve"> Of course. How can he be Son if he is also Father?</w:t>
      </w:r>
    </w:p>
    <w:p w:rsidR="006C2AE4" w:rsidRPr="006C2AE4" w:rsidRDefault="000F1348" w:rsidP="006C2AE4">
      <w:pPr>
        <w:ind w:left="284"/>
        <w:rPr>
          <w:rFonts w:cs="Times New Roman"/>
          <w:lang w:eastAsia="en-AU"/>
        </w:rPr>
      </w:pPr>
      <w:r w:rsidRPr="006C2AE4">
        <w:rPr>
          <w:rFonts w:cs="Times New Roman"/>
          <w:b/>
          <w:iCs/>
          <w:lang w:eastAsia="en-AU"/>
        </w:rPr>
        <w:t>Origen:</w:t>
      </w:r>
      <w:r w:rsidRPr="006C2AE4">
        <w:rPr>
          <w:rFonts w:cs="Times New Roman"/>
          <w:lang w:eastAsia="en-AU"/>
        </w:rPr>
        <w:t xml:space="preserve"> While being distinct from the Father, is the Son also God?</w:t>
      </w:r>
    </w:p>
    <w:p w:rsidR="006C2AE4" w:rsidRPr="006C2AE4" w:rsidRDefault="000F1348" w:rsidP="006C2AE4">
      <w:pPr>
        <w:ind w:left="284"/>
        <w:rPr>
          <w:rFonts w:cs="Times New Roman"/>
          <w:lang w:eastAsia="en-AU"/>
        </w:rPr>
      </w:pPr>
      <w:r w:rsidRPr="006C2AE4">
        <w:rPr>
          <w:rFonts w:cs="Times New Roman"/>
          <w:b/>
          <w:iCs/>
          <w:lang w:eastAsia="en-AU"/>
        </w:rPr>
        <w:t>Heraclides:</w:t>
      </w:r>
      <w:r w:rsidRPr="006C2AE4">
        <w:rPr>
          <w:rFonts w:cs="Times New Roman"/>
          <w:lang w:eastAsia="en-AU"/>
        </w:rPr>
        <w:t xml:space="preserve"> He himself is also God.</w:t>
      </w:r>
    </w:p>
    <w:p w:rsidR="006C2AE4" w:rsidRPr="006C2AE4" w:rsidRDefault="000F1348" w:rsidP="006C2AE4">
      <w:pPr>
        <w:ind w:left="284"/>
        <w:rPr>
          <w:rFonts w:cs="Times New Roman"/>
          <w:lang w:eastAsia="en-AU"/>
        </w:rPr>
      </w:pPr>
      <w:r w:rsidRPr="006C2AE4">
        <w:rPr>
          <w:rFonts w:cs="Times New Roman"/>
          <w:b/>
          <w:iCs/>
          <w:lang w:eastAsia="en-AU"/>
        </w:rPr>
        <w:t>Origen:</w:t>
      </w:r>
      <w:r w:rsidRPr="006C2AE4">
        <w:rPr>
          <w:rFonts w:cs="Times New Roman"/>
          <w:lang w:eastAsia="en-AU"/>
        </w:rPr>
        <w:t xml:space="preserve"> And do two Gods become a unity?</w:t>
      </w:r>
    </w:p>
    <w:p w:rsidR="006C2AE4" w:rsidRPr="006C2AE4" w:rsidRDefault="000F1348" w:rsidP="006C2AE4">
      <w:pPr>
        <w:ind w:left="284"/>
        <w:rPr>
          <w:rFonts w:cs="Times New Roman"/>
          <w:lang w:eastAsia="en-AU"/>
        </w:rPr>
      </w:pPr>
      <w:r w:rsidRPr="006C2AE4">
        <w:rPr>
          <w:rFonts w:cs="Times New Roman"/>
          <w:b/>
          <w:iCs/>
          <w:lang w:eastAsia="en-AU"/>
        </w:rPr>
        <w:t>Heraclides:</w:t>
      </w:r>
      <w:r w:rsidRPr="006C2AE4">
        <w:rPr>
          <w:rFonts w:cs="Times New Roman"/>
          <w:lang w:eastAsia="en-AU"/>
        </w:rPr>
        <w:t xml:space="preserve"> Yes.</w:t>
      </w:r>
    </w:p>
    <w:p w:rsidR="006C2AE4" w:rsidRPr="006C2AE4" w:rsidRDefault="000F1348" w:rsidP="006C2AE4">
      <w:pPr>
        <w:ind w:left="284"/>
        <w:rPr>
          <w:rFonts w:cs="Times New Roman"/>
          <w:lang w:eastAsia="en-AU"/>
        </w:rPr>
      </w:pPr>
      <w:r w:rsidRPr="006C2AE4">
        <w:rPr>
          <w:rFonts w:cs="Times New Roman"/>
          <w:b/>
          <w:iCs/>
          <w:lang w:eastAsia="en-AU"/>
        </w:rPr>
        <w:t>Origen:</w:t>
      </w:r>
      <w:r w:rsidRPr="006C2AE4">
        <w:rPr>
          <w:rFonts w:cs="Times New Roman"/>
          <w:lang w:eastAsia="en-AU"/>
        </w:rPr>
        <w:t xml:space="preserve"> Do we confess two Gods?</w:t>
      </w:r>
    </w:p>
    <w:p w:rsidR="000F1348" w:rsidRPr="006C2AE4" w:rsidRDefault="000F1348" w:rsidP="006C2AE4">
      <w:pPr>
        <w:ind w:left="284"/>
        <w:rPr>
          <w:rFonts w:cs="Times New Roman"/>
          <w:lang w:eastAsia="en-AU"/>
        </w:rPr>
      </w:pPr>
      <w:r w:rsidRPr="006C2AE4">
        <w:rPr>
          <w:rFonts w:cs="Times New Roman"/>
          <w:b/>
          <w:iCs/>
          <w:lang w:eastAsia="en-AU"/>
        </w:rPr>
        <w:t>Heraclides:</w:t>
      </w:r>
      <w:r w:rsidRPr="006C2AE4">
        <w:rPr>
          <w:rFonts w:cs="Times New Roman"/>
          <w:lang w:eastAsia="en-AU"/>
        </w:rPr>
        <w:t xml:space="preserve"> Yes, [but] the power is one.</w:t>
      </w:r>
      <w:r w:rsidRPr="006C2AE4">
        <w:rPr>
          <w:rStyle w:val="FootnoteReference"/>
          <w:lang w:eastAsia="en-AU"/>
        </w:rPr>
        <w:footnoteReference w:id="67"/>
      </w:r>
    </w:p>
    <w:p w:rsidR="000F1348" w:rsidRPr="006C2AE4" w:rsidRDefault="000F1348" w:rsidP="000F1348">
      <w:pPr>
        <w:rPr>
          <w:rFonts w:cs="Times New Roman"/>
          <w:lang w:eastAsia="en-AU"/>
        </w:rPr>
      </w:pPr>
    </w:p>
    <w:p w:rsidR="006C2AE4" w:rsidRDefault="000F1348" w:rsidP="000F1348">
      <w:pPr>
        <w:rPr>
          <w:rFonts w:cs="Times New Roman"/>
          <w:lang w:eastAsia="en-AU"/>
        </w:rPr>
      </w:pPr>
      <w:r w:rsidRPr="006C2AE4">
        <w:rPr>
          <w:rFonts w:cs="Times New Roman"/>
          <w:lang w:eastAsia="en-AU"/>
        </w:rPr>
        <w:t xml:space="preserve">Origen goes on to explain that the Father and Son are </w:t>
      </w:r>
      <w:r w:rsidR="000E2CE6">
        <w:rPr>
          <w:rFonts w:cs="Times New Roman"/>
          <w:lang w:eastAsia="en-AU"/>
        </w:rPr>
        <w:t>‘</w:t>
      </w:r>
      <w:r w:rsidRPr="006C2AE4">
        <w:rPr>
          <w:rFonts w:cs="Times New Roman"/>
          <w:lang w:eastAsia="en-AU"/>
        </w:rPr>
        <w:t>one</w:t>
      </w:r>
      <w:r w:rsidR="000E2CE6">
        <w:rPr>
          <w:rFonts w:cs="Times New Roman"/>
          <w:lang w:eastAsia="en-AU"/>
        </w:rPr>
        <w:t>’</w:t>
      </w:r>
      <w:r w:rsidRPr="006C2AE4">
        <w:rPr>
          <w:rFonts w:cs="Times New Roman"/>
          <w:lang w:eastAsia="en-AU"/>
        </w:rPr>
        <w:t xml:space="preserve"> in the same sense as Adam and Eve, citing Gen 2:24 </w:t>
      </w:r>
      <w:r w:rsidR="000E2CE6">
        <w:rPr>
          <w:rFonts w:cs="Times New Roman"/>
          <w:lang w:eastAsia="en-AU"/>
        </w:rPr>
        <w:t>and</w:t>
      </w:r>
      <w:r w:rsidRPr="006C2AE4">
        <w:rPr>
          <w:rFonts w:cs="Times New Roman"/>
          <w:lang w:eastAsia="en-AU"/>
        </w:rPr>
        <w:t xml:space="preserve"> Matt</w:t>
      </w:r>
      <w:r w:rsidR="000E2CE6">
        <w:rPr>
          <w:rFonts w:cs="Times New Roman"/>
          <w:lang w:eastAsia="en-AU"/>
        </w:rPr>
        <w:t xml:space="preserve"> </w:t>
      </w:r>
      <w:r w:rsidRPr="006C2AE4">
        <w:rPr>
          <w:rFonts w:cs="Times New Roman"/>
          <w:lang w:eastAsia="en-AU"/>
        </w:rPr>
        <w:t xml:space="preserve">19:5. He adds the proviso that Adam and Eve are </w:t>
      </w:r>
      <w:r w:rsidR="000E2CE6">
        <w:rPr>
          <w:rFonts w:cs="Times New Roman"/>
          <w:lang w:eastAsia="en-AU"/>
        </w:rPr>
        <w:t>‘</w:t>
      </w:r>
      <w:r w:rsidRPr="006C2AE4">
        <w:rPr>
          <w:rFonts w:cs="Times New Roman"/>
          <w:lang w:eastAsia="en-AU"/>
        </w:rPr>
        <w:t>two in one flesh</w:t>
      </w:r>
      <w:r w:rsidR="000E2CE6">
        <w:rPr>
          <w:rFonts w:cs="Times New Roman"/>
          <w:lang w:eastAsia="en-AU"/>
        </w:rPr>
        <w:t>’</w:t>
      </w:r>
      <w:r w:rsidRPr="006C2AE4">
        <w:rPr>
          <w:rFonts w:cs="Times New Roman"/>
          <w:lang w:eastAsia="en-AU"/>
        </w:rPr>
        <w:t xml:space="preserve"> but </w:t>
      </w:r>
      <w:r w:rsidR="000E2CE6">
        <w:rPr>
          <w:rFonts w:cs="Times New Roman"/>
          <w:lang w:eastAsia="en-AU"/>
        </w:rPr>
        <w:t>‘</w:t>
      </w:r>
      <w:r w:rsidRPr="006C2AE4">
        <w:rPr>
          <w:rFonts w:cs="Times New Roman"/>
          <w:lang w:eastAsia="en-AU"/>
        </w:rPr>
        <w:t>not two in one spirit</w:t>
      </w:r>
      <w:r w:rsidR="000E2CE6">
        <w:rPr>
          <w:rFonts w:cs="Times New Roman"/>
          <w:lang w:eastAsia="en-AU"/>
        </w:rPr>
        <w:t>’</w:t>
      </w:r>
      <w:r w:rsidRPr="006C2AE4">
        <w:rPr>
          <w:rFonts w:cs="Times New Roman"/>
          <w:lang w:eastAsia="en-AU"/>
        </w:rPr>
        <w:t xml:space="preserve"> or </w:t>
      </w:r>
      <w:r w:rsidR="000E2CE6">
        <w:rPr>
          <w:rFonts w:cs="Times New Roman"/>
          <w:lang w:eastAsia="en-AU"/>
        </w:rPr>
        <w:t>‘</w:t>
      </w:r>
      <w:r w:rsidRPr="006C2AE4">
        <w:rPr>
          <w:rFonts w:cs="Times New Roman"/>
          <w:lang w:eastAsia="en-AU"/>
        </w:rPr>
        <w:t>two in one soul.</w:t>
      </w:r>
      <w:r w:rsidR="000E2CE6">
        <w:rPr>
          <w:rFonts w:cs="Times New Roman"/>
          <w:lang w:eastAsia="en-AU"/>
        </w:rPr>
        <w:t>’</w:t>
      </w:r>
      <w:r w:rsidRPr="006C2AE4">
        <w:rPr>
          <w:rFonts w:cs="Times New Roman"/>
          <w:lang w:eastAsia="en-AU"/>
        </w:rPr>
        <w:t xml:space="preserve"> Citing </w:t>
      </w:r>
      <w:r w:rsidR="000E2CE6">
        <w:rPr>
          <w:rFonts w:cs="Times New Roman"/>
          <w:lang w:eastAsia="en-AU"/>
        </w:rPr>
        <w:t>1 Cor</w:t>
      </w:r>
      <w:r w:rsidRPr="006C2AE4">
        <w:rPr>
          <w:rFonts w:cs="Times New Roman"/>
          <w:lang w:eastAsia="en-AU"/>
        </w:rPr>
        <w:t xml:space="preserve"> 6:17, he says </w:t>
      </w:r>
      <w:r w:rsidR="000E2CE6">
        <w:rPr>
          <w:rFonts w:cs="Times New Roman"/>
          <w:lang w:eastAsia="en-AU"/>
        </w:rPr>
        <w:t>‘</w:t>
      </w:r>
      <w:r w:rsidRPr="006C2AE4">
        <w:rPr>
          <w:rFonts w:cs="Times New Roman"/>
          <w:lang w:eastAsia="en-AU"/>
        </w:rPr>
        <w:t xml:space="preserve">the just person and Christ are </w:t>
      </w:r>
      <w:r w:rsidR="000E2CE6">
        <w:rPr>
          <w:rFonts w:cs="Times New Roman"/>
          <w:lang w:eastAsia="en-AU"/>
        </w:rPr>
        <w:t>“</w:t>
      </w:r>
      <w:r w:rsidRPr="006C2AE4">
        <w:rPr>
          <w:rFonts w:cs="Times New Roman"/>
          <w:lang w:eastAsia="en-AU"/>
        </w:rPr>
        <w:t>one spirit</w:t>
      </w:r>
      <w:r w:rsidR="000E2CE6">
        <w:rPr>
          <w:rFonts w:cs="Times New Roman"/>
          <w:lang w:eastAsia="en-AU"/>
        </w:rPr>
        <w:t>”</w:t>
      </w:r>
      <w:r w:rsidRPr="006C2AE4">
        <w:rPr>
          <w:rFonts w:cs="Times New Roman"/>
          <w:lang w:eastAsia="en-AU"/>
        </w:rPr>
        <w:t xml:space="preserve">... Yet when a just person is united to Christ the word is </w:t>
      </w:r>
      <w:r w:rsidR="000E2CE6">
        <w:rPr>
          <w:rFonts w:cs="Times New Roman"/>
          <w:lang w:eastAsia="en-AU"/>
        </w:rPr>
        <w:t>“</w:t>
      </w:r>
      <w:r w:rsidRPr="006C2AE4">
        <w:rPr>
          <w:rFonts w:cs="Times New Roman"/>
          <w:lang w:eastAsia="en-AU"/>
        </w:rPr>
        <w:t>spirit</w:t>
      </w:r>
      <w:r w:rsidR="000E2CE6">
        <w:rPr>
          <w:rFonts w:cs="Times New Roman"/>
          <w:lang w:eastAsia="en-AU"/>
        </w:rPr>
        <w:t>”</w:t>
      </w:r>
      <w:r w:rsidRPr="006C2AE4">
        <w:rPr>
          <w:rFonts w:cs="Times New Roman"/>
          <w:lang w:eastAsia="en-AU"/>
        </w:rPr>
        <w:t xml:space="preserve"> and when Christ is united to the Father the word is not </w:t>
      </w:r>
      <w:r w:rsidR="000E2CE6">
        <w:rPr>
          <w:rFonts w:cs="Times New Roman"/>
          <w:lang w:eastAsia="en-AU"/>
        </w:rPr>
        <w:t>“</w:t>
      </w:r>
      <w:r w:rsidRPr="006C2AE4">
        <w:rPr>
          <w:rFonts w:cs="Times New Roman"/>
          <w:lang w:eastAsia="en-AU"/>
        </w:rPr>
        <w:t>flesh</w:t>
      </w:r>
      <w:r w:rsidR="000E2CE6">
        <w:rPr>
          <w:rFonts w:cs="Times New Roman"/>
          <w:lang w:eastAsia="en-AU"/>
        </w:rPr>
        <w:t>”</w:t>
      </w:r>
      <w:r w:rsidRPr="006C2AE4">
        <w:rPr>
          <w:rFonts w:cs="Times New Roman"/>
          <w:lang w:eastAsia="en-AU"/>
        </w:rPr>
        <w:t xml:space="preserve"> or </w:t>
      </w:r>
      <w:r w:rsidR="000E2CE6">
        <w:rPr>
          <w:rFonts w:cs="Times New Roman"/>
          <w:lang w:eastAsia="en-AU"/>
        </w:rPr>
        <w:t>“</w:t>
      </w:r>
      <w:r w:rsidRPr="006C2AE4">
        <w:rPr>
          <w:rFonts w:cs="Times New Roman"/>
          <w:lang w:eastAsia="en-AU"/>
        </w:rPr>
        <w:t>spirit</w:t>
      </w:r>
      <w:r w:rsidR="000E2CE6">
        <w:rPr>
          <w:rFonts w:cs="Times New Roman"/>
          <w:lang w:eastAsia="en-AU"/>
        </w:rPr>
        <w:t>”</w:t>
      </w:r>
      <w:r w:rsidRPr="006C2AE4">
        <w:rPr>
          <w:rFonts w:cs="Times New Roman"/>
          <w:lang w:eastAsia="en-AU"/>
        </w:rPr>
        <w:t xml:space="preserve"> but the more prestigious word </w:t>
      </w:r>
      <w:r w:rsidR="000E2CE6">
        <w:rPr>
          <w:rFonts w:cs="Times New Roman"/>
          <w:lang w:eastAsia="en-AU"/>
        </w:rPr>
        <w:t>“</w:t>
      </w:r>
      <w:r w:rsidRPr="006C2AE4">
        <w:rPr>
          <w:rFonts w:cs="Times New Roman"/>
          <w:lang w:eastAsia="en-AU"/>
        </w:rPr>
        <w:t>God.</w:t>
      </w:r>
      <w:r w:rsidR="000E2CE6">
        <w:rPr>
          <w:rFonts w:cs="Times New Roman"/>
          <w:lang w:eastAsia="en-AU"/>
        </w:rPr>
        <w:t>”‘</w:t>
      </w:r>
      <w:r w:rsidRPr="006C2AE4">
        <w:rPr>
          <w:rFonts w:cs="Times New Roman"/>
          <w:lang w:eastAsia="en-AU"/>
        </w:rPr>
        <w:t xml:space="preserve"> This is how Origen understands John 10:30 (</w:t>
      </w:r>
      <w:r w:rsidR="000E2CE6">
        <w:rPr>
          <w:rFonts w:cs="Times New Roman"/>
          <w:lang w:eastAsia="en-AU"/>
        </w:rPr>
        <w:t>‘I and my Father are one’</w:t>
      </w:r>
      <w:r w:rsidRPr="006C2AE4">
        <w:rPr>
          <w:rFonts w:cs="Times New Roman"/>
          <w:lang w:eastAsia="en-AU"/>
        </w:rPr>
        <w:t>)</w:t>
      </w:r>
      <w:r w:rsidR="000E2CE6">
        <w:rPr>
          <w:rFonts w:cs="Times New Roman"/>
          <w:lang w:eastAsia="en-AU"/>
        </w:rPr>
        <w:t>.</w:t>
      </w:r>
    </w:p>
    <w:p w:rsidR="00514D21" w:rsidRDefault="00514D21" w:rsidP="000F1348">
      <w:pPr>
        <w:rPr>
          <w:rFonts w:cs="Times New Roman"/>
          <w:lang w:eastAsia="en-AU"/>
        </w:rPr>
      </w:pPr>
    </w:p>
    <w:p w:rsidR="006C2AE4" w:rsidRDefault="000F1348" w:rsidP="000F1348">
      <w:pPr>
        <w:rPr>
          <w:rFonts w:cs="Times New Roman"/>
          <w:lang w:eastAsia="en-AU"/>
        </w:rPr>
      </w:pPr>
      <w:r w:rsidRPr="006C2AE4">
        <w:rPr>
          <w:rFonts w:cs="Times New Roman"/>
          <w:lang w:eastAsia="en-AU"/>
        </w:rPr>
        <w:t>The significance of Origen as an inspiration for Arianism via Arius</w:t>
      </w:r>
      <w:r w:rsidR="000E2CE6">
        <w:rPr>
          <w:rFonts w:cs="Times New Roman"/>
          <w:lang w:eastAsia="en-AU"/>
        </w:rPr>
        <w:t>’</w:t>
      </w:r>
      <w:r w:rsidRPr="006C2AE4">
        <w:rPr>
          <w:rFonts w:cs="Times New Roman"/>
          <w:lang w:eastAsia="en-AU"/>
        </w:rPr>
        <w:t xml:space="preserve"> mentor Lucian cannot be overlooked. On one hand, Arius rejected Origen</w:t>
      </w:r>
      <w:r w:rsidR="000E2CE6">
        <w:rPr>
          <w:rFonts w:cs="Times New Roman"/>
          <w:lang w:eastAsia="en-AU"/>
        </w:rPr>
        <w:t>’</w:t>
      </w:r>
      <w:r w:rsidRPr="006C2AE4">
        <w:rPr>
          <w:rFonts w:cs="Times New Roman"/>
          <w:lang w:eastAsia="en-AU"/>
        </w:rPr>
        <w:t xml:space="preserve">s belief in the </w:t>
      </w:r>
      <w:r w:rsidR="000E2CE6">
        <w:rPr>
          <w:rFonts w:cs="Times New Roman"/>
          <w:lang w:eastAsia="en-AU"/>
        </w:rPr>
        <w:t>‘</w:t>
      </w:r>
      <w:r w:rsidRPr="006C2AE4">
        <w:rPr>
          <w:rFonts w:cs="Times New Roman"/>
          <w:lang w:eastAsia="en-AU"/>
        </w:rPr>
        <w:t>eternal generation</w:t>
      </w:r>
      <w:r w:rsidR="000E2CE6">
        <w:rPr>
          <w:rFonts w:cs="Times New Roman"/>
          <w:lang w:eastAsia="en-AU"/>
        </w:rPr>
        <w:t>’</w:t>
      </w:r>
      <w:r w:rsidRPr="006C2AE4">
        <w:rPr>
          <w:rFonts w:cs="Times New Roman"/>
          <w:lang w:eastAsia="en-AU"/>
        </w:rPr>
        <w:t xml:space="preserve"> of the Son. On the other hand, he appreciated the description of Christ as </w:t>
      </w:r>
      <w:r w:rsidR="000E2CE6">
        <w:rPr>
          <w:rFonts w:cs="Times New Roman"/>
          <w:lang w:eastAsia="en-AU"/>
        </w:rPr>
        <w:t>‘</w:t>
      </w:r>
      <w:r w:rsidRPr="006C2AE4">
        <w:rPr>
          <w:rFonts w:cs="Times New Roman"/>
          <w:lang w:eastAsia="en-AU"/>
        </w:rPr>
        <w:t>a second God</w:t>
      </w:r>
      <w:r w:rsidR="000E2CE6">
        <w:rPr>
          <w:rFonts w:cs="Times New Roman"/>
          <w:lang w:eastAsia="en-AU"/>
        </w:rPr>
        <w:t>’</w:t>
      </w:r>
      <w:r w:rsidRPr="006C2AE4">
        <w:rPr>
          <w:rStyle w:val="FootnoteReference"/>
          <w:lang w:eastAsia="en-AU"/>
        </w:rPr>
        <w:footnoteReference w:id="68"/>
      </w:r>
      <w:r w:rsidRPr="006C2AE4">
        <w:rPr>
          <w:rFonts w:cs="Times New Roman"/>
          <w:lang w:eastAsia="en-AU"/>
        </w:rPr>
        <w:t>, and endorsed Origen</w:t>
      </w:r>
      <w:r w:rsidR="000E2CE6">
        <w:rPr>
          <w:rFonts w:cs="Times New Roman"/>
          <w:lang w:eastAsia="en-AU"/>
        </w:rPr>
        <w:t>’</w:t>
      </w:r>
      <w:r w:rsidRPr="006C2AE4">
        <w:rPr>
          <w:rFonts w:cs="Times New Roman"/>
          <w:lang w:eastAsia="en-AU"/>
        </w:rPr>
        <w:t>s teaching that the Father alone is</w:t>
      </w:r>
      <w:r w:rsidRPr="006C2AE4">
        <w:rPr>
          <w:rFonts w:cs="Times New Roman"/>
          <w:i/>
          <w:lang w:eastAsia="en-AU"/>
        </w:rPr>
        <w:t xml:space="preserve"> autotheos</w:t>
      </w:r>
      <w:r w:rsidRPr="006C2AE4">
        <w:rPr>
          <w:rFonts w:cs="Times New Roman"/>
          <w:lang w:eastAsia="en-AU"/>
        </w:rPr>
        <w:t>:</w:t>
      </w:r>
    </w:p>
    <w:p w:rsidR="000F1348" w:rsidRPr="006C2AE4" w:rsidRDefault="000F1348" w:rsidP="000F1348">
      <w:pPr>
        <w:rPr>
          <w:rFonts w:cs="Times New Roman"/>
          <w:lang w:eastAsia="en-AU"/>
        </w:rPr>
      </w:pPr>
      <w:r w:rsidRPr="006C2AE4">
        <w:rPr>
          <w:rFonts w:cs="Times New Roman"/>
          <w:lang w:eastAsia="en-AU"/>
        </w:rPr>
        <w:t xml:space="preserve"> </w:t>
      </w:r>
    </w:p>
    <w:p w:rsidR="000E2CE6" w:rsidRDefault="000F1348" w:rsidP="000E2CE6">
      <w:pPr>
        <w:pStyle w:val="Quote"/>
      </w:pPr>
      <w:r>
        <w:t>And I am therefore of the opinion that the will of the Father alone ought to be</w:t>
      </w:r>
      <w:r>
        <w:tab/>
        <w:t>sufficient for the existence of that which He wishes to ex</w:t>
      </w:r>
      <w:r w:rsidR="000E2CE6">
        <w:t xml:space="preserve">ist. For in the exercise of His </w:t>
      </w:r>
      <w:r>
        <w:t>will He employs no other way than that which is m</w:t>
      </w:r>
      <w:r w:rsidR="000E2CE6">
        <w:t xml:space="preserve">ade known by the council of His </w:t>
      </w:r>
      <w:r>
        <w:t>will. And thus also the existence of the Son is generated by Him.</w:t>
      </w:r>
      <w:r>
        <w:rPr>
          <w:rStyle w:val="FootnoteReference"/>
          <w:rFonts w:ascii="Times New Roman" w:hAnsi="Times New Roman"/>
          <w:lang w:eastAsia="en-AU"/>
        </w:rPr>
        <w:footnoteReference w:id="69"/>
      </w:r>
    </w:p>
    <w:p w:rsidR="00514D21" w:rsidRPr="00514D21" w:rsidRDefault="00514D21" w:rsidP="00514D21">
      <w:pPr>
        <w:rPr>
          <w:lang w:val="en-GB" w:eastAsia="en-GB" w:bidi="he-IL"/>
        </w:rPr>
      </w:pPr>
    </w:p>
    <w:p w:rsidR="000E2CE6" w:rsidRDefault="000F1348" w:rsidP="000F1348">
      <w:pPr>
        <w:rPr>
          <w:rFonts w:cs="Times New Roman"/>
          <w:lang w:eastAsia="en-AU"/>
        </w:rPr>
      </w:pPr>
      <w:r w:rsidRPr="000E2CE6">
        <w:rPr>
          <w:rFonts w:cs="Times New Roman"/>
          <w:lang w:eastAsia="en-AU"/>
        </w:rPr>
        <w:lastRenderedPageBreak/>
        <w:t>Though decried as heretical today, Origen</w:t>
      </w:r>
      <w:r w:rsidR="000E2CE6" w:rsidRPr="000E2CE6">
        <w:rPr>
          <w:rFonts w:cs="Times New Roman"/>
          <w:lang w:eastAsia="en-AU"/>
        </w:rPr>
        <w:t>’</w:t>
      </w:r>
      <w:r w:rsidRPr="000E2CE6">
        <w:rPr>
          <w:rFonts w:cs="Times New Roman"/>
          <w:lang w:eastAsia="en-AU"/>
        </w:rPr>
        <w:t>s view was common to many of the early fathers:</w:t>
      </w:r>
    </w:p>
    <w:p w:rsidR="00514D21" w:rsidRPr="000E2CE6" w:rsidRDefault="00514D21" w:rsidP="000F1348">
      <w:pPr>
        <w:rPr>
          <w:rFonts w:cs="Times New Roman"/>
          <w:lang w:eastAsia="en-AU"/>
        </w:rPr>
      </w:pPr>
    </w:p>
    <w:p w:rsidR="000E2CE6" w:rsidRDefault="000F1348" w:rsidP="000E2CE6">
      <w:pPr>
        <w:pStyle w:val="Quote"/>
      </w:pPr>
      <w:r>
        <w:t>The Christian writers of the second and third centur</w:t>
      </w:r>
      <w:r w:rsidR="00400A62">
        <w:t xml:space="preserve">ies considered the Logos as the </w:t>
      </w:r>
      <w:r>
        <w:t>eternal reason of the Father, but as having at first no distinct existence from eternity;</w:t>
      </w:r>
      <w:r>
        <w:tab/>
        <w:t>he received this only when the Father generated hi</w:t>
      </w:r>
      <w:r w:rsidR="00400A62">
        <w:t xml:space="preserve">m from within his own being and </w:t>
      </w:r>
      <w:r>
        <w:t>sent him to create the world and rule over the world.</w:t>
      </w:r>
    </w:p>
    <w:p w:rsidR="000E2CE6" w:rsidRDefault="000F1348" w:rsidP="000E2CE6">
      <w:pPr>
        <w:pStyle w:val="Quote"/>
      </w:pPr>
      <w:r>
        <w:br/>
        <w:t>The act of generation then was not considered as an eternal and necessary life-act bu</w:t>
      </w:r>
      <w:r w:rsidR="00400A62">
        <w:t xml:space="preserve">t </w:t>
      </w:r>
      <w:r>
        <w:t>as one which had a beginning in time, which meant that the Son was not equal to the</w:t>
      </w:r>
      <w:r>
        <w:tab/>
        <w:t>Father, but subordinate to Him. Irenaeus, Justin, Hipp</w:t>
      </w:r>
      <w:r w:rsidR="00400A62">
        <w:t xml:space="preserve">olytus and Methodius share this </w:t>
      </w:r>
      <w:r>
        <w:t>view called Subordinationism.</w:t>
      </w:r>
      <w:r>
        <w:rPr>
          <w:rStyle w:val="FootnoteReference"/>
          <w:rFonts w:ascii="Times New Roman" w:hAnsi="Times New Roman"/>
          <w:lang w:eastAsia="en-AU"/>
        </w:rPr>
        <w:footnoteReference w:id="70"/>
      </w:r>
    </w:p>
    <w:p w:rsidR="00400A62" w:rsidRPr="00400A62" w:rsidRDefault="000F1348" w:rsidP="000F1348">
      <w:pPr>
        <w:rPr>
          <w:rFonts w:cs="Times New Roman"/>
          <w:lang w:eastAsia="en-AU"/>
        </w:rPr>
      </w:pPr>
      <w:r w:rsidRPr="00400A62">
        <w:rPr>
          <w:rFonts w:cs="Times New Roman"/>
          <w:lang w:eastAsia="en-AU"/>
        </w:rPr>
        <w:br/>
        <w:t xml:space="preserve">Lucian was a subordinationist of this type, considering himself an </w:t>
      </w:r>
      <w:r w:rsidR="000E2CE6" w:rsidRPr="00400A62">
        <w:rPr>
          <w:rFonts w:cs="Times New Roman"/>
          <w:lang w:eastAsia="en-AU"/>
        </w:rPr>
        <w:t>‘</w:t>
      </w:r>
      <w:r w:rsidRPr="00400A62">
        <w:rPr>
          <w:rFonts w:cs="Times New Roman"/>
          <w:lang w:eastAsia="en-AU"/>
        </w:rPr>
        <w:t>Origenist</w:t>
      </w:r>
      <w:r w:rsidR="000E2CE6" w:rsidRPr="00400A62">
        <w:rPr>
          <w:rFonts w:cs="Times New Roman"/>
          <w:lang w:eastAsia="en-AU"/>
        </w:rPr>
        <w:t>’</w:t>
      </w:r>
      <w:r w:rsidRPr="00400A62">
        <w:rPr>
          <w:rFonts w:cs="Times New Roman"/>
          <w:lang w:eastAsia="en-AU"/>
        </w:rPr>
        <w:t xml:space="preserve"> (as did most of his Eastern friends) because his Christology was derived almost entirely from the teachings of Origen. Arius had inherited Lucian</w:t>
      </w:r>
      <w:r w:rsidR="000E2CE6" w:rsidRPr="00400A62">
        <w:rPr>
          <w:rFonts w:cs="Times New Roman"/>
          <w:lang w:eastAsia="en-AU"/>
        </w:rPr>
        <w:t>’</w:t>
      </w:r>
      <w:r w:rsidRPr="00400A62">
        <w:rPr>
          <w:rFonts w:cs="Times New Roman"/>
          <w:lang w:eastAsia="en-AU"/>
        </w:rPr>
        <w:t>s Christology, but courted disaster by refining it with increasing precision. The consequences of this development were deeply divisive. For as long as the precise nature of the relationship between Father and Son was left to the believer</w:t>
      </w:r>
      <w:r w:rsidR="000E2CE6" w:rsidRPr="00400A62">
        <w:rPr>
          <w:rFonts w:cs="Times New Roman"/>
          <w:lang w:eastAsia="en-AU"/>
        </w:rPr>
        <w:t>’</w:t>
      </w:r>
      <w:r w:rsidR="00400A62">
        <w:rPr>
          <w:rFonts w:cs="Times New Roman"/>
          <w:lang w:eastAsia="en-AU"/>
        </w:rPr>
        <w:t>s imagination, 3</w:t>
      </w:r>
      <w:r w:rsidR="00400A62" w:rsidRPr="00400A62">
        <w:rPr>
          <w:rFonts w:cs="Times New Roman"/>
          <w:vertAlign w:val="superscript"/>
          <w:lang w:eastAsia="en-AU"/>
        </w:rPr>
        <w:t>rd</w:t>
      </w:r>
      <w:r w:rsidR="00400A62">
        <w:rPr>
          <w:rFonts w:cs="Times New Roman"/>
          <w:lang w:eastAsia="en-AU"/>
        </w:rPr>
        <w:t xml:space="preserve"> </w:t>
      </w:r>
      <w:r w:rsidRPr="00400A62">
        <w:rPr>
          <w:rFonts w:cs="Times New Roman"/>
          <w:lang w:eastAsia="en-AU"/>
        </w:rPr>
        <w:t>and 4</w:t>
      </w:r>
      <w:r w:rsidRPr="00400A62">
        <w:rPr>
          <w:rFonts w:cs="Times New Roman"/>
          <w:vertAlign w:val="superscript"/>
          <w:lang w:eastAsia="en-AU"/>
        </w:rPr>
        <w:t>th</w:t>
      </w:r>
      <w:r w:rsidR="00400A62">
        <w:rPr>
          <w:rFonts w:cs="Times New Roman"/>
          <w:lang w:eastAsia="en-AU"/>
        </w:rPr>
        <w:t xml:space="preserve"> </w:t>
      </w:r>
      <w:r w:rsidRPr="00400A62">
        <w:rPr>
          <w:rFonts w:cs="Times New Roman"/>
          <w:lang w:eastAsia="en-AU"/>
        </w:rPr>
        <w:t>Century Christians could flatter themselves with the naïve assumption that they all believed much the same thing.</w:t>
      </w:r>
    </w:p>
    <w:p w:rsidR="00400A62" w:rsidRPr="00400A62" w:rsidRDefault="000F1348" w:rsidP="000F1348">
      <w:pPr>
        <w:rPr>
          <w:rFonts w:cs="Times New Roman"/>
          <w:lang w:eastAsia="en-AU"/>
        </w:rPr>
      </w:pPr>
      <w:r w:rsidRPr="00400A62">
        <w:rPr>
          <w:rFonts w:cs="Times New Roman"/>
          <w:lang w:eastAsia="en-AU"/>
        </w:rPr>
        <w:br/>
        <w:t xml:space="preserve">But what if that relationship was clearly delineated by a series of theological propositions? What if the language of Christology was officially </w:t>
      </w:r>
      <w:r w:rsidRPr="00400A62">
        <w:rPr>
          <w:rFonts w:cs="Times New Roman"/>
          <w:lang w:val="en-GB" w:eastAsia="en-AU"/>
        </w:rPr>
        <w:t>formalised</w:t>
      </w:r>
      <w:r w:rsidRPr="00400A62">
        <w:rPr>
          <w:rFonts w:cs="Times New Roman"/>
          <w:lang w:eastAsia="en-AU"/>
        </w:rPr>
        <w:t xml:space="preserve">? What if the current, heterodox terminology was subdivided by necessity into </w:t>
      </w:r>
      <w:r w:rsidR="000E2CE6" w:rsidRPr="00400A62">
        <w:rPr>
          <w:rFonts w:cs="Times New Roman"/>
          <w:lang w:eastAsia="en-AU"/>
        </w:rPr>
        <w:t>‘</w:t>
      </w:r>
      <w:r w:rsidRPr="00400A62">
        <w:rPr>
          <w:rFonts w:cs="Times New Roman"/>
          <w:lang w:eastAsia="en-AU"/>
        </w:rPr>
        <w:t>heretical terms</w:t>
      </w:r>
      <w:r w:rsidR="000E2CE6" w:rsidRPr="00400A62">
        <w:rPr>
          <w:rFonts w:cs="Times New Roman"/>
          <w:lang w:eastAsia="en-AU"/>
        </w:rPr>
        <w:t>’</w:t>
      </w:r>
      <w:r w:rsidRPr="00400A62">
        <w:rPr>
          <w:rFonts w:cs="Times New Roman"/>
          <w:lang w:eastAsia="en-AU"/>
        </w:rPr>
        <w:t xml:space="preserve"> and </w:t>
      </w:r>
      <w:r w:rsidR="000E2CE6" w:rsidRPr="00400A62">
        <w:rPr>
          <w:rFonts w:cs="Times New Roman"/>
          <w:lang w:eastAsia="en-AU"/>
        </w:rPr>
        <w:t>‘</w:t>
      </w:r>
      <w:r w:rsidRPr="00400A62">
        <w:rPr>
          <w:rFonts w:cs="Times New Roman"/>
          <w:lang w:eastAsia="en-AU"/>
        </w:rPr>
        <w:t>orthodox terms</w:t>
      </w:r>
      <w:r w:rsidR="000E2CE6" w:rsidRPr="00400A62">
        <w:rPr>
          <w:rFonts w:cs="Times New Roman"/>
          <w:lang w:eastAsia="en-AU"/>
        </w:rPr>
        <w:t>’</w:t>
      </w:r>
      <w:r w:rsidRPr="00400A62">
        <w:rPr>
          <w:rFonts w:cs="Times New Roman"/>
          <w:lang w:eastAsia="en-AU"/>
        </w:rPr>
        <w:t>? What if the basic principles of 3</w:t>
      </w:r>
      <w:r w:rsidRPr="00400A62">
        <w:rPr>
          <w:rFonts w:cs="Times New Roman"/>
          <w:vertAlign w:val="superscript"/>
          <w:lang w:eastAsia="en-AU"/>
        </w:rPr>
        <w:t>rd</w:t>
      </w:r>
      <w:r w:rsidR="00400A62" w:rsidRPr="00400A62">
        <w:rPr>
          <w:rFonts w:cs="Times New Roman"/>
          <w:lang w:eastAsia="en-AU"/>
        </w:rPr>
        <w:t xml:space="preserve"> </w:t>
      </w:r>
      <w:r w:rsidRPr="00400A62">
        <w:rPr>
          <w:rFonts w:cs="Times New Roman"/>
          <w:lang w:eastAsia="en-AU"/>
        </w:rPr>
        <w:t>Century Christology were taken to their logical conclusions? What would all of this mean for people</w:t>
      </w:r>
      <w:r w:rsidR="000E2CE6" w:rsidRPr="00400A62">
        <w:rPr>
          <w:rFonts w:cs="Times New Roman"/>
          <w:lang w:eastAsia="en-AU"/>
        </w:rPr>
        <w:t>’</w:t>
      </w:r>
      <w:r w:rsidRPr="00400A62">
        <w:rPr>
          <w:rFonts w:cs="Times New Roman"/>
          <w:lang w:eastAsia="en-AU"/>
        </w:rPr>
        <w:t>s understanding of Christ – and what would they do if they suddenly discovered that their apparent theological unity had been largely superficial? All of these questions were answered by the events of the Arian controversy.</w:t>
      </w:r>
    </w:p>
    <w:p w:rsidR="00400A62" w:rsidRPr="00400A62" w:rsidRDefault="000F1348" w:rsidP="000F1348">
      <w:pPr>
        <w:rPr>
          <w:rFonts w:cs="Times New Roman"/>
          <w:lang w:eastAsia="en-AU"/>
        </w:rPr>
      </w:pPr>
      <w:r w:rsidRPr="00400A62">
        <w:rPr>
          <w:rFonts w:cs="Times New Roman"/>
          <w:lang w:eastAsia="en-AU"/>
        </w:rPr>
        <w:br/>
        <w:t xml:space="preserve">Arius was not a contentious man, and there is no indication that he was looking for a debate when his views first came into question. He lived a </w:t>
      </w:r>
      <w:r w:rsidRPr="00400A62">
        <w:rPr>
          <w:rFonts w:cs="Times New Roman"/>
          <w:lang w:eastAsia="en-AU"/>
        </w:rPr>
        <w:lastRenderedPageBreak/>
        <w:t>quiet, simple life in Alexandria, confessing a typically Alexandrian Christology. He mixed easily with clergy and laity alike and lived his life by the principles of a strict spiritual asceticism which he nevertheless refrained from imposing upon others. He was also a man of tremendous faith and courage; during the Great Persecution under Diocletian he had remained in Alexandria even after its bishop (Peter) had fled.</w:t>
      </w:r>
      <w:r w:rsidRPr="00400A62">
        <w:rPr>
          <w:rStyle w:val="FootnoteReference"/>
          <w:lang w:eastAsia="en-AU"/>
        </w:rPr>
        <w:footnoteReference w:id="71"/>
      </w:r>
      <w:r w:rsidRPr="00400A62">
        <w:rPr>
          <w:rFonts w:cs="Times New Roman"/>
          <w:lang w:eastAsia="en-AU"/>
        </w:rPr>
        <w:t xml:space="preserve"> At considerable personal risk to himself, Arius offered succour to the Christian prisoners and spiritual guidance to those few who remained free.</w:t>
      </w:r>
    </w:p>
    <w:p w:rsidR="00400A62" w:rsidRPr="00400A62" w:rsidRDefault="000F1348" w:rsidP="000F1348">
      <w:pPr>
        <w:rPr>
          <w:rFonts w:cs="Times New Roman"/>
          <w:lang w:eastAsia="en-AU"/>
        </w:rPr>
      </w:pPr>
      <w:r w:rsidRPr="00400A62">
        <w:rPr>
          <w:rFonts w:cs="Times New Roman"/>
          <w:lang w:eastAsia="en-AU"/>
        </w:rPr>
        <w:br/>
        <w:t>Peter</w:t>
      </w:r>
      <w:r w:rsidR="000E2CE6" w:rsidRPr="00400A62">
        <w:rPr>
          <w:rFonts w:cs="Times New Roman"/>
          <w:lang w:eastAsia="en-AU"/>
        </w:rPr>
        <w:t>’</w:t>
      </w:r>
      <w:r w:rsidRPr="00400A62">
        <w:rPr>
          <w:rFonts w:cs="Times New Roman"/>
          <w:lang w:eastAsia="en-AU"/>
        </w:rPr>
        <w:t>s cowardice was disappointing to many Christians, but Melitius of Lycopolis (an Egyptian bishop who also functioned as metropolitan of the Thebaid) found it positively offensive. Alexandria was a great city and its bishop was partly responsible for several churches in Libya and Egypt, who clearly required guidance and support at this difficult time. Accordingly, Melitius left his own see, commandeered the position of Peter in Alexandria, consecrated two additional bishops to share the load and continued to perform ecclesiastical duties as if he had always been there.</w:t>
      </w:r>
    </w:p>
    <w:p w:rsidR="0061535B" w:rsidRPr="0061535B" w:rsidRDefault="000F1348" w:rsidP="000F1348">
      <w:pPr>
        <w:rPr>
          <w:rFonts w:cs="Times New Roman"/>
          <w:lang w:eastAsia="en-AU"/>
        </w:rPr>
      </w:pPr>
      <w:r w:rsidRPr="0061535B">
        <w:rPr>
          <w:rFonts w:cs="Times New Roman"/>
          <w:lang w:eastAsia="en-AU"/>
        </w:rPr>
        <w:br/>
        <w:t>From the safety of his hiding place Peter condemned Melitius with volume and vigour, ordering him to leave the city and forbidding the local clergy to obey him. But it was all to no avail. Melitius responded by coolly ignoring the absent bishop (which, with so much distance between them, he found quite easy to do) and his fellow clergymen, who saw nothing wrong with Melitius or his actions, followed suit.</w:t>
      </w:r>
    </w:p>
    <w:p w:rsidR="0061535B" w:rsidRPr="0061535B" w:rsidRDefault="000F1348" w:rsidP="000F1348">
      <w:pPr>
        <w:rPr>
          <w:rFonts w:cs="Times New Roman"/>
          <w:lang w:eastAsia="en-AU"/>
        </w:rPr>
      </w:pPr>
      <w:r w:rsidRPr="0061535B">
        <w:rPr>
          <w:rFonts w:cs="Times New Roman"/>
          <w:lang w:eastAsia="en-AU"/>
        </w:rPr>
        <w:br/>
        <w:t>In time, however, the persecution subsided and Peter returned to his see. Summoning a local council of like-minded churchmen, he excommunicated Melitius on the charge of abusing his authority. Shortly afterwards, Melitius was arrested by the Romans during a resurgence of the previous persecution, and sent to work in the mines of Palestine. There he served with courage and distinction as a prison priest for several years, eventually returning to Egypt as a free man.</w:t>
      </w:r>
    </w:p>
    <w:p w:rsidR="0061535B" w:rsidRPr="0061535B" w:rsidRDefault="000F1348" w:rsidP="000F1348">
      <w:pPr>
        <w:rPr>
          <w:rFonts w:cs="Times New Roman"/>
          <w:lang w:eastAsia="en-AU"/>
        </w:rPr>
      </w:pPr>
      <w:r w:rsidRPr="0061535B">
        <w:rPr>
          <w:rFonts w:cs="Times New Roman"/>
          <w:lang w:eastAsia="en-AU"/>
        </w:rPr>
        <w:br/>
        <w:t>Arius</w:t>
      </w:r>
      <w:r w:rsidR="000E2CE6" w:rsidRPr="0061535B">
        <w:rPr>
          <w:rFonts w:cs="Times New Roman"/>
          <w:lang w:eastAsia="en-AU"/>
        </w:rPr>
        <w:t>’</w:t>
      </w:r>
      <w:r w:rsidRPr="0061535B">
        <w:rPr>
          <w:rFonts w:cs="Times New Roman"/>
          <w:lang w:eastAsia="en-AU"/>
        </w:rPr>
        <w:t xml:space="preserve"> enemies would later claim that he had co-operated with Melitius during the rogue bishop</w:t>
      </w:r>
      <w:r w:rsidR="000E2CE6" w:rsidRPr="0061535B">
        <w:rPr>
          <w:rFonts w:cs="Times New Roman"/>
          <w:lang w:eastAsia="en-AU"/>
        </w:rPr>
        <w:t>’</w:t>
      </w:r>
      <w:r w:rsidRPr="0061535B">
        <w:rPr>
          <w:rFonts w:cs="Times New Roman"/>
          <w:lang w:eastAsia="en-AU"/>
        </w:rPr>
        <w:t xml:space="preserve">s brief rule in Alexandria; in fact, this was not true. </w:t>
      </w:r>
      <w:r w:rsidRPr="0061535B">
        <w:rPr>
          <w:rFonts w:cs="Times New Roman"/>
          <w:lang w:eastAsia="en-AU"/>
        </w:rPr>
        <w:lastRenderedPageBreak/>
        <w:t>Arius had been careful to remain aloof from the Melitian schism, a fact which Peter openly and gratefully acknowledged at the resumption of his bishopric. Bishop Achillas (Peter</w:t>
      </w:r>
      <w:r w:rsidR="000E2CE6" w:rsidRPr="0061535B">
        <w:rPr>
          <w:rFonts w:cs="Times New Roman"/>
          <w:lang w:eastAsia="en-AU"/>
        </w:rPr>
        <w:t>’</w:t>
      </w:r>
      <w:r w:rsidRPr="0061535B">
        <w:rPr>
          <w:rFonts w:cs="Times New Roman"/>
          <w:lang w:eastAsia="en-AU"/>
        </w:rPr>
        <w:t>s short-lived successor) even went so far as to make Arius a presbyter – a generous promotion which would not even have been contemplated if he had been a Melitian sympathiser.</w:t>
      </w:r>
    </w:p>
    <w:p w:rsidR="0061535B" w:rsidRPr="0061535B" w:rsidRDefault="000F1348" w:rsidP="000F1348">
      <w:pPr>
        <w:rPr>
          <w:rFonts w:cs="Times New Roman"/>
          <w:lang w:eastAsia="en-AU"/>
        </w:rPr>
      </w:pPr>
      <w:r w:rsidRPr="0061535B">
        <w:rPr>
          <w:rFonts w:cs="Times New Roman"/>
          <w:lang w:eastAsia="en-AU"/>
        </w:rPr>
        <w:br/>
        <w:t>Following the death of Achillas, the see of Alexandria was granted to Bishop Alexander, who divided the city into quarters over which he appointed four presbyters. Of the four places available, Arius somehow ended up with the worst: he was made presbyter of the Baucalis or wharf quarter, a seedy locale in the roughest part of the city.</w:t>
      </w:r>
    </w:p>
    <w:p w:rsidR="0061535B" w:rsidRDefault="000F1348" w:rsidP="000F1348">
      <w:pPr>
        <w:rPr>
          <w:rFonts w:ascii="Times New Roman" w:hAnsi="Times New Roman" w:cs="Times New Roman"/>
          <w:lang w:eastAsia="en-AU"/>
        </w:rPr>
      </w:pPr>
      <w:r w:rsidRPr="0061535B">
        <w:rPr>
          <w:rFonts w:cs="Times New Roman"/>
          <w:lang w:eastAsia="en-AU"/>
        </w:rPr>
        <w:br/>
        <w:t xml:space="preserve">In retrospect, he was an ideal candidate for the role. His age and wisdom commanded respect, his grey hair and slim build lent an air of distinction and his scrupulous personal morality (a somewhat irregular virtue in </w:t>
      </w:r>
      <w:r w:rsidR="0061535B" w:rsidRPr="0061535B">
        <w:rPr>
          <w:rFonts w:cs="Times New Roman"/>
          <w:lang w:eastAsia="en-AU"/>
        </w:rPr>
        <w:t>4</w:t>
      </w:r>
      <w:r w:rsidR="0061535B" w:rsidRPr="0061535B">
        <w:rPr>
          <w:rFonts w:cs="Times New Roman"/>
          <w:vertAlign w:val="superscript"/>
          <w:lang w:eastAsia="en-AU"/>
        </w:rPr>
        <w:t>th</w:t>
      </w:r>
      <w:r w:rsidR="0061535B" w:rsidRPr="0061535B">
        <w:rPr>
          <w:rFonts w:cs="Times New Roman"/>
          <w:lang w:eastAsia="en-AU"/>
        </w:rPr>
        <w:t xml:space="preserve"> Century</w:t>
      </w:r>
      <w:r w:rsidRPr="0061535B">
        <w:rPr>
          <w:rFonts w:cs="Times New Roman"/>
          <w:lang w:eastAsia="en-AU"/>
        </w:rPr>
        <w:t xml:space="preserve"> presbyters) was much admired. Standing well above the height of the average man, he was also immune to physical intimidation and enjoyed an arresting presence.</w:t>
      </w:r>
    </w:p>
    <w:p w:rsidR="0061535B" w:rsidRPr="0061535B" w:rsidRDefault="000F1348" w:rsidP="000F1348">
      <w:pPr>
        <w:rPr>
          <w:rFonts w:cs="Times New Roman"/>
          <w:lang w:eastAsia="en-AU"/>
        </w:rPr>
      </w:pPr>
      <w:r w:rsidRPr="0061535B">
        <w:rPr>
          <w:rFonts w:cs="Times New Roman"/>
          <w:lang w:eastAsia="en-AU"/>
        </w:rPr>
        <w:br/>
        <w:t>Arius delighted his congregation by composing his sermons in rhythmic meter and singing them to the tune of popular ballads. These often contained explicit references to Arian Christology. Surprisingly, the wider implications of Arius</w:t>
      </w:r>
      <w:r w:rsidR="000E2CE6" w:rsidRPr="0061535B">
        <w:rPr>
          <w:rFonts w:cs="Times New Roman"/>
          <w:lang w:eastAsia="en-AU"/>
        </w:rPr>
        <w:t>’</w:t>
      </w:r>
      <w:r w:rsidRPr="0061535B">
        <w:rPr>
          <w:rFonts w:cs="Times New Roman"/>
          <w:lang w:eastAsia="en-AU"/>
        </w:rPr>
        <w:t xml:space="preserve"> views were not immediately apparent to his bishop.</w:t>
      </w:r>
    </w:p>
    <w:p w:rsidR="0061535B" w:rsidRPr="0061535B" w:rsidRDefault="000F1348" w:rsidP="000F1348">
      <w:pPr>
        <w:rPr>
          <w:rFonts w:cs="Times New Roman"/>
          <w:lang w:eastAsia="en-AU"/>
        </w:rPr>
      </w:pPr>
      <w:r w:rsidRPr="0061535B">
        <w:rPr>
          <w:rFonts w:cs="Times New Roman"/>
          <w:lang w:eastAsia="en-AU"/>
        </w:rPr>
        <w:t>Although disturbed by the thought of heresy being taught right under his nose, Alexander believed this was a minor affair of purely local significance. He generously proposed that Arius</w:t>
      </w:r>
      <w:r w:rsidR="000E2CE6" w:rsidRPr="0061535B">
        <w:rPr>
          <w:rFonts w:cs="Times New Roman"/>
          <w:lang w:eastAsia="en-AU"/>
        </w:rPr>
        <w:t>’</w:t>
      </w:r>
      <w:r w:rsidRPr="0061535B">
        <w:rPr>
          <w:rFonts w:cs="Times New Roman"/>
          <w:lang w:eastAsia="en-AU"/>
        </w:rPr>
        <w:t xml:space="preserve"> teachings should be examined in a private forum which would allow him an opportunity to clarify his beliefs and respond to his critics.</w:t>
      </w:r>
    </w:p>
    <w:p w:rsidR="0061535B" w:rsidRDefault="000F1348" w:rsidP="000F1348">
      <w:pPr>
        <w:rPr>
          <w:rStyle w:val="QuoteChar"/>
        </w:rPr>
      </w:pPr>
      <w:r w:rsidRPr="0061535B">
        <w:rPr>
          <w:rFonts w:cs="Times New Roman"/>
          <w:lang w:eastAsia="en-AU"/>
        </w:rPr>
        <w:br/>
        <w:t>Thus, in the presence of Alexander, Arius is alleged to have stated:</w:t>
      </w:r>
      <w:r w:rsidRPr="0061535B">
        <w:rPr>
          <w:rFonts w:cs="Times New Roman"/>
          <w:lang w:eastAsia="en-AU"/>
        </w:rPr>
        <w:br/>
      </w:r>
      <w:r w:rsidRPr="0061535B">
        <w:rPr>
          <w:rFonts w:cs="Times New Roman"/>
          <w:lang w:eastAsia="en-AU"/>
        </w:rPr>
        <w:br/>
      </w:r>
      <w:r w:rsidRPr="0061535B">
        <w:rPr>
          <w:rStyle w:val="QuoteChar"/>
        </w:rPr>
        <w:tab/>
        <w:t>Before he [Christ] was begotten, he was not.</w:t>
      </w:r>
    </w:p>
    <w:p w:rsidR="0061535B" w:rsidRDefault="000F1348" w:rsidP="000F1348">
      <w:pPr>
        <w:rPr>
          <w:rFonts w:cs="Times New Roman"/>
          <w:i/>
          <w:lang w:eastAsia="en-AU"/>
        </w:rPr>
      </w:pPr>
      <w:r w:rsidRPr="0061535B">
        <w:rPr>
          <w:rFonts w:cs="Times New Roman"/>
          <w:lang w:eastAsia="en-AU"/>
        </w:rPr>
        <w:br/>
        <w:t>By this Arius would have meant that Jesus Christ was the Word, or Logos; a created being which God called into existence before the creation of the world, in order to create all else through him. Even if the quote is falsely attributed, the essential predicate of Arius</w:t>
      </w:r>
      <w:r w:rsidR="000E2CE6" w:rsidRPr="0061535B">
        <w:rPr>
          <w:rFonts w:cs="Times New Roman"/>
          <w:lang w:eastAsia="en-AU"/>
        </w:rPr>
        <w:t>’</w:t>
      </w:r>
      <w:r w:rsidRPr="0061535B">
        <w:rPr>
          <w:rFonts w:cs="Times New Roman"/>
          <w:lang w:eastAsia="en-AU"/>
        </w:rPr>
        <w:t xml:space="preserve"> Christology remains the same: Jesus himself is not truly God but stands on the side of creation as a unique </w:t>
      </w:r>
      <w:r w:rsidRPr="0061535B">
        <w:rPr>
          <w:rFonts w:cs="Times New Roman"/>
          <w:lang w:eastAsia="en-AU"/>
        </w:rPr>
        <w:lastRenderedPageBreak/>
        <w:t xml:space="preserve">product of the Father, mysteriously </w:t>
      </w:r>
      <w:r w:rsidR="000E2CE6" w:rsidRPr="0061535B">
        <w:rPr>
          <w:rFonts w:cs="Times New Roman"/>
          <w:lang w:eastAsia="en-AU"/>
        </w:rPr>
        <w:t>‘</w:t>
      </w:r>
      <w:r w:rsidRPr="0061535B">
        <w:rPr>
          <w:rFonts w:cs="Times New Roman"/>
          <w:lang w:eastAsia="en-AU"/>
        </w:rPr>
        <w:t>begotten</w:t>
      </w:r>
      <w:r w:rsidR="000E2CE6" w:rsidRPr="0061535B">
        <w:rPr>
          <w:rFonts w:cs="Times New Roman"/>
          <w:lang w:eastAsia="en-AU"/>
        </w:rPr>
        <w:t>’</w:t>
      </w:r>
      <w:r w:rsidRPr="0061535B">
        <w:rPr>
          <w:rFonts w:cs="Times New Roman"/>
          <w:lang w:eastAsia="en-AU"/>
        </w:rPr>
        <w:t xml:space="preserve"> by some incomprehensible process and therefore not actually </w:t>
      </w:r>
      <w:r w:rsidR="000E2CE6" w:rsidRPr="0061535B">
        <w:rPr>
          <w:rFonts w:cs="Times New Roman"/>
          <w:lang w:eastAsia="en-AU"/>
        </w:rPr>
        <w:t>‘</w:t>
      </w:r>
      <w:r w:rsidRPr="0061535B">
        <w:rPr>
          <w:rFonts w:cs="Times New Roman"/>
          <w:lang w:eastAsia="en-AU"/>
        </w:rPr>
        <w:t>created</w:t>
      </w:r>
      <w:r w:rsidR="000E2CE6" w:rsidRPr="0061535B">
        <w:rPr>
          <w:rFonts w:cs="Times New Roman"/>
          <w:lang w:eastAsia="en-AU"/>
        </w:rPr>
        <w:t>’</w:t>
      </w:r>
      <w:r w:rsidRPr="0061535B">
        <w:rPr>
          <w:rFonts w:cs="Times New Roman"/>
          <w:lang w:eastAsia="en-AU"/>
        </w:rPr>
        <w:t xml:space="preserve"> </w:t>
      </w:r>
      <w:r w:rsidRPr="0061535B">
        <w:rPr>
          <w:rFonts w:cs="Times New Roman"/>
          <w:i/>
          <w:lang w:eastAsia="en-AU"/>
        </w:rPr>
        <w:t>per se.</w:t>
      </w:r>
    </w:p>
    <w:p w:rsidR="00514D21" w:rsidRPr="0061535B" w:rsidRDefault="00514D21" w:rsidP="000F1348">
      <w:pPr>
        <w:rPr>
          <w:rFonts w:cs="Times New Roman"/>
          <w:i/>
          <w:lang w:eastAsia="en-AU"/>
        </w:rPr>
      </w:pPr>
    </w:p>
    <w:p w:rsidR="0061535B" w:rsidRPr="0061535B" w:rsidRDefault="000F1348" w:rsidP="000F1348">
      <w:pPr>
        <w:rPr>
          <w:rFonts w:cs="Times New Roman"/>
          <w:i/>
          <w:lang w:eastAsia="en-AU"/>
        </w:rPr>
      </w:pPr>
      <w:r w:rsidRPr="0061535B">
        <w:rPr>
          <w:rFonts w:cs="Times New Roman"/>
          <w:lang w:eastAsia="en-AU"/>
        </w:rPr>
        <w:t>Arianism was heterodox, but no more so than any other belief of the day. Alexander found it offensive, though he stopped short of punitive action. Over time, a series of increasingly agitated meetings were held between Alexander and his deacons as they struggled to agree on a suitable response to Arianism. These early investigations into Arius</w:t>
      </w:r>
      <w:r w:rsidR="000E2CE6" w:rsidRPr="0061535B">
        <w:rPr>
          <w:rFonts w:cs="Times New Roman"/>
          <w:lang w:eastAsia="en-AU"/>
        </w:rPr>
        <w:t>’</w:t>
      </w:r>
      <w:r w:rsidRPr="0061535B">
        <w:rPr>
          <w:rFonts w:cs="Times New Roman"/>
          <w:lang w:eastAsia="en-AU"/>
        </w:rPr>
        <w:t xml:space="preserve"> Christology were not belligerent; Arius was simply asked to withdraw and discard his teachings on the nature of Christ. He refused. Popular support was on his side, and he continued to preach as before. Shocked by this defiance, Alexander convened a local church council, which ruled that Arius should be deposed from office and excommunicated with his clerical adherents. Suddenly Arius found </w:t>
      </w:r>
      <w:proofErr w:type="gramStart"/>
      <w:r w:rsidRPr="0061535B">
        <w:rPr>
          <w:rFonts w:cs="Times New Roman"/>
          <w:lang w:eastAsia="en-AU"/>
        </w:rPr>
        <w:t>himself</w:t>
      </w:r>
      <w:proofErr w:type="gramEnd"/>
      <w:r w:rsidRPr="0061535B">
        <w:rPr>
          <w:rFonts w:cs="Times New Roman"/>
          <w:lang w:eastAsia="en-AU"/>
        </w:rPr>
        <w:t xml:space="preserve"> </w:t>
      </w:r>
      <w:r w:rsidRPr="0061535B">
        <w:rPr>
          <w:rFonts w:cs="Times New Roman"/>
          <w:i/>
          <w:lang w:eastAsia="en-AU"/>
        </w:rPr>
        <w:t>persona non grata.</w:t>
      </w:r>
    </w:p>
    <w:p w:rsidR="0061535B" w:rsidRPr="0061535B" w:rsidRDefault="000F1348" w:rsidP="000F1348">
      <w:pPr>
        <w:rPr>
          <w:rFonts w:cs="Times New Roman"/>
          <w:lang w:eastAsia="en-AU"/>
        </w:rPr>
      </w:pPr>
      <w:r w:rsidRPr="0061535B">
        <w:rPr>
          <w:rFonts w:cs="Times New Roman"/>
          <w:lang w:eastAsia="en-AU"/>
        </w:rPr>
        <w:br/>
        <w:t>Given Alexander</w:t>
      </w:r>
      <w:r w:rsidR="000E2CE6" w:rsidRPr="0061535B">
        <w:rPr>
          <w:rFonts w:cs="Times New Roman"/>
          <w:lang w:eastAsia="en-AU"/>
        </w:rPr>
        <w:t>’</w:t>
      </w:r>
      <w:r w:rsidRPr="0061535B">
        <w:rPr>
          <w:rFonts w:cs="Times New Roman"/>
          <w:lang w:eastAsia="en-AU"/>
        </w:rPr>
        <w:t xml:space="preserve">s initial tact, one might ask why this final judgement was so severe. Several </w:t>
      </w:r>
      <w:r w:rsidR="0061535B" w:rsidRPr="0061535B">
        <w:rPr>
          <w:rFonts w:cs="Times New Roman"/>
          <w:lang w:eastAsia="en-AU"/>
        </w:rPr>
        <w:t>factors may be involved. First</w:t>
      </w:r>
      <w:r w:rsidRPr="0061535B">
        <w:rPr>
          <w:rFonts w:cs="Times New Roman"/>
          <w:lang w:eastAsia="en-AU"/>
        </w:rPr>
        <w:t>, Alexander needed to reassert his authority. Secondly, he was now aware that Arius</w:t>
      </w:r>
      <w:r w:rsidR="000E2CE6" w:rsidRPr="0061535B">
        <w:rPr>
          <w:rFonts w:cs="Times New Roman"/>
          <w:lang w:eastAsia="en-AU"/>
        </w:rPr>
        <w:t>’</w:t>
      </w:r>
      <w:r w:rsidRPr="0061535B">
        <w:rPr>
          <w:rFonts w:cs="Times New Roman"/>
          <w:lang w:eastAsia="en-AU"/>
        </w:rPr>
        <w:t xml:space="preserve"> supporters comprised a significant proportion of the clergy. This threatened the stability of the entire Alexandrian church. Thirdly, Arius had recently criticised Alexander</w:t>
      </w:r>
      <w:r w:rsidR="000E2CE6" w:rsidRPr="0061535B">
        <w:rPr>
          <w:rFonts w:cs="Times New Roman"/>
          <w:lang w:eastAsia="en-AU"/>
        </w:rPr>
        <w:t>’</w:t>
      </w:r>
      <w:r w:rsidRPr="0061535B">
        <w:rPr>
          <w:rFonts w:cs="Times New Roman"/>
          <w:lang w:eastAsia="en-AU"/>
        </w:rPr>
        <w:t>s own Christology as Sabellian, and the bishop was keen to retaliate. Finally, Alexander needed to mitigate any criticism that he had been overtaken by events by failing to recognise the danger of Arianism.</w:t>
      </w:r>
      <w:r w:rsidRPr="0061535B">
        <w:rPr>
          <w:rStyle w:val="FootnoteReference"/>
          <w:lang w:eastAsia="en-AU"/>
        </w:rPr>
        <w:footnoteReference w:id="72"/>
      </w:r>
    </w:p>
    <w:p w:rsidR="0061535B" w:rsidRPr="0061535B" w:rsidRDefault="000F1348" w:rsidP="000F1348">
      <w:pPr>
        <w:rPr>
          <w:rFonts w:cs="Times New Roman"/>
          <w:lang w:eastAsia="en-AU"/>
        </w:rPr>
      </w:pPr>
      <w:r w:rsidRPr="0061535B">
        <w:rPr>
          <w:rFonts w:cs="Times New Roman"/>
          <w:lang w:eastAsia="en-AU"/>
        </w:rPr>
        <w:t xml:space="preserve"> </w:t>
      </w:r>
      <w:r w:rsidRPr="0061535B">
        <w:rPr>
          <w:rFonts w:cs="Times New Roman"/>
          <w:lang w:eastAsia="en-AU"/>
        </w:rPr>
        <w:br/>
        <w:t>If Alexander believed excommunication would marginalise Arius, he was wrong. Support for Arianism continued to grow, and its influence began to spread beyond Alexandria. Even the bishops of Ptolemais and Marmarica were persuaded by Arian Christology. Correctly noting that the church still lacked a universal Christology, Arius refused to recognise his excommunication and sent a letter of protest to Bishop Eusebius of Nicomedia, detailing his confrontation with Alexandria.</w:t>
      </w:r>
    </w:p>
    <w:p w:rsidR="0061535B" w:rsidRPr="0061535B" w:rsidRDefault="000F1348" w:rsidP="000F1348">
      <w:pPr>
        <w:rPr>
          <w:rFonts w:cs="Times New Roman"/>
          <w:lang w:eastAsia="en-AU"/>
        </w:rPr>
      </w:pPr>
      <w:r w:rsidRPr="0061535B">
        <w:rPr>
          <w:rFonts w:cs="Times New Roman"/>
          <w:lang w:eastAsia="en-AU"/>
        </w:rPr>
        <w:br/>
        <w:t xml:space="preserve">It was an adroit political </w:t>
      </w:r>
      <w:r w:rsidRPr="0061535B">
        <w:rPr>
          <w:rFonts w:cs="Times New Roman"/>
          <w:lang w:val="en-GB" w:eastAsia="en-AU"/>
        </w:rPr>
        <w:t>manoeuvre</w:t>
      </w:r>
      <w:r w:rsidRPr="0061535B">
        <w:rPr>
          <w:rFonts w:cs="Times New Roman"/>
          <w:lang w:eastAsia="en-AU"/>
        </w:rPr>
        <w:t xml:space="preserve">, instantly depriving the conflict of its local limitations and ensuring its impact would be felt throughout the entire Eastern </w:t>
      </w:r>
      <w:r w:rsidR="0061535B" w:rsidRPr="0061535B">
        <w:rPr>
          <w:rFonts w:cs="Times New Roman"/>
          <w:lang w:eastAsia="en-AU"/>
        </w:rPr>
        <w:t>Church</w:t>
      </w:r>
      <w:r w:rsidRPr="0061535B">
        <w:rPr>
          <w:rFonts w:cs="Times New Roman"/>
          <w:lang w:eastAsia="en-AU"/>
        </w:rPr>
        <w:t xml:space="preserve">. The decision forced Alexander to take more decisive action. </w:t>
      </w:r>
      <w:r w:rsidRPr="0061535B">
        <w:rPr>
          <w:rFonts w:cs="Times New Roman"/>
          <w:lang w:eastAsia="en-AU"/>
        </w:rPr>
        <w:lastRenderedPageBreak/>
        <w:t xml:space="preserve">He immediately summoned a general council of all Egypt, at which one hundred bishops renounced the </w:t>
      </w:r>
      <w:r w:rsidR="000E2CE6" w:rsidRPr="0061535B">
        <w:rPr>
          <w:rFonts w:cs="Times New Roman"/>
          <w:lang w:eastAsia="en-AU"/>
        </w:rPr>
        <w:t>‘</w:t>
      </w:r>
      <w:r w:rsidRPr="0061535B">
        <w:rPr>
          <w:rFonts w:cs="Times New Roman"/>
          <w:lang w:eastAsia="en-AU"/>
        </w:rPr>
        <w:t>Arian Heresy</w:t>
      </w:r>
      <w:r w:rsidR="000E2CE6" w:rsidRPr="0061535B">
        <w:rPr>
          <w:rFonts w:cs="Times New Roman"/>
          <w:lang w:eastAsia="en-AU"/>
        </w:rPr>
        <w:t>’</w:t>
      </w:r>
      <w:r w:rsidRPr="0061535B">
        <w:rPr>
          <w:rFonts w:cs="Times New Roman"/>
          <w:lang w:eastAsia="en-AU"/>
        </w:rPr>
        <w:t xml:space="preserve"> and re-affirmed the excommunication of Arius and all his defenders in the Egyptian and Libyan clergy.</w:t>
      </w:r>
    </w:p>
    <w:p w:rsidR="0061535B" w:rsidRPr="0061535B" w:rsidRDefault="000F1348" w:rsidP="000F1348">
      <w:pPr>
        <w:rPr>
          <w:rFonts w:cs="Times New Roman"/>
          <w:lang w:eastAsia="en-AU"/>
        </w:rPr>
      </w:pPr>
      <w:r w:rsidRPr="0061535B">
        <w:rPr>
          <w:rFonts w:cs="Times New Roman"/>
          <w:lang w:eastAsia="en-AU"/>
        </w:rPr>
        <w:br/>
        <w:t>The resulting encyclical consisted of a concise account of Arius</w:t>
      </w:r>
      <w:r w:rsidR="000E2CE6" w:rsidRPr="0061535B">
        <w:rPr>
          <w:rFonts w:cs="Times New Roman"/>
          <w:lang w:eastAsia="en-AU"/>
        </w:rPr>
        <w:t>’</w:t>
      </w:r>
      <w:r w:rsidRPr="0061535B">
        <w:rPr>
          <w:rFonts w:cs="Times New Roman"/>
          <w:lang w:eastAsia="en-AU"/>
        </w:rPr>
        <w:t xml:space="preserve"> false doctrine, an extensive refutation on behalf of the synod, and a stinging reference to Eusebius of Nicomedia, as payback for his passive support of the errant priest. But by AD 320 it was clear that no amount of intimidation would cause Arius to recant. He had moved back to Nicomedia where he drew up a profession of faith, signed by </w:t>
      </w:r>
      <w:proofErr w:type="gramStart"/>
      <w:r w:rsidRPr="0061535B">
        <w:rPr>
          <w:rFonts w:cs="Times New Roman"/>
          <w:lang w:eastAsia="en-AU"/>
        </w:rPr>
        <w:t>himself</w:t>
      </w:r>
      <w:proofErr w:type="gramEnd"/>
      <w:r w:rsidRPr="0061535B">
        <w:rPr>
          <w:rFonts w:cs="Times New Roman"/>
          <w:lang w:eastAsia="en-AU"/>
        </w:rPr>
        <w:t xml:space="preserve"> and all those who had been excommunicated with him. It asserted that the faith which they held was that which they had heard Alexander proclaim within the Church of Alexandria; namely, that only the Father is eternal – He alone is without beginning – and the Son, God</w:t>
      </w:r>
      <w:r w:rsidR="000E2CE6" w:rsidRPr="0061535B">
        <w:rPr>
          <w:rFonts w:cs="Times New Roman"/>
          <w:lang w:eastAsia="en-AU"/>
        </w:rPr>
        <w:t>’</w:t>
      </w:r>
      <w:r w:rsidRPr="0061535B">
        <w:rPr>
          <w:rFonts w:cs="Times New Roman"/>
          <w:lang w:eastAsia="en-AU"/>
        </w:rPr>
        <w:t>s perfect creature, does not possess his being with the Father, since the Father existed before the Son.</w:t>
      </w:r>
    </w:p>
    <w:p w:rsidR="0061535B" w:rsidRPr="009D0400" w:rsidRDefault="000F1348" w:rsidP="000F1348">
      <w:pPr>
        <w:rPr>
          <w:rFonts w:cs="Times New Roman"/>
          <w:lang w:eastAsia="en-AU"/>
        </w:rPr>
      </w:pPr>
      <w:r w:rsidRPr="009D0400">
        <w:rPr>
          <w:rFonts w:cs="Times New Roman"/>
          <w:lang w:eastAsia="en-AU"/>
        </w:rPr>
        <w:br/>
        <w:t xml:space="preserve">Eusebius of Nicomedia lent considerable authority to the Arian cause by convening a local council which declared Arius orthodox and readmitted him to communion. Encouraged by this success, and perhaps sensing an opportunity to consolidate his support base, Arius composed a new sermon called </w:t>
      </w:r>
      <w:r w:rsidRPr="009D0400">
        <w:rPr>
          <w:rFonts w:cs="Times New Roman"/>
          <w:i/>
          <w:lang w:eastAsia="en-AU"/>
        </w:rPr>
        <w:t>Thalia</w:t>
      </w:r>
      <w:r w:rsidRPr="009D0400">
        <w:rPr>
          <w:rFonts w:cs="Times New Roman"/>
          <w:lang w:eastAsia="en-AU"/>
        </w:rPr>
        <w:t xml:space="preserve"> (</w:t>
      </w:r>
      <w:r w:rsidR="000E2CE6" w:rsidRPr="009D0400">
        <w:rPr>
          <w:rFonts w:cs="Times New Roman"/>
          <w:lang w:eastAsia="en-AU"/>
        </w:rPr>
        <w:t>‘</w:t>
      </w:r>
      <w:r w:rsidRPr="009D0400">
        <w:rPr>
          <w:rFonts w:cs="Times New Roman"/>
          <w:lang w:eastAsia="en-AU"/>
        </w:rPr>
        <w:t>The Banquet</w:t>
      </w:r>
      <w:r w:rsidR="000E2CE6" w:rsidRPr="009D0400">
        <w:rPr>
          <w:rFonts w:cs="Times New Roman"/>
          <w:lang w:eastAsia="en-AU"/>
        </w:rPr>
        <w:t>’</w:t>
      </w:r>
      <w:r w:rsidRPr="009D0400">
        <w:rPr>
          <w:rFonts w:cs="Times New Roman"/>
          <w:lang w:eastAsia="en-AU"/>
        </w:rPr>
        <w:t>) which contains some of the most famous references to his idiosyncratic Christology. An excerpt follows:</w:t>
      </w:r>
    </w:p>
    <w:p w:rsidR="0061535B" w:rsidRDefault="0061535B" w:rsidP="0061535B">
      <w:pPr>
        <w:pStyle w:val="Quote"/>
      </w:pPr>
      <w:r>
        <w:br/>
      </w:r>
      <w:r w:rsidR="000F1348">
        <w:t xml:space="preserve">The Unbegun made the Son a beginning of things originated; and </w:t>
      </w:r>
      <w:r>
        <w:t>a</w:t>
      </w:r>
      <w:r w:rsidR="000F1348">
        <w:t xml:space="preserve">dvanced Him as </w:t>
      </w:r>
      <w:r>
        <w:t>a</w:t>
      </w:r>
      <w:r>
        <w:tab/>
        <w:t xml:space="preserve">Son to Himself by adoption. </w:t>
      </w:r>
      <w:r w:rsidR="000F1348">
        <w:t xml:space="preserve">He has nothing proper </w:t>
      </w:r>
      <w:r>
        <w:t xml:space="preserve">to God in proper subsistence. </w:t>
      </w:r>
      <w:r w:rsidR="000F1348">
        <w:t xml:space="preserve">For He is not equal, no, </w:t>
      </w:r>
      <w:proofErr w:type="spellStart"/>
      <w:r>
        <w:t>nor</w:t>
      </w:r>
      <w:proofErr w:type="spellEnd"/>
      <w:r>
        <w:t xml:space="preserve"> one in essence with Him...</w:t>
      </w:r>
      <w:r w:rsidR="000F1348">
        <w:t xml:space="preserve">Thus there is a Triad, not in </w:t>
      </w:r>
      <w:r>
        <w:t xml:space="preserve">equal glories. </w:t>
      </w:r>
      <w:r w:rsidR="000F1348">
        <w:t xml:space="preserve">Not intermingling with each </w:t>
      </w:r>
      <w:r>
        <w:t xml:space="preserve">other are their subsistences. </w:t>
      </w:r>
      <w:r w:rsidR="000F1348">
        <w:t xml:space="preserve">One more glorious than the other in </w:t>
      </w:r>
      <w:r>
        <w:t>their glories unto immensity. F</w:t>
      </w:r>
      <w:r w:rsidR="000F1348">
        <w:t>oreign from the Son in essence is the Father, for He is without beginning.</w:t>
      </w:r>
      <w:r>
        <w:t xml:space="preserve"> </w:t>
      </w:r>
      <w:r w:rsidR="000F1348">
        <w:t>Understand that the Monad was; but the Dyad was not, before it was</w:t>
      </w:r>
      <w:r>
        <w:t xml:space="preserve"> </w:t>
      </w:r>
      <w:r w:rsidR="000F1348">
        <w:t>in existence.</w:t>
      </w:r>
      <w:r>
        <w:t xml:space="preserve"> </w:t>
      </w:r>
      <w:r w:rsidR="000F1348">
        <w:t>It follows at once that, though the Son was not, the Father was God.</w:t>
      </w:r>
      <w:r>
        <w:t xml:space="preserve"> </w:t>
      </w:r>
      <w:r w:rsidR="000F1348">
        <w:t>Hence the Son, not being (for He existed at the wi</w:t>
      </w:r>
      <w:r>
        <w:t>ll of the Father), is God Only-</w:t>
      </w:r>
      <w:r w:rsidR="000F1348">
        <w:t>Begotten, and He is alien from</w:t>
      </w:r>
      <w:r>
        <w:t xml:space="preserve"> </w:t>
      </w:r>
      <w:r w:rsidR="000F1348">
        <w:t>either.</w:t>
      </w:r>
      <w:r w:rsidR="000F1348" w:rsidRPr="0061535B">
        <w:rPr>
          <w:rStyle w:val="FootnoteReference"/>
          <w:lang w:eastAsia="en-AU"/>
        </w:rPr>
        <w:footnoteReference w:id="73"/>
      </w:r>
    </w:p>
    <w:p w:rsidR="009D0400" w:rsidRDefault="000F1348" w:rsidP="000F1348">
      <w:pPr>
        <w:rPr>
          <w:rFonts w:cs="Times New Roman"/>
          <w:lang w:eastAsia="en-AU"/>
        </w:rPr>
      </w:pPr>
      <w:r w:rsidRPr="009D0400">
        <w:rPr>
          <w:rFonts w:cs="Times New Roman"/>
          <w:lang w:eastAsia="en-AU"/>
        </w:rPr>
        <w:lastRenderedPageBreak/>
        <w:t xml:space="preserve">During the same year, Arius convoked a Bithynian synod which sent a circular to all bishops, calling for the restoration of ecclesiastical communion with those who had been excommunicated by </w:t>
      </w:r>
      <w:r w:rsidR="009D0400" w:rsidRPr="009D0400">
        <w:rPr>
          <w:rFonts w:cs="Times New Roman"/>
          <w:lang w:eastAsia="en-AU"/>
        </w:rPr>
        <w:t xml:space="preserve">the </w:t>
      </w:r>
      <w:r w:rsidRPr="009D0400">
        <w:rPr>
          <w:rFonts w:cs="Times New Roman"/>
          <w:lang w:eastAsia="en-AU"/>
        </w:rPr>
        <w:t>Bishop of Alexander. He protested that, since they were orthodox, pressure should be placed on the bishop to receive them back. His AD 320 profession of faith, with its multiple signatures, added considerable weight to this argument.</w:t>
      </w:r>
    </w:p>
    <w:p w:rsidR="000F1348" w:rsidRPr="009D0400" w:rsidRDefault="000F1348" w:rsidP="000F1348">
      <w:pPr>
        <w:rPr>
          <w:rFonts w:cs="Times New Roman"/>
          <w:lang w:eastAsia="en-AU"/>
        </w:rPr>
      </w:pPr>
      <w:r w:rsidRPr="009D0400">
        <w:rPr>
          <w:rFonts w:cs="Times New Roman"/>
          <w:lang w:eastAsia="en-AU"/>
        </w:rPr>
        <w:br/>
        <w:t>Alexander was now feeling pressure from many sides, and for the purpose of ecclesiastical harmony</w:t>
      </w:r>
      <w:r w:rsidR="009D0400">
        <w:rPr>
          <w:rFonts w:cs="Times New Roman"/>
          <w:lang w:eastAsia="en-AU"/>
        </w:rPr>
        <w:t>,</w:t>
      </w:r>
      <w:r w:rsidRPr="009D0400">
        <w:rPr>
          <w:rFonts w:cs="Times New Roman"/>
          <w:lang w:eastAsia="en-AU"/>
        </w:rPr>
        <w:t xml:space="preserve"> it appeared that the time was coming for him to revise his judgement on Arius. Until such a decision became imperative, however, the bishop still felt obliged to warn others of the inherent dangers contained in Arius</w:t>
      </w:r>
      <w:r w:rsidR="000E2CE6" w:rsidRPr="009D0400">
        <w:rPr>
          <w:rFonts w:cs="Times New Roman"/>
          <w:lang w:eastAsia="en-AU"/>
        </w:rPr>
        <w:t>’</w:t>
      </w:r>
      <w:r w:rsidRPr="009D0400">
        <w:rPr>
          <w:rFonts w:cs="Times New Roman"/>
          <w:lang w:eastAsia="en-AU"/>
        </w:rPr>
        <w:t xml:space="preserve"> teachings. Accordingly, he embarked on a massive correspondence campaign. Letters were sent to the bishops of the East, and obtained the support of those in Egypt, Palestine, Asia Minor, Greece and the Balkan Peninsula. The Bishop of Rome (Silvester I) was informed of the recent events in Alexandria, including the excommunication of the Alexandrian clerics. </w:t>
      </w:r>
      <w:r w:rsidRPr="009D0400">
        <w:rPr>
          <w:rFonts w:cs="Times New Roman"/>
          <w:lang w:eastAsia="en-AU"/>
        </w:rPr>
        <w:br/>
      </w:r>
      <w:r w:rsidRPr="009D0400">
        <w:rPr>
          <w:rFonts w:cs="Times New Roman"/>
          <w:lang w:eastAsia="en-AU"/>
        </w:rPr>
        <w:br/>
        <w:t>It was not long before full-scale literary warfare had broken out between the Arian and Alexandrian factions. Clerical dignity was forgotten as polemic from both sides included historical misrepresentations, doctrinal distortions, and crude accusations of a most personal nature. Inevitably, the split in Eastern Christianity came to the attention of Emperor Constantine.</w:t>
      </w:r>
    </w:p>
    <w:p w:rsidR="009D0400" w:rsidRDefault="009D0400">
      <w:pPr>
        <w:jc w:val="left"/>
      </w:pPr>
    </w:p>
    <w:p w:rsidR="009D0400" w:rsidRPr="009D0400" w:rsidRDefault="009D0400" w:rsidP="009D0400">
      <w:pPr>
        <w:jc w:val="right"/>
        <w:rPr>
          <w:i/>
        </w:rPr>
      </w:pPr>
      <w:r w:rsidRPr="009D0400">
        <w:rPr>
          <w:i/>
        </w:rPr>
        <w:t>To Be Continued</w:t>
      </w:r>
    </w:p>
    <w:p w:rsidR="00FE2A32" w:rsidRDefault="00FE2A32" w:rsidP="00FE2A32">
      <w:pPr>
        <w:rPr>
          <w:lang w:val="en-GB" w:eastAsia="en-GB"/>
        </w:rPr>
      </w:pPr>
    </w:p>
    <w:p w:rsidR="00FE2A32" w:rsidRPr="009D0400" w:rsidRDefault="00FE2A32" w:rsidP="00FE2A32">
      <w:pPr>
        <w:jc w:val="center"/>
        <w:rPr>
          <w:rFonts w:ascii="Bradley Hand ITC" w:hAnsi="Bradley Hand ITC"/>
          <w:b/>
        </w:rPr>
      </w:pPr>
      <w:r w:rsidRPr="009D0400">
        <w:rPr>
          <w:rFonts w:ascii="Bradley Hand ITC" w:hAnsi="Bradley Hand ITC"/>
          <w:b/>
          <w:sz w:val="28"/>
        </w:rPr>
        <w:t>Principles of Interpretation — J. Davies</w:t>
      </w:r>
    </w:p>
    <w:p w:rsidR="00FE2A32" w:rsidRDefault="00FE2A32" w:rsidP="00FE2A32">
      <w:pPr>
        <w:rPr>
          <w:b/>
        </w:rPr>
      </w:pP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 xml:space="preserve">Reading </w:t>
      </w:r>
      <w:r w:rsidRPr="00001407">
        <w:rPr>
          <w:rFonts w:cs="Calibri"/>
          <w:u w:val="single"/>
          <w:lang w:eastAsia="en-GB"/>
        </w:rPr>
        <w:t>carefully</w:t>
      </w:r>
      <w:r w:rsidRPr="00001407">
        <w:rPr>
          <w:rFonts w:cs="Calibri"/>
          <w:lang w:eastAsia="en-GB"/>
        </w:rPr>
        <w:t xml:space="preserve"> and giving the sense (Matt 12 vs. 3, Neh 8 vs. 8); </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Comparing spiritual things with spiritual (1 Cor 2 vs. 14)</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Dividing it (2 Tim 2 vs. 15)</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Looking at all the counsel of God (Acts 20 vs. 27)</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Following words through (Prov 25 vs. 2, 30 vs. 5)</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Repetition is for emphasis (Gen 41 vs. 32)</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Meditating all the day (Josh 1 vs. 8, Ps 1 vs. 2, Ps 119 vs. 15)</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rPr>
          <w:rFonts w:cs="Calibri"/>
          <w:lang w:eastAsia="en-GB"/>
        </w:rPr>
        <w:t>Testing it (1 Thess 5 vs. 21)</w:t>
      </w:r>
    </w:p>
    <w:p w:rsidR="00FE2A32" w:rsidRPr="00001407" w:rsidRDefault="00FE2A32" w:rsidP="00FE2A32">
      <w:pPr>
        <w:pBdr>
          <w:top w:val="single" w:sz="4" w:space="1" w:color="auto"/>
          <w:left w:val="single" w:sz="4" w:space="4" w:color="auto"/>
          <w:bottom w:val="single" w:sz="4" w:space="1" w:color="auto"/>
          <w:right w:val="single" w:sz="4" w:space="0" w:color="auto"/>
        </w:pBdr>
        <w:ind w:left="284" w:right="254"/>
        <w:jc w:val="left"/>
        <w:rPr>
          <w:rFonts w:cs="Times New Roman"/>
          <w:lang w:eastAsia="en-GB"/>
        </w:rPr>
      </w:pPr>
      <w:r w:rsidRPr="00001407">
        <w:t>Searching for Christ in the Old Testament (Luke 24 vs. 27, 44)</w:t>
      </w:r>
    </w:p>
    <w:p w:rsidR="009D0400" w:rsidRPr="00814E77" w:rsidRDefault="00FE2A32" w:rsidP="003D4C83">
      <w:pPr>
        <w:jc w:val="center"/>
        <w:rPr>
          <w:rFonts w:ascii="Bradley Hand ITC" w:hAnsi="Bradley Hand ITC"/>
          <w:b/>
          <w:sz w:val="28"/>
          <w:szCs w:val="28"/>
        </w:rPr>
      </w:pPr>
      <w:r>
        <w:br w:type="page"/>
      </w:r>
      <w:r w:rsidR="00814E77" w:rsidRPr="00814E77">
        <w:rPr>
          <w:rFonts w:ascii="Bradley Hand ITC" w:hAnsi="Bradley Hand ITC"/>
          <w:b/>
          <w:sz w:val="28"/>
          <w:szCs w:val="28"/>
        </w:rPr>
        <w:lastRenderedPageBreak/>
        <w:t>Who i</w:t>
      </w:r>
      <w:r w:rsidR="003D4C83" w:rsidRPr="00814E77">
        <w:rPr>
          <w:rFonts w:ascii="Bradley Hand ITC" w:hAnsi="Bradley Hand ITC"/>
          <w:b/>
          <w:sz w:val="28"/>
          <w:szCs w:val="28"/>
        </w:rPr>
        <w:t>s Immanuel?</w:t>
      </w:r>
    </w:p>
    <w:p w:rsidR="003D4C83" w:rsidRPr="003D4C83" w:rsidRDefault="003D4C83" w:rsidP="003D4C83">
      <w:pPr>
        <w:jc w:val="center"/>
        <w:rPr>
          <w:rFonts w:ascii="Bradley Hand ITC" w:hAnsi="Bradley Hand ITC"/>
          <w:b/>
          <w:sz w:val="28"/>
        </w:rPr>
      </w:pPr>
      <w:r w:rsidRPr="003D4C83">
        <w:rPr>
          <w:rFonts w:ascii="Bradley Hand ITC" w:hAnsi="Bradley Hand ITC"/>
          <w:b/>
          <w:sz w:val="28"/>
        </w:rPr>
        <w:t>A. Perry</w:t>
      </w:r>
    </w:p>
    <w:p w:rsidR="00BB4AA2" w:rsidRPr="008724A0" w:rsidRDefault="00BB4AA2" w:rsidP="003D4C83">
      <w:pPr>
        <w:rPr>
          <w:b/>
          <w:lang w:val="en-GB"/>
        </w:rPr>
      </w:pPr>
    </w:p>
    <w:p w:rsidR="00BB4AA2" w:rsidRDefault="00BB4AA2" w:rsidP="003D4C83">
      <w:pPr>
        <w:rPr>
          <w:rFonts w:ascii="Bradley Hand ITC" w:hAnsi="Bradley Hand ITC"/>
          <w:b/>
          <w:sz w:val="28"/>
          <w:lang w:val="en-GB"/>
        </w:rPr>
      </w:pPr>
      <w:r>
        <w:rPr>
          <w:rFonts w:ascii="Bradley Hand ITC" w:hAnsi="Bradley Hand ITC"/>
          <w:b/>
          <w:sz w:val="28"/>
          <w:lang w:val="en-GB"/>
        </w:rPr>
        <w:t>Introduction</w:t>
      </w:r>
    </w:p>
    <w:p w:rsidR="00BB4AA2" w:rsidRDefault="00BB4AA2" w:rsidP="003D4C83">
      <w:pPr>
        <w:rPr>
          <w:lang w:val="en-GB"/>
        </w:rPr>
      </w:pPr>
      <w:r>
        <w:rPr>
          <w:lang w:val="en-GB"/>
        </w:rPr>
        <w:t xml:space="preserve">Who is Immanuel? </w:t>
      </w:r>
      <w:r>
        <w:rPr>
          <w:szCs w:val="28"/>
          <w:lang w:eastAsia="en-GB" w:bidi="he-IL"/>
        </w:rPr>
        <w:t>It is not sufficient to interpret the Immanuel prophecy as messianic; it is clearly that</w:t>
      </w:r>
      <w:r w:rsidR="008724A0">
        <w:rPr>
          <w:szCs w:val="28"/>
          <w:lang w:eastAsia="en-GB" w:bidi="he-IL"/>
        </w:rPr>
        <w:t>,</w:t>
      </w:r>
      <w:r>
        <w:rPr>
          <w:szCs w:val="28"/>
          <w:lang w:eastAsia="en-GB" w:bidi="he-IL"/>
        </w:rPr>
        <w:t xml:space="preserve"> but it also has contemporary application. Does it refer to Hezekiah? </w:t>
      </w:r>
      <w:r>
        <w:rPr>
          <w:lang w:val="en-GB"/>
        </w:rPr>
        <w:t>H. A. Whittaker says in his commentary on Isaiah that he is Hezekiah;</w:t>
      </w:r>
      <w:r>
        <w:rPr>
          <w:rStyle w:val="FootnoteReference"/>
          <w:szCs w:val="28"/>
          <w:lang w:eastAsia="en-GB" w:bidi="he-IL"/>
        </w:rPr>
        <w:footnoteReference w:id="74"/>
      </w:r>
      <w:r>
        <w:rPr>
          <w:lang w:val="en-GB"/>
        </w:rPr>
        <w:t xml:space="preserve"> C. C. Walker in his joint commentary </w:t>
      </w:r>
      <w:r w:rsidR="00CC058C">
        <w:rPr>
          <w:lang w:val="en-GB"/>
        </w:rPr>
        <w:t xml:space="preserve">with R. Roberts </w:t>
      </w:r>
      <w:r>
        <w:rPr>
          <w:lang w:val="en-GB"/>
        </w:rPr>
        <w:t>says of the sign of Immanuel, “Hezekiah, though a worthy king, and a pleasant contrast with idolatrous Ahaz, was no such sign to the house of David”.</w:t>
      </w:r>
      <w:r>
        <w:rPr>
          <w:rStyle w:val="FootnoteReference"/>
          <w:lang w:val="en-GB"/>
        </w:rPr>
        <w:footnoteReference w:id="75"/>
      </w:r>
      <w:r>
        <w:rPr>
          <w:lang w:val="en-GB"/>
        </w:rPr>
        <w:t xml:space="preserve"> Who is right?</w:t>
      </w:r>
    </w:p>
    <w:p w:rsidR="00BB4AA2" w:rsidRDefault="00BB4AA2" w:rsidP="003D4C83">
      <w:pPr>
        <w:rPr>
          <w:lang w:val="en-GB"/>
        </w:rPr>
      </w:pPr>
    </w:p>
    <w:p w:rsidR="00BB4AA2" w:rsidRPr="009567CF" w:rsidRDefault="00BB4AA2" w:rsidP="003D4C83">
      <w:pPr>
        <w:rPr>
          <w:rFonts w:ascii="Bradley Hand ITC" w:hAnsi="Bradley Hand ITC"/>
          <w:b/>
          <w:sz w:val="28"/>
          <w:lang w:val="en-GB"/>
        </w:rPr>
      </w:pPr>
      <w:r w:rsidRPr="009567CF">
        <w:rPr>
          <w:rFonts w:ascii="Bradley Hand ITC" w:hAnsi="Bradley Hand ITC"/>
          <w:b/>
          <w:sz w:val="28"/>
          <w:lang w:val="en-GB"/>
        </w:rPr>
        <w:t>Hezekiah</w:t>
      </w:r>
    </w:p>
    <w:p w:rsidR="009567CF" w:rsidRDefault="009567CF" w:rsidP="009567CF">
      <w:pPr>
        <w:rPr>
          <w:szCs w:val="28"/>
          <w:lang w:eastAsia="en-GB" w:bidi="he-IL"/>
        </w:rPr>
      </w:pPr>
      <w:r>
        <w:rPr>
          <w:szCs w:val="28"/>
          <w:lang w:eastAsia="en-GB" w:bidi="he-IL"/>
        </w:rPr>
        <w:t>The strongest argument in favour of a Hezekiah identification is the fact that the prophecy about Immanuel is a birth prophecy and the Servant (</w:t>
      </w:r>
      <w:r w:rsidR="00737DBA">
        <w:rPr>
          <w:szCs w:val="28"/>
          <w:lang w:eastAsia="en-GB" w:bidi="he-IL"/>
        </w:rPr>
        <w:t xml:space="preserve">taken to be </w:t>
      </w:r>
      <w:r>
        <w:rPr>
          <w:szCs w:val="28"/>
          <w:lang w:eastAsia="en-GB" w:bidi="he-IL"/>
        </w:rPr>
        <w:t>Hezekiah</w:t>
      </w:r>
      <w:r w:rsidR="00CC058C">
        <w:rPr>
          <w:szCs w:val="28"/>
          <w:lang w:eastAsia="en-GB" w:bidi="he-IL"/>
        </w:rPr>
        <w:t>)</w:t>
      </w:r>
      <w:r>
        <w:rPr>
          <w:szCs w:val="28"/>
          <w:lang w:eastAsia="en-GB" w:bidi="he-IL"/>
        </w:rPr>
        <w:t xml:space="preserve"> affirms “The Lord has called me from the womb; from the bowels of my mother has he made mention of my name” (Isa 49:1, cf. v. 5). Another critical argument is that Judah is described as Immanuel’s land (Isa 8:8), indicating that he is of the royal house. If we include Isa 9:6 and 11:1 as Immanuel prophecies, he is to sit upon the throne of David (Isa 9:6-7), again indicating he is a son of Ahaz; and he is to come out of the “stem of Jesse” (Isa 11:1).</w:t>
      </w:r>
    </w:p>
    <w:p w:rsidR="009567CF" w:rsidRDefault="009567CF" w:rsidP="003D4C83">
      <w:pPr>
        <w:rPr>
          <w:rFonts w:ascii="Bradley Hand ITC" w:hAnsi="Bradley Hand ITC"/>
          <w:b/>
          <w:sz w:val="28"/>
          <w:lang w:val="en-GB"/>
        </w:rPr>
      </w:pPr>
    </w:p>
    <w:p w:rsidR="004A2E93" w:rsidRDefault="009567CF" w:rsidP="003D4C83">
      <w:pPr>
        <w:rPr>
          <w:szCs w:val="28"/>
          <w:lang w:eastAsia="en-GB" w:bidi="he-IL"/>
        </w:rPr>
      </w:pPr>
      <w:r>
        <w:rPr>
          <w:szCs w:val="28"/>
          <w:lang w:eastAsia="en-GB" w:bidi="he-IL"/>
        </w:rPr>
        <w:t>The major problem with this identification is chronology. There are two aspects to the chronological difficulty. The first, acknowledged by Whittaker</w:t>
      </w:r>
      <w:r w:rsidR="00CC058C">
        <w:rPr>
          <w:szCs w:val="28"/>
          <w:lang w:eastAsia="en-GB" w:bidi="he-IL"/>
        </w:rPr>
        <w:t>,</w:t>
      </w:r>
      <w:r>
        <w:rPr>
          <w:szCs w:val="28"/>
          <w:lang w:eastAsia="en-GB" w:bidi="he-IL"/>
        </w:rPr>
        <w:t xml:space="preserve"> is the age of Ahaz upon the birth of Hezekiah. Ahaz was 20 when he began to reign and he reigned for 16 years; Hezekiah was 25 when he began to reign (2 Kgs 16:2; 18:2). This would make Hezekiah 9 years old at the time of Isaiah 7 if that prophecy was delivered in the first year of Ahaz’ reign-count. Whittaker’s solution to the problem is to say that the MT is corrupt in giving Hezekiah’s age at accession as 25; he suggests that the Hebrew would require only a small emendation to become 15.</w:t>
      </w:r>
      <w:r w:rsidR="00737DBA">
        <w:rPr>
          <w:szCs w:val="28"/>
          <w:lang w:eastAsia="en-GB" w:bidi="he-IL"/>
        </w:rPr>
        <w:t xml:space="preserve"> </w:t>
      </w:r>
    </w:p>
    <w:p w:rsidR="004A2E93" w:rsidRDefault="004A2E93" w:rsidP="004A2E93">
      <w:pPr>
        <w:pStyle w:val="Quote"/>
      </w:pPr>
      <w:r>
        <w:lastRenderedPageBreak/>
        <w:t>Since there are signs that in the ancient copies numerals were not written in full but were indicated by letters used with numerical value, it would need only the smallest distortion in the text to make Hezekiah 15 at his accession (and not 25).</w:t>
      </w:r>
      <w:r>
        <w:rPr>
          <w:rStyle w:val="FootnoteReference"/>
          <w:szCs w:val="28"/>
        </w:rPr>
        <w:footnoteReference w:id="76"/>
      </w:r>
    </w:p>
    <w:p w:rsidR="004A2E93" w:rsidRDefault="004A2E93" w:rsidP="003D4C83">
      <w:pPr>
        <w:rPr>
          <w:szCs w:val="28"/>
          <w:lang w:eastAsia="en-GB" w:bidi="he-IL"/>
        </w:rPr>
      </w:pPr>
    </w:p>
    <w:p w:rsidR="00737DBA" w:rsidRDefault="00737DBA" w:rsidP="003D4C83">
      <w:pPr>
        <w:rPr>
          <w:szCs w:val="28"/>
          <w:lang w:eastAsia="en-GB" w:bidi="he-IL"/>
        </w:rPr>
      </w:pPr>
      <w:r>
        <w:rPr>
          <w:szCs w:val="28"/>
          <w:lang w:eastAsia="en-GB" w:bidi="he-IL"/>
        </w:rPr>
        <w:t xml:space="preserve">In saying this, he </w:t>
      </w:r>
      <w:r w:rsidR="004A2E93">
        <w:rPr>
          <w:szCs w:val="28"/>
          <w:lang w:eastAsia="en-GB" w:bidi="he-IL"/>
        </w:rPr>
        <w:t>seems to be</w:t>
      </w:r>
      <w:r>
        <w:rPr>
          <w:szCs w:val="28"/>
          <w:lang w:eastAsia="en-GB" w:bidi="he-IL"/>
        </w:rPr>
        <w:t xml:space="preserve"> assuming that the original Kings’ regnal notice used numerals (i.e. two Hebrew letters) and therefore it would be a small change to write ‘2’ for a ‘1’ with a ‘5’.</w:t>
      </w:r>
      <w:r w:rsidR="0045406B">
        <w:rPr>
          <w:rStyle w:val="FootnoteReference"/>
          <w:szCs w:val="28"/>
          <w:lang w:eastAsia="en-GB" w:bidi="he-IL"/>
        </w:rPr>
        <w:footnoteReference w:id="77"/>
      </w:r>
      <w:r>
        <w:rPr>
          <w:szCs w:val="28"/>
          <w:lang w:eastAsia="en-GB" w:bidi="he-IL"/>
        </w:rPr>
        <w:t xml:space="preserve"> There is no evidence for the supposition that the original Kings’ regnal notices used numerals and in the MT they have a variety of verb forms along with number-words as well as an idiom.</w:t>
      </w:r>
      <w:r w:rsidR="00262DAB">
        <w:rPr>
          <w:szCs w:val="28"/>
          <w:lang w:eastAsia="en-GB" w:bidi="he-IL"/>
        </w:rPr>
        <w:t xml:space="preserve"> If we suppose that the original had numerals then we do not have any inspired text in the regnal notices since they use words and idioms. We should rather take the current form of the regnal notices to be inspired</w:t>
      </w:r>
      <w:r w:rsidR="0045406B">
        <w:rPr>
          <w:szCs w:val="28"/>
          <w:lang w:eastAsia="en-GB" w:bidi="he-IL"/>
        </w:rPr>
        <w:t>,</w:t>
      </w:r>
      <w:r w:rsidR="00262DAB">
        <w:rPr>
          <w:szCs w:val="28"/>
          <w:lang w:eastAsia="en-GB" w:bidi="he-IL"/>
        </w:rPr>
        <w:t xml:space="preserve"> even if there have been errors of transmission since the record was written. </w:t>
      </w:r>
    </w:p>
    <w:p w:rsidR="009567CF" w:rsidRDefault="00737DBA" w:rsidP="003D4C83">
      <w:pPr>
        <w:rPr>
          <w:szCs w:val="28"/>
          <w:lang w:eastAsia="en-GB" w:bidi="he-IL"/>
        </w:rPr>
      </w:pPr>
      <w:r>
        <w:rPr>
          <w:szCs w:val="28"/>
          <w:lang w:eastAsia="en-GB" w:bidi="he-IL"/>
        </w:rPr>
        <w:t xml:space="preserve"> </w:t>
      </w:r>
    </w:p>
    <w:p w:rsidR="009567CF" w:rsidRDefault="00737DBA" w:rsidP="003D4C83">
      <w:pPr>
        <w:rPr>
          <w:rFonts w:cs="Bwhebb"/>
          <w:szCs w:val="36"/>
          <w:lang w:eastAsia="en-GB" w:bidi="he-IL"/>
        </w:rPr>
      </w:pPr>
      <w:r>
        <w:rPr>
          <w:szCs w:val="28"/>
          <w:lang w:eastAsia="en-GB" w:bidi="he-IL"/>
        </w:rPr>
        <w:t>T</w:t>
      </w:r>
      <w:r w:rsidR="009567CF">
        <w:rPr>
          <w:szCs w:val="28"/>
          <w:lang w:eastAsia="en-GB" w:bidi="he-IL"/>
        </w:rPr>
        <w:t xml:space="preserve">he Hebrew for “twenty-five” is </w:t>
      </w:r>
      <w:proofErr w:type="spellStart"/>
      <w:r w:rsidR="009567CF" w:rsidRPr="009567CF">
        <w:rPr>
          <w:rFonts w:ascii="Bwhebb" w:hAnsi="Bwhebb" w:cs="Bwhebb"/>
          <w:sz w:val="28"/>
          <w:szCs w:val="36"/>
          <w:lang w:eastAsia="en-GB" w:bidi="he-IL"/>
        </w:rPr>
        <w:t>vmxw</w:t>
      </w:r>
      <w:proofErr w:type="spellEnd"/>
      <w:r w:rsidR="009567CF" w:rsidRPr="009567CF">
        <w:rPr>
          <w:rFonts w:ascii="Bwhebb" w:hAnsi="Bwhebb" w:cs="Bwhebb"/>
          <w:sz w:val="28"/>
          <w:szCs w:val="36"/>
          <w:lang w:eastAsia="en-GB" w:bidi="he-IL"/>
        </w:rPr>
        <w:t xml:space="preserve"> ~</w:t>
      </w:r>
      <w:proofErr w:type="spellStart"/>
      <w:proofErr w:type="gramStart"/>
      <w:r w:rsidR="009567CF" w:rsidRPr="009567CF">
        <w:rPr>
          <w:rFonts w:ascii="Bwhebb" w:hAnsi="Bwhebb" w:cs="Bwhebb"/>
          <w:sz w:val="28"/>
          <w:szCs w:val="36"/>
          <w:lang w:eastAsia="en-GB" w:bidi="he-IL"/>
        </w:rPr>
        <w:t>yrf</w:t>
      </w:r>
      <w:proofErr w:type="spellEnd"/>
      <w:r w:rsidR="009567CF" w:rsidRPr="009567CF">
        <w:rPr>
          <w:rFonts w:ascii="Bwhebb" w:hAnsi="Bwhebb" w:cs="Bwhebb"/>
          <w:sz w:val="28"/>
          <w:szCs w:val="36"/>
          <w:lang w:eastAsia="en-GB" w:bidi="he-IL"/>
        </w:rPr>
        <w:t>[</w:t>
      </w:r>
      <w:proofErr w:type="gramEnd"/>
      <w:r w:rsidR="009567CF" w:rsidRPr="009567CF">
        <w:rPr>
          <w:rFonts w:ascii="Bwhebb" w:hAnsi="Bwhebb" w:cs="Bwhebb"/>
          <w:sz w:val="28"/>
          <w:szCs w:val="36"/>
          <w:lang w:eastAsia="en-GB" w:bidi="he-IL"/>
        </w:rPr>
        <w:t xml:space="preserve"> !b</w:t>
      </w:r>
      <w:r w:rsidR="009567CF" w:rsidRPr="009567CF">
        <w:rPr>
          <w:rFonts w:cs="Bwhebb"/>
          <w:sz w:val="22"/>
          <w:szCs w:val="36"/>
          <w:lang w:eastAsia="en-GB" w:bidi="he-IL"/>
        </w:rPr>
        <w:t xml:space="preserve"> </w:t>
      </w:r>
      <w:r>
        <w:rPr>
          <w:rFonts w:cs="Bwhebb"/>
          <w:sz w:val="22"/>
          <w:szCs w:val="36"/>
          <w:lang w:eastAsia="en-GB" w:bidi="he-IL"/>
        </w:rPr>
        <w:t xml:space="preserve">(“son of twenty and five”) </w:t>
      </w:r>
      <w:r w:rsidR="009567CF">
        <w:rPr>
          <w:rFonts w:cs="Bwhebb"/>
          <w:szCs w:val="36"/>
          <w:lang w:eastAsia="en-GB" w:bidi="he-IL"/>
        </w:rPr>
        <w:t xml:space="preserve">and the Hebrew for “fifteen” </w:t>
      </w:r>
      <w:r>
        <w:rPr>
          <w:rFonts w:cs="Bwhebb"/>
          <w:szCs w:val="36"/>
          <w:lang w:eastAsia="en-GB" w:bidi="he-IL"/>
        </w:rPr>
        <w:t>would be</w:t>
      </w:r>
      <w:r w:rsidR="009567CF">
        <w:rPr>
          <w:rFonts w:cs="Bwhebb"/>
          <w:szCs w:val="36"/>
          <w:lang w:eastAsia="en-GB" w:bidi="he-IL"/>
        </w:rPr>
        <w:t xml:space="preserve">  </w:t>
      </w:r>
      <w:proofErr w:type="spellStart"/>
      <w:r w:rsidR="009567CF" w:rsidRPr="009567CF">
        <w:rPr>
          <w:rFonts w:ascii="Bwhebb" w:hAnsi="Bwhebb" w:cs="Bwhebb"/>
          <w:sz w:val="28"/>
          <w:szCs w:val="36"/>
          <w:lang w:eastAsia="en-GB" w:bidi="he-IL"/>
        </w:rPr>
        <w:t>hrf</w:t>
      </w:r>
      <w:proofErr w:type="spellEnd"/>
      <w:r w:rsidR="009567CF" w:rsidRPr="009567CF">
        <w:rPr>
          <w:rFonts w:ascii="Bwhebb" w:hAnsi="Bwhebb" w:cs="Bwhebb"/>
          <w:sz w:val="28"/>
          <w:szCs w:val="36"/>
          <w:lang w:eastAsia="en-GB" w:bidi="he-IL"/>
        </w:rPr>
        <w:t>[</w:t>
      </w:r>
      <w:r w:rsidRPr="009567CF">
        <w:rPr>
          <w:rFonts w:ascii="Bwhebb" w:hAnsi="Bwhebb" w:cs="Bwhebb"/>
          <w:sz w:val="28"/>
          <w:szCs w:val="36"/>
          <w:lang w:eastAsia="en-GB" w:bidi="he-IL"/>
        </w:rPr>
        <w:t>w</w:t>
      </w:r>
      <w:r w:rsidR="009567CF" w:rsidRPr="009567CF">
        <w:rPr>
          <w:rFonts w:ascii="Bwhebb" w:hAnsi="Bwhebb" w:cs="Bwhebb"/>
          <w:sz w:val="28"/>
          <w:szCs w:val="36"/>
          <w:lang w:eastAsia="en-GB" w:bidi="he-IL"/>
        </w:rPr>
        <w:t xml:space="preserve"> </w:t>
      </w:r>
      <w:proofErr w:type="spellStart"/>
      <w:r w:rsidR="009567CF" w:rsidRPr="009567CF">
        <w:rPr>
          <w:rFonts w:ascii="Bwhebb" w:hAnsi="Bwhebb" w:cs="Bwhebb"/>
          <w:sz w:val="28"/>
          <w:szCs w:val="36"/>
          <w:lang w:eastAsia="en-GB" w:bidi="he-IL"/>
        </w:rPr>
        <w:t>vmx</w:t>
      </w:r>
      <w:proofErr w:type="spellEnd"/>
      <w:r w:rsidR="009567CF" w:rsidRPr="009567CF">
        <w:rPr>
          <w:rFonts w:cs="Bwhebb"/>
          <w:sz w:val="22"/>
          <w:szCs w:val="36"/>
          <w:lang w:eastAsia="en-GB" w:bidi="he-IL"/>
        </w:rPr>
        <w:t xml:space="preserve"> </w:t>
      </w:r>
      <w:r w:rsidRPr="009567CF">
        <w:rPr>
          <w:rFonts w:ascii="Bwhebb" w:hAnsi="Bwhebb" w:cs="Bwhebb"/>
          <w:sz w:val="28"/>
          <w:szCs w:val="36"/>
          <w:lang w:eastAsia="en-GB" w:bidi="he-IL"/>
        </w:rPr>
        <w:t>!b</w:t>
      </w:r>
      <w:r>
        <w:rPr>
          <w:rFonts w:cs="Bwhebb"/>
          <w:szCs w:val="36"/>
          <w:lang w:eastAsia="en-GB" w:bidi="he-IL"/>
        </w:rPr>
        <w:t xml:space="preserve"> </w:t>
      </w:r>
      <w:r w:rsidR="009567CF">
        <w:rPr>
          <w:rFonts w:cs="Bwhebb"/>
          <w:szCs w:val="36"/>
          <w:lang w:eastAsia="en-GB" w:bidi="he-IL"/>
        </w:rPr>
        <w:t>(</w:t>
      </w:r>
      <w:r>
        <w:rPr>
          <w:rFonts w:cs="Bwhebb"/>
          <w:szCs w:val="36"/>
          <w:lang w:eastAsia="en-GB" w:bidi="he-IL"/>
        </w:rPr>
        <w:t>“son of five ten”</w:t>
      </w:r>
      <w:r w:rsidR="00262DAB">
        <w:rPr>
          <w:rFonts w:cs="Bwhebb"/>
          <w:szCs w:val="36"/>
          <w:lang w:eastAsia="en-GB" w:bidi="he-IL"/>
        </w:rPr>
        <w:t>,</w:t>
      </w:r>
      <w:r>
        <w:rPr>
          <w:rFonts w:cs="Bwhebb"/>
          <w:szCs w:val="36"/>
          <w:lang w:eastAsia="en-GB" w:bidi="he-IL"/>
        </w:rPr>
        <w:t xml:space="preserve"> </w:t>
      </w:r>
      <w:r w:rsidR="00262DAB">
        <w:rPr>
          <w:rFonts w:cs="Bwhebb"/>
          <w:szCs w:val="36"/>
          <w:lang w:eastAsia="en-GB" w:bidi="he-IL"/>
        </w:rPr>
        <w:t xml:space="preserve">cf. </w:t>
      </w:r>
      <w:r w:rsidR="009567CF">
        <w:rPr>
          <w:rFonts w:cs="Bwhebb"/>
          <w:szCs w:val="36"/>
          <w:lang w:eastAsia="en-GB" w:bidi="he-IL"/>
        </w:rPr>
        <w:t>2 Kgs 20:6</w:t>
      </w:r>
      <w:r w:rsidR="00262DAB">
        <w:rPr>
          <w:rFonts w:cs="Bwhebb"/>
          <w:szCs w:val="36"/>
          <w:lang w:eastAsia="en-GB" w:bidi="he-IL"/>
        </w:rPr>
        <w:t xml:space="preserve"> for “fifteen” and 2 Kgs 16:2 for Uzziah’s age on accession which was sixteen</w:t>
      </w:r>
      <w:r w:rsidR="009567CF">
        <w:rPr>
          <w:rFonts w:cs="Bwhebb"/>
          <w:szCs w:val="36"/>
          <w:lang w:eastAsia="en-GB" w:bidi="he-IL"/>
        </w:rPr>
        <w:t>).</w:t>
      </w:r>
      <w:r w:rsidR="00360107">
        <w:rPr>
          <w:rStyle w:val="FootnoteReference"/>
          <w:szCs w:val="36"/>
          <w:lang w:eastAsia="en-GB" w:bidi="he-IL"/>
        </w:rPr>
        <w:footnoteReference w:id="78"/>
      </w:r>
      <w:r w:rsidR="009567CF">
        <w:rPr>
          <w:rFonts w:cs="Bwhebb"/>
          <w:szCs w:val="36"/>
          <w:lang w:eastAsia="en-GB" w:bidi="he-IL"/>
        </w:rPr>
        <w:t xml:space="preserve"> </w:t>
      </w:r>
      <w:r w:rsidR="00262DAB">
        <w:rPr>
          <w:rFonts w:cs="Bwhebb"/>
          <w:szCs w:val="36"/>
          <w:lang w:eastAsia="en-GB" w:bidi="he-IL"/>
        </w:rPr>
        <w:t xml:space="preserve">Any error in transmission here would involve </w:t>
      </w:r>
      <w:r w:rsidR="0045406B">
        <w:rPr>
          <w:rFonts w:cs="Bwhebb"/>
          <w:szCs w:val="36"/>
          <w:lang w:eastAsia="en-GB" w:bidi="he-IL"/>
        </w:rPr>
        <w:t>two</w:t>
      </w:r>
      <w:r w:rsidR="00262DAB">
        <w:rPr>
          <w:rFonts w:cs="Bwhebb"/>
          <w:szCs w:val="36"/>
          <w:lang w:eastAsia="en-GB" w:bidi="he-IL"/>
        </w:rPr>
        <w:t xml:space="preserve"> factors: </w:t>
      </w:r>
      <w:r w:rsidR="0045406B">
        <w:rPr>
          <w:rFonts w:cs="Bwhebb"/>
          <w:szCs w:val="36"/>
          <w:lang w:eastAsia="en-GB" w:bidi="he-IL"/>
        </w:rPr>
        <w:t xml:space="preserve">first, </w:t>
      </w:r>
      <w:r w:rsidR="009567CF">
        <w:rPr>
          <w:rFonts w:cs="Bwhebb"/>
          <w:szCs w:val="36"/>
          <w:lang w:eastAsia="en-GB" w:bidi="he-IL"/>
        </w:rPr>
        <w:t xml:space="preserve">a change to the word order (the tens denominator </w:t>
      </w:r>
      <w:r w:rsidR="0045406B">
        <w:rPr>
          <w:rFonts w:cs="Bwhebb"/>
          <w:szCs w:val="36"/>
          <w:lang w:eastAsia="en-GB" w:bidi="he-IL"/>
        </w:rPr>
        <w:t>switches position</w:t>
      </w:r>
      <w:r w:rsidR="009567CF">
        <w:rPr>
          <w:rFonts w:cs="Bwhebb"/>
          <w:szCs w:val="36"/>
          <w:lang w:eastAsia="en-GB" w:bidi="he-IL"/>
        </w:rPr>
        <w:t>)</w:t>
      </w:r>
      <w:r w:rsidR="0045406B">
        <w:rPr>
          <w:rFonts w:cs="Bwhebb"/>
          <w:szCs w:val="36"/>
          <w:lang w:eastAsia="en-GB" w:bidi="he-IL"/>
        </w:rPr>
        <w:t>;</w:t>
      </w:r>
      <w:r w:rsidR="009567CF">
        <w:rPr>
          <w:rFonts w:cs="Bwhebb"/>
          <w:szCs w:val="36"/>
          <w:lang w:eastAsia="en-GB" w:bidi="he-IL"/>
        </w:rPr>
        <w:t xml:space="preserve"> </w:t>
      </w:r>
      <w:r w:rsidR="0045406B">
        <w:rPr>
          <w:rFonts w:cs="Bwhebb"/>
          <w:szCs w:val="36"/>
          <w:lang w:eastAsia="en-GB" w:bidi="he-IL"/>
        </w:rPr>
        <w:t xml:space="preserve">and secondly, </w:t>
      </w:r>
      <w:r w:rsidR="009567CF">
        <w:rPr>
          <w:rFonts w:cs="Bwhebb"/>
          <w:szCs w:val="36"/>
          <w:lang w:eastAsia="en-GB" w:bidi="he-IL"/>
        </w:rPr>
        <w:t>a plural ending (</w:t>
      </w:r>
      <w:r w:rsidR="009567CF" w:rsidRPr="009567CF">
        <w:rPr>
          <w:rFonts w:ascii="Bwhebb" w:hAnsi="Bwhebb" w:cs="Bwhebb"/>
          <w:sz w:val="28"/>
          <w:szCs w:val="36"/>
          <w:lang w:eastAsia="en-GB" w:bidi="he-IL"/>
        </w:rPr>
        <w:t>~y</w:t>
      </w:r>
      <w:r w:rsidR="009567CF">
        <w:rPr>
          <w:rFonts w:cs="Bwhebb"/>
          <w:szCs w:val="36"/>
          <w:lang w:eastAsia="en-GB" w:bidi="he-IL"/>
        </w:rPr>
        <w:t>) instead of a singular ending (</w:t>
      </w:r>
      <w:r w:rsidR="009567CF" w:rsidRPr="009567CF">
        <w:rPr>
          <w:rFonts w:ascii="Bwhebb" w:hAnsi="Bwhebb" w:cs="Bwhebb"/>
          <w:sz w:val="28"/>
          <w:szCs w:val="36"/>
          <w:lang w:eastAsia="en-GB" w:bidi="he-IL"/>
        </w:rPr>
        <w:t>h</w:t>
      </w:r>
      <w:r w:rsidR="009567CF">
        <w:rPr>
          <w:rFonts w:cs="Bwhebb"/>
          <w:szCs w:val="36"/>
          <w:lang w:eastAsia="en-GB" w:bidi="he-IL"/>
        </w:rPr>
        <w:t xml:space="preserve">). </w:t>
      </w:r>
      <w:r w:rsidR="0045406B">
        <w:rPr>
          <w:rFonts w:cs="Bwhebb"/>
          <w:szCs w:val="36"/>
          <w:lang w:eastAsia="en-GB" w:bidi="he-IL"/>
        </w:rPr>
        <w:t xml:space="preserve">This is quite an involved “error” and textual critics would need to explain how it occurred for it to have any cogency. </w:t>
      </w:r>
    </w:p>
    <w:p w:rsidR="009567CF" w:rsidRDefault="009567CF" w:rsidP="009567CF">
      <w:pPr>
        <w:rPr>
          <w:szCs w:val="28"/>
          <w:lang w:eastAsia="en-GB" w:bidi="he-IL"/>
        </w:rPr>
      </w:pPr>
      <w:r>
        <w:rPr>
          <w:szCs w:val="28"/>
          <w:lang w:eastAsia="en-GB" w:bidi="he-IL"/>
        </w:rPr>
        <w:lastRenderedPageBreak/>
        <w:t xml:space="preserve">The first difficulty assumes a simple reading of the internal chronology of the Kings’ record. However, the Hebrew for Ahaz’ accession notice is different from other such notices and similar instead to that of Joash who was </w:t>
      </w:r>
      <w:r w:rsidR="005151CC">
        <w:rPr>
          <w:szCs w:val="28"/>
          <w:lang w:eastAsia="en-GB" w:bidi="he-IL"/>
        </w:rPr>
        <w:t>7</w:t>
      </w:r>
      <w:r>
        <w:rPr>
          <w:szCs w:val="28"/>
          <w:lang w:eastAsia="en-GB" w:bidi="he-IL"/>
        </w:rPr>
        <w:t xml:space="preserve"> “on becoming king”</w:t>
      </w:r>
      <w:r w:rsidR="005151CC">
        <w:rPr>
          <w:szCs w:val="28"/>
          <w:lang w:eastAsia="en-GB" w:bidi="he-IL"/>
        </w:rPr>
        <w:t xml:space="preserve"> (</w:t>
      </w:r>
      <w:proofErr w:type="spellStart"/>
      <w:r w:rsidR="005151CC" w:rsidRPr="005151CC">
        <w:rPr>
          <w:rFonts w:ascii="Bwhebb" w:hAnsi="Bwhebb"/>
          <w:sz w:val="28"/>
          <w:szCs w:val="28"/>
          <w:lang w:eastAsia="en-GB" w:bidi="he-IL"/>
        </w:rPr>
        <w:t>wklmb</w:t>
      </w:r>
      <w:proofErr w:type="spellEnd"/>
      <w:r w:rsidR="005151CC" w:rsidRPr="005151CC">
        <w:rPr>
          <w:rFonts w:ascii="Bwhebb" w:hAnsi="Bwhebb"/>
          <w:sz w:val="28"/>
          <w:szCs w:val="28"/>
          <w:lang w:eastAsia="en-GB" w:bidi="he-IL"/>
        </w:rPr>
        <w:t xml:space="preserve"> </w:t>
      </w:r>
      <w:proofErr w:type="spellStart"/>
      <w:r w:rsidR="005151CC" w:rsidRPr="005151CC">
        <w:rPr>
          <w:rFonts w:ascii="Bwhebb" w:hAnsi="Bwhebb"/>
          <w:sz w:val="28"/>
          <w:szCs w:val="28"/>
          <w:lang w:eastAsia="en-GB" w:bidi="he-IL"/>
        </w:rPr>
        <w:t>vawhy</w:t>
      </w:r>
      <w:proofErr w:type="spellEnd"/>
      <w:r w:rsidR="005151CC">
        <w:rPr>
          <w:szCs w:val="28"/>
          <w:lang w:eastAsia="en-GB" w:bidi="he-IL"/>
        </w:rPr>
        <w:t>)</w:t>
      </w:r>
      <w:r>
        <w:rPr>
          <w:szCs w:val="28"/>
          <w:lang w:eastAsia="en-GB" w:bidi="he-IL"/>
        </w:rPr>
        <w:t xml:space="preserve">. </w:t>
      </w:r>
      <w:r w:rsidR="005151CC">
        <w:rPr>
          <w:szCs w:val="28"/>
          <w:lang w:eastAsia="en-GB" w:bidi="he-IL"/>
        </w:rPr>
        <w:t xml:space="preserve">Similarly, </w:t>
      </w:r>
      <w:r>
        <w:rPr>
          <w:szCs w:val="28"/>
          <w:lang w:eastAsia="en-GB" w:bidi="he-IL"/>
        </w:rPr>
        <w:t>Ahaz was 20 “on becoming king”</w:t>
      </w:r>
      <w:r w:rsidR="005151CC">
        <w:rPr>
          <w:szCs w:val="28"/>
          <w:lang w:eastAsia="en-GB" w:bidi="he-IL"/>
        </w:rPr>
        <w:t xml:space="preserve"> (</w:t>
      </w:r>
      <w:proofErr w:type="spellStart"/>
      <w:r w:rsidR="005151CC" w:rsidRPr="005151CC">
        <w:rPr>
          <w:rFonts w:ascii="Bwhebb" w:hAnsi="Bwhebb"/>
          <w:sz w:val="28"/>
          <w:szCs w:val="28"/>
          <w:lang w:eastAsia="en-GB" w:bidi="he-IL"/>
        </w:rPr>
        <w:t>wklmb</w:t>
      </w:r>
      <w:proofErr w:type="spellEnd"/>
      <w:r w:rsidR="005151CC" w:rsidRPr="005151CC">
        <w:rPr>
          <w:rFonts w:ascii="Bwhebb" w:hAnsi="Bwhebb"/>
          <w:sz w:val="28"/>
          <w:szCs w:val="28"/>
          <w:lang w:eastAsia="en-GB" w:bidi="he-IL"/>
        </w:rPr>
        <w:t xml:space="preserve"> </w:t>
      </w:r>
      <w:proofErr w:type="spellStart"/>
      <w:r w:rsidR="005151CC" w:rsidRPr="005151CC">
        <w:rPr>
          <w:rFonts w:ascii="Bwhebb" w:hAnsi="Bwhebb"/>
          <w:sz w:val="28"/>
          <w:szCs w:val="28"/>
          <w:lang w:eastAsia="en-GB" w:bidi="he-IL"/>
        </w:rPr>
        <w:t>zxa</w:t>
      </w:r>
      <w:proofErr w:type="spellEnd"/>
      <w:r w:rsidR="005151CC">
        <w:rPr>
          <w:szCs w:val="28"/>
          <w:lang w:eastAsia="en-GB" w:bidi="he-IL"/>
        </w:rPr>
        <w:t>)</w:t>
      </w:r>
      <w:r>
        <w:rPr>
          <w:szCs w:val="28"/>
          <w:lang w:eastAsia="en-GB" w:bidi="he-IL"/>
        </w:rPr>
        <w:t xml:space="preserve">, and like Joash who did not exercise his kingship from the age of </w:t>
      </w:r>
      <w:r w:rsidR="00CC058C">
        <w:rPr>
          <w:szCs w:val="28"/>
          <w:lang w:eastAsia="en-GB" w:bidi="he-IL"/>
        </w:rPr>
        <w:t>7</w:t>
      </w:r>
      <w:r>
        <w:rPr>
          <w:szCs w:val="28"/>
          <w:lang w:eastAsia="en-GB" w:bidi="he-IL"/>
        </w:rPr>
        <w:t>, we should infer that Ahaz’ age relates to the moment when he became co-regent with his father</w:t>
      </w:r>
      <w:r>
        <w:rPr>
          <w:rStyle w:val="FootnoteReference"/>
          <w:szCs w:val="28"/>
          <w:lang w:eastAsia="en-GB" w:bidi="he-IL"/>
        </w:rPr>
        <w:footnoteReference w:id="79"/>
      </w:r>
      <w:r>
        <w:rPr>
          <w:szCs w:val="28"/>
          <w:lang w:eastAsia="en-GB" w:bidi="he-IL"/>
        </w:rPr>
        <w:t xml:space="preserve"> rather than sole monarch. The length of co-regency that Ahaz shared with his father can be estimated to be as much as 12 years based on the synchronisms with Israel’s kings (2 Kgs 15:30; 16:1-2; 17:1). This would make Ahaz 23 or thereabouts when Hezekiah was born. </w:t>
      </w:r>
    </w:p>
    <w:p w:rsidR="009567CF" w:rsidRDefault="009567CF" w:rsidP="009567CF">
      <w:pPr>
        <w:rPr>
          <w:szCs w:val="28"/>
          <w:lang w:eastAsia="en-GB" w:bidi="he-IL"/>
        </w:rPr>
      </w:pPr>
    </w:p>
    <w:p w:rsidR="009567CF" w:rsidRDefault="009567CF" w:rsidP="009567CF">
      <w:pPr>
        <w:rPr>
          <w:szCs w:val="28"/>
          <w:lang w:eastAsia="en-GB" w:bidi="he-IL"/>
        </w:rPr>
      </w:pPr>
      <w:r>
        <w:rPr>
          <w:szCs w:val="28"/>
          <w:lang w:eastAsia="en-GB" w:bidi="he-IL"/>
        </w:rPr>
        <w:t xml:space="preserve">While this removes the first difficulty, the second difficulty is more severe as it can only be circumvented by rejecting Assyrian records and chronology. The second chronological difficulty is the absolute date assigned to the prophecy. This is determined by Assyrian chronology which assigns the Syro-Ephraimite Crisis to </w:t>
      </w:r>
      <w:r w:rsidR="005151CC">
        <w:rPr>
          <w:szCs w:val="28"/>
          <w:lang w:eastAsia="en-GB" w:bidi="he-IL"/>
        </w:rPr>
        <w:t>735/</w:t>
      </w:r>
      <w:r>
        <w:rPr>
          <w:szCs w:val="28"/>
          <w:lang w:eastAsia="en-GB" w:bidi="he-IL"/>
        </w:rPr>
        <w:t>734</w:t>
      </w:r>
      <w:r w:rsidR="005151CC">
        <w:rPr>
          <w:szCs w:val="28"/>
          <w:lang w:eastAsia="en-GB" w:bidi="he-IL"/>
        </w:rPr>
        <w:t xml:space="preserve"> (and perhaps a little earlier)</w:t>
      </w:r>
      <w:r>
        <w:rPr>
          <w:szCs w:val="28"/>
          <w:lang w:eastAsia="en-GB" w:bidi="he-IL"/>
        </w:rPr>
        <w:t xml:space="preserve">. Tiglath-Pileser, to whom Ahaz appeals for help, is in the Levant from 735 onwards and his sack of Damascus and his deposition of Pekah </w:t>
      </w:r>
      <w:proofErr w:type="gramStart"/>
      <w:r>
        <w:rPr>
          <w:szCs w:val="28"/>
          <w:lang w:eastAsia="en-GB" w:bidi="he-IL"/>
        </w:rPr>
        <w:t>is</w:t>
      </w:r>
      <w:proofErr w:type="gramEnd"/>
      <w:r>
        <w:rPr>
          <w:szCs w:val="28"/>
          <w:lang w:eastAsia="en-GB" w:bidi="he-IL"/>
        </w:rPr>
        <w:t xml:space="preserve"> assigned to 732</w:t>
      </w:r>
      <w:r w:rsidR="005151CC">
        <w:rPr>
          <w:szCs w:val="28"/>
          <w:lang w:eastAsia="en-GB" w:bidi="he-IL"/>
        </w:rPr>
        <w:t>/731</w:t>
      </w:r>
      <w:r>
        <w:rPr>
          <w:szCs w:val="28"/>
          <w:lang w:eastAsia="en-GB" w:bidi="he-IL"/>
        </w:rPr>
        <w:t xml:space="preserve">. With Hezekiah born in 740 (Ascending the throne in 715, twenty-five years later), the Immanuel prophecy cannot refer him when it is delivered in </w:t>
      </w:r>
      <w:r w:rsidR="005151CC">
        <w:rPr>
          <w:szCs w:val="28"/>
          <w:lang w:eastAsia="en-GB" w:bidi="he-IL"/>
        </w:rPr>
        <w:t>735/</w:t>
      </w:r>
      <w:r>
        <w:rPr>
          <w:szCs w:val="28"/>
          <w:lang w:eastAsia="en-GB" w:bidi="he-IL"/>
        </w:rPr>
        <w:t>734.</w:t>
      </w:r>
      <w:r>
        <w:rPr>
          <w:rStyle w:val="FootnoteReference"/>
        </w:rPr>
        <w:footnoteReference w:id="80"/>
      </w:r>
      <w:r>
        <w:rPr>
          <w:szCs w:val="28"/>
          <w:lang w:eastAsia="en-GB" w:bidi="he-IL"/>
        </w:rPr>
        <w:t xml:space="preserve"> </w:t>
      </w:r>
    </w:p>
    <w:p w:rsidR="0045406B" w:rsidRDefault="0045406B" w:rsidP="009567CF">
      <w:pPr>
        <w:rPr>
          <w:szCs w:val="28"/>
          <w:lang w:eastAsia="en-GB" w:bidi="he-IL"/>
        </w:rPr>
      </w:pPr>
    </w:p>
    <w:p w:rsidR="009567CF" w:rsidRPr="009567CF" w:rsidRDefault="009567CF" w:rsidP="009567CF">
      <w:pPr>
        <w:rPr>
          <w:rFonts w:ascii="Bradley Hand ITC" w:hAnsi="Bradley Hand ITC"/>
          <w:b/>
          <w:sz w:val="28"/>
          <w:szCs w:val="28"/>
          <w:lang w:eastAsia="en-GB" w:bidi="he-IL"/>
        </w:rPr>
      </w:pPr>
      <w:r w:rsidRPr="009567CF">
        <w:rPr>
          <w:rFonts w:ascii="Bradley Hand ITC" w:hAnsi="Bradley Hand ITC"/>
          <w:b/>
          <w:sz w:val="28"/>
          <w:szCs w:val="28"/>
          <w:lang w:eastAsia="en-GB" w:bidi="he-IL"/>
        </w:rPr>
        <w:t>Immanuel as Maher-shalal-has</w:t>
      </w:r>
      <w:r w:rsidR="00814E77">
        <w:rPr>
          <w:rFonts w:ascii="Bradley Hand ITC" w:hAnsi="Bradley Hand ITC"/>
          <w:b/>
          <w:sz w:val="28"/>
          <w:szCs w:val="28"/>
          <w:lang w:eastAsia="en-GB" w:bidi="he-IL"/>
        </w:rPr>
        <w:t>h</w:t>
      </w:r>
      <w:r w:rsidRPr="009567CF">
        <w:rPr>
          <w:rFonts w:ascii="Bradley Hand ITC" w:hAnsi="Bradley Hand ITC"/>
          <w:b/>
          <w:sz w:val="28"/>
          <w:szCs w:val="28"/>
          <w:lang w:eastAsia="en-GB" w:bidi="he-IL"/>
        </w:rPr>
        <w:t>-baz</w:t>
      </w:r>
    </w:p>
    <w:p w:rsidR="0060508A" w:rsidRDefault="0060508A" w:rsidP="0060508A">
      <w:pPr>
        <w:rPr>
          <w:szCs w:val="28"/>
          <w:lang w:eastAsia="en-GB" w:bidi="he-IL"/>
        </w:rPr>
      </w:pPr>
      <w:r>
        <w:rPr>
          <w:szCs w:val="28"/>
          <w:lang w:eastAsia="en-GB" w:bidi="he-IL"/>
        </w:rPr>
        <w:t xml:space="preserve">The prophecy of Isa 7:14 is very specific, “the </w:t>
      </w:r>
      <w:r w:rsidR="0045406B">
        <w:rPr>
          <w:szCs w:val="28"/>
          <w:lang w:eastAsia="en-GB" w:bidi="he-IL"/>
        </w:rPr>
        <w:t>virgin</w:t>
      </w:r>
      <w:r w:rsidR="005151CC">
        <w:rPr>
          <w:rStyle w:val="FootnoteReference"/>
          <w:szCs w:val="28"/>
          <w:lang w:eastAsia="en-GB" w:bidi="he-IL"/>
        </w:rPr>
        <w:footnoteReference w:id="81"/>
      </w:r>
      <w:r>
        <w:rPr>
          <w:szCs w:val="28"/>
          <w:lang w:eastAsia="en-GB" w:bidi="he-IL"/>
        </w:rPr>
        <w:t xml:space="preserve"> shall conceive (</w:t>
      </w:r>
      <w:proofErr w:type="spellStart"/>
      <w:r w:rsidRPr="005D7051">
        <w:rPr>
          <w:rFonts w:ascii="Bwhebb" w:hAnsi="Bwhebb" w:cs="Bwhebb"/>
          <w:sz w:val="32"/>
          <w:szCs w:val="36"/>
          <w:lang w:eastAsia="en-GB" w:bidi="he-IL"/>
        </w:rPr>
        <w:t>hrh</w:t>
      </w:r>
      <w:proofErr w:type="spellEnd"/>
      <w:r>
        <w:rPr>
          <w:szCs w:val="28"/>
          <w:lang w:eastAsia="en-GB" w:bidi="he-IL"/>
        </w:rPr>
        <w:t xml:space="preserve">)”—the woman is at court. The sign to Ahaz and the house of David is </w:t>
      </w:r>
      <w:r>
        <w:rPr>
          <w:szCs w:val="28"/>
          <w:lang w:eastAsia="en-GB" w:bidi="he-IL"/>
        </w:rPr>
        <w:lastRenderedPageBreak/>
        <w:t>not the birth itself but the overthrow of Pekah and Rezin before the child knows how to refuse the evil and choose the good. The young woman would call his name “Immanuel” but this name does not exclude other names being given to the child. The initial fulfillment of the prophecy is in Isaiah’s son, Maher-shalal-hash-baz. Support for this interpretation consists of,</w:t>
      </w:r>
    </w:p>
    <w:p w:rsidR="0060508A" w:rsidRDefault="0060508A" w:rsidP="0060508A">
      <w:pPr>
        <w:rPr>
          <w:szCs w:val="28"/>
          <w:lang w:eastAsia="en-GB" w:bidi="he-IL"/>
        </w:rPr>
      </w:pPr>
    </w:p>
    <w:p w:rsidR="0060508A" w:rsidRPr="00716C60" w:rsidRDefault="0060508A" w:rsidP="00936DFC">
      <w:pPr>
        <w:pStyle w:val="ListParagraph"/>
        <w:numPr>
          <w:ilvl w:val="0"/>
          <w:numId w:val="12"/>
        </w:numPr>
        <w:spacing w:after="0" w:line="240" w:lineRule="auto"/>
        <w:ind w:left="360"/>
        <w:rPr>
          <w:rFonts w:cs="Arial"/>
          <w:szCs w:val="28"/>
          <w:lang w:val="en-US" w:eastAsia="en-GB" w:bidi="he-IL"/>
        </w:rPr>
      </w:pPr>
      <w:r w:rsidRPr="00716C60">
        <w:rPr>
          <w:rFonts w:cs="Arial"/>
          <w:szCs w:val="28"/>
          <w:lang w:val="en-US" w:eastAsia="en-GB" w:bidi="he-IL"/>
        </w:rPr>
        <w:t>The next part of the narrative recounts the birth of Maher-shalal-hash-baz. The structure of the story corresponds to the Immanuel prophecy.</w:t>
      </w:r>
    </w:p>
    <w:p w:rsidR="0060508A" w:rsidRDefault="0060508A" w:rsidP="00922670">
      <w:pPr>
        <w:rPr>
          <w:szCs w:val="28"/>
          <w:lang w:eastAsia="en-GB" w:bidi="he-IL"/>
        </w:rPr>
      </w:pPr>
    </w:p>
    <w:p w:rsidR="0060508A" w:rsidRPr="00716C60" w:rsidRDefault="0060508A" w:rsidP="00936DFC">
      <w:pPr>
        <w:pStyle w:val="ListParagraph"/>
        <w:numPr>
          <w:ilvl w:val="1"/>
          <w:numId w:val="12"/>
        </w:numPr>
        <w:spacing w:after="0" w:line="240" w:lineRule="auto"/>
        <w:ind w:left="1080"/>
        <w:rPr>
          <w:rFonts w:cs="Arial"/>
          <w:szCs w:val="28"/>
          <w:lang w:val="en-US" w:eastAsia="en-GB" w:bidi="he-IL"/>
        </w:rPr>
      </w:pPr>
      <w:r w:rsidRPr="00716C60">
        <w:rPr>
          <w:rFonts w:cs="Arial"/>
          <w:szCs w:val="28"/>
          <w:lang w:val="en-US" w:eastAsia="en-GB" w:bidi="he-IL"/>
        </w:rPr>
        <w:t>Isaiah goes into “the prophetess” and she conceives (</w:t>
      </w:r>
      <w:proofErr w:type="spellStart"/>
      <w:r w:rsidRPr="0060508A">
        <w:rPr>
          <w:rFonts w:ascii="Bwhebb" w:hAnsi="Bwhebb" w:cs="Bwhebb"/>
          <w:sz w:val="28"/>
          <w:szCs w:val="36"/>
          <w:lang w:val="en-US" w:eastAsia="en-GB" w:bidi="he-IL"/>
        </w:rPr>
        <w:t>hrh</w:t>
      </w:r>
      <w:proofErr w:type="spellEnd"/>
      <w:r w:rsidRPr="00716C60">
        <w:rPr>
          <w:rFonts w:cs="Arial"/>
          <w:szCs w:val="28"/>
          <w:lang w:val="en-US" w:eastAsia="en-GB" w:bidi="he-IL"/>
        </w:rPr>
        <w:t>, Isa 8:3); the verb is related to the adjective in Isa 7:14</w:t>
      </w:r>
      <w:r>
        <w:rPr>
          <w:rFonts w:cs="Arial"/>
          <w:szCs w:val="28"/>
          <w:lang w:val="en-US" w:eastAsia="en-GB" w:bidi="he-IL"/>
        </w:rPr>
        <w:t xml:space="preserve"> (</w:t>
      </w:r>
      <w:proofErr w:type="spellStart"/>
      <w:r w:rsidRPr="0060508A">
        <w:rPr>
          <w:rFonts w:ascii="Bwhebb" w:hAnsi="Bwhebb" w:cs="Bwhebb"/>
          <w:sz w:val="28"/>
          <w:szCs w:val="36"/>
          <w:lang w:val="en-US" w:eastAsia="en-GB" w:bidi="he-IL"/>
        </w:rPr>
        <w:t>hrh</w:t>
      </w:r>
      <w:proofErr w:type="spellEnd"/>
      <w:r>
        <w:rPr>
          <w:rFonts w:cs="Arial"/>
          <w:szCs w:val="28"/>
          <w:lang w:val="en-US" w:eastAsia="en-GB" w:bidi="he-IL"/>
        </w:rPr>
        <w:t>)</w:t>
      </w:r>
      <w:r w:rsidRPr="00716C60">
        <w:rPr>
          <w:rFonts w:cs="Arial"/>
          <w:szCs w:val="28"/>
          <w:lang w:val="en-US" w:eastAsia="en-GB" w:bidi="he-IL"/>
        </w:rPr>
        <w:t>.</w:t>
      </w:r>
    </w:p>
    <w:p w:rsidR="0060508A" w:rsidRDefault="0060508A" w:rsidP="00922670">
      <w:pPr>
        <w:rPr>
          <w:szCs w:val="28"/>
          <w:lang w:eastAsia="en-GB" w:bidi="he-IL"/>
        </w:rPr>
      </w:pPr>
    </w:p>
    <w:p w:rsidR="0060508A" w:rsidRPr="00716C60" w:rsidRDefault="0060508A" w:rsidP="00936DFC">
      <w:pPr>
        <w:pStyle w:val="ListParagraph"/>
        <w:numPr>
          <w:ilvl w:val="1"/>
          <w:numId w:val="12"/>
        </w:numPr>
        <w:spacing w:after="0" w:line="240" w:lineRule="auto"/>
        <w:ind w:left="1080"/>
        <w:rPr>
          <w:rFonts w:cs="Arial"/>
          <w:szCs w:val="28"/>
          <w:lang w:val="en-US" w:eastAsia="en-GB" w:bidi="he-IL"/>
        </w:rPr>
      </w:pPr>
      <w:r w:rsidRPr="00716C60">
        <w:rPr>
          <w:rFonts w:cs="Arial"/>
          <w:szCs w:val="28"/>
          <w:lang w:val="en-US" w:eastAsia="en-GB" w:bidi="he-IL"/>
        </w:rPr>
        <w:t xml:space="preserve">The son is named in connection with a prophecy that uses the same construction, </w:t>
      </w:r>
      <w:r w:rsidR="008724A0">
        <w:rPr>
          <w:rFonts w:cs="Arial"/>
          <w:szCs w:val="28"/>
          <w:lang w:val="en-US" w:eastAsia="en-GB" w:bidi="he-IL"/>
        </w:rPr>
        <w:t>“For before the lad knows…”</w:t>
      </w:r>
    </w:p>
    <w:p w:rsidR="0060508A" w:rsidRDefault="0060508A" w:rsidP="00922670">
      <w:pPr>
        <w:rPr>
          <w:szCs w:val="28"/>
          <w:lang w:eastAsia="en-GB" w:bidi="he-IL"/>
        </w:rPr>
      </w:pPr>
    </w:p>
    <w:p w:rsidR="0060508A" w:rsidRPr="00716C60" w:rsidRDefault="0060508A" w:rsidP="00922670">
      <w:pPr>
        <w:ind w:left="1341"/>
        <w:rPr>
          <w:szCs w:val="28"/>
          <w:lang w:eastAsia="en-GB" w:bidi="he-IL"/>
        </w:rPr>
      </w:pPr>
      <w:proofErr w:type="gramStart"/>
      <w:r w:rsidRPr="0060508A">
        <w:rPr>
          <w:rFonts w:ascii="Bwhebb" w:hAnsi="Bwhebb" w:cs="Bwhebb"/>
          <w:sz w:val="28"/>
          <w:szCs w:val="36"/>
          <w:lang w:eastAsia="en-GB" w:bidi="he-IL"/>
        </w:rPr>
        <w:t>r[</w:t>
      </w:r>
      <w:proofErr w:type="spellStart"/>
      <w:proofErr w:type="gramEnd"/>
      <w:r w:rsidRPr="0060508A">
        <w:rPr>
          <w:rFonts w:ascii="Bwhebb" w:hAnsi="Bwhebb" w:cs="Bwhebb"/>
          <w:sz w:val="28"/>
          <w:szCs w:val="36"/>
          <w:lang w:eastAsia="en-GB" w:bidi="he-IL"/>
        </w:rPr>
        <w:t>nh</w:t>
      </w:r>
      <w:proofErr w:type="spellEnd"/>
      <w:r w:rsidRPr="0060508A">
        <w:rPr>
          <w:rFonts w:ascii="Bwhebb" w:hAnsi="Bwhebb" w:cs="Bwhebb"/>
          <w:sz w:val="28"/>
          <w:szCs w:val="36"/>
          <w:lang w:eastAsia="en-GB" w:bidi="he-IL"/>
        </w:rPr>
        <w:t xml:space="preserve"> [</w:t>
      </w:r>
      <w:proofErr w:type="spellStart"/>
      <w:r w:rsidRPr="0060508A">
        <w:rPr>
          <w:rFonts w:ascii="Bwhebb" w:hAnsi="Bwhebb" w:cs="Bwhebb"/>
          <w:sz w:val="28"/>
          <w:szCs w:val="36"/>
          <w:lang w:eastAsia="en-GB" w:bidi="he-IL"/>
        </w:rPr>
        <w:t>dy</w:t>
      </w:r>
      <w:proofErr w:type="spellEnd"/>
      <w:r w:rsidRPr="0060508A">
        <w:rPr>
          <w:rFonts w:ascii="Bwhebb" w:hAnsi="Bwhebb" w:cs="Bwhebb"/>
          <w:sz w:val="28"/>
          <w:szCs w:val="36"/>
          <w:lang w:eastAsia="en-GB" w:bidi="he-IL"/>
        </w:rPr>
        <w:t xml:space="preserve"> ~</w:t>
      </w:r>
      <w:proofErr w:type="spellStart"/>
      <w:r w:rsidRPr="0060508A">
        <w:rPr>
          <w:rFonts w:ascii="Bwhebb" w:hAnsi="Bwhebb" w:cs="Bwhebb"/>
          <w:sz w:val="28"/>
          <w:szCs w:val="36"/>
          <w:lang w:eastAsia="en-GB" w:bidi="he-IL"/>
        </w:rPr>
        <w:t>rjb</w:t>
      </w:r>
      <w:proofErr w:type="spellEnd"/>
      <w:r w:rsidRPr="0060508A">
        <w:rPr>
          <w:rFonts w:ascii="Bwhebb" w:hAnsi="Bwhebb" w:cs="Bwhebb"/>
          <w:sz w:val="28"/>
          <w:szCs w:val="36"/>
          <w:lang w:eastAsia="en-GB" w:bidi="he-IL"/>
        </w:rPr>
        <w:t xml:space="preserve"> </w:t>
      </w:r>
      <w:proofErr w:type="spellStart"/>
      <w:r w:rsidRPr="0060508A">
        <w:rPr>
          <w:rFonts w:ascii="Bwhebb" w:hAnsi="Bwhebb" w:cs="Bwhebb"/>
          <w:sz w:val="28"/>
          <w:szCs w:val="36"/>
          <w:lang w:eastAsia="en-GB" w:bidi="he-IL"/>
        </w:rPr>
        <w:t>yk</w:t>
      </w:r>
      <w:proofErr w:type="spellEnd"/>
      <w:r w:rsidRPr="0060508A">
        <w:rPr>
          <w:rFonts w:cs="Bwhebb"/>
          <w:sz w:val="20"/>
          <w:szCs w:val="36"/>
          <w:lang w:eastAsia="en-GB" w:bidi="he-IL"/>
        </w:rPr>
        <w:t xml:space="preserve"> </w:t>
      </w:r>
      <w:r w:rsidRPr="00716C60">
        <w:rPr>
          <w:rFonts w:cs="Bwhebb"/>
          <w:szCs w:val="36"/>
          <w:lang w:eastAsia="en-GB" w:bidi="he-IL"/>
        </w:rPr>
        <w:t>(Isa 7:16)</w:t>
      </w:r>
    </w:p>
    <w:p w:rsidR="0060508A" w:rsidRDefault="0060508A" w:rsidP="00922670">
      <w:pPr>
        <w:ind w:left="1341"/>
        <w:rPr>
          <w:lang w:eastAsia="en-GB" w:bidi="he-IL"/>
        </w:rPr>
      </w:pPr>
      <w:proofErr w:type="gramStart"/>
      <w:r w:rsidRPr="0060508A">
        <w:rPr>
          <w:rFonts w:ascii="Bwhebb" w:hAnsi="Bwhebb" w:cs="Bwhebb"/>
          <w:sz w:val="28"/>
          <w:szCs w:val="36"/>
          <w:lang w:eastAsia="en-GB" w:bidi="he-IL"/>
        </w:rPr>
        <w:t>r[</w:t>
      </w:r>
      <w:proofErr w:type="spellStart"/>
      <w:proofErr w:type="gramEnd"/>
      <w:r w:rsidRPr="0060508A">
        <w:rPr>
          <w:rFonts w:ascii="Bwhebb" w:hAnsi="Bwhebb" w:cs="Bwhebb"/>
          <w:sz w:val="28"/>
          <w:szCs w:val="36"/>
          <w:lang w:eastAsia="en-GB" w:bidi="he-IL"/>
        </w:rPr>
        <w:t>nh</w:t>
      </w:r>
      <w:proofErr w:type="spellEnd"/>
      <w:r w:rsidRPr="0060508A">
        <w:rPr>
          <w:rFonts w:ascii="Bwhebb" w:hAnsi="Bwhebb" w:cs="Bwhebb"/>
          <w:sz w:val="28"/>
          <w:szCs w:val="36"/>
          <w:lang w:eastAsia="en-GB" w:bidi="he-IL"/>
        </w:rPr>
        <w:t xml:space="preserve"> [</w:t>
      </w:r>
      <w:proofErr w:type="spellStart"/>
      <w:r w:rsidRPr="0060508A">
        <w:rPr>
          <w:rFonts w:ascii="Bwhebb" w:hAnsi="Bwhebb" w:cs="Bwhebb"/>
          <w:sz w:val="28"/>
          <w:szCs w:val="36"/>
          <w:lang w:eastAsia="en-GB" w:bidi="he-IL"/>
        </w:rPr>
        <w:t>dy</w:t>
      </w:r>
      <w:proofErr w:type="spellEnd"/>
      <w:r w:rsidRPr="0060508A">
        <w:rPr>
          <w:rFonts w:ascii="Bwhebb" w:hAnsi="Bwhebb" w:cs="Bwhebb"/>
          <w:sz w:val="28"/>
          <w:szCs w:val="36"/>
          <w:lang w:eastAsia="en-GB" w:bidi="he-IL"/>
        </w:rPr>
        <w:t xml:space="preserve"> ~</w:t>
      </w:r>
      <w:proofErr w:type="spellStart"/>
      <w:r w:rsidRPr="0060508A">
        <w:rPr>
          <w:rFonts w:ascii="Bwhebb" w:hAnsi="Bwhebb" w:cs="Bwhebb"/>
          <w:sz w:val="28"/>
          <w:szCs w:val="36"/>
          <w:lang w:eastAsia="en-GB" w:bidi="he-IL"/>
        </w:rPr>
        <w:t>rjb</w:t>
      </w:r>
      <w:proofErr w:type="spellEnd"/>
      <w:r w:rsidRPr="0060508A">
        <w:rPr>
          <w:rFonts w:ascii="Bwhebb" w:hAnsi="Bwhebb" w:cs="Bwhebb"/>
          <w:sz w:val="28"/>
          <w:szCs w:val="36"/>
          <w:lang w:eastAsia="en-GB" w:bidi="he-IL"/>
        </w:rPr>
        <w:t xml:space="preserve"> </w:t>
      </w:r>
      <w:proofErr w:type="spellStart"/>
      <w:r w:rsidRPr="0060508A">
        <w:rPr>
          <w:rFonts w:ascii="Bwhebb" w:hAnsi="Bwhebb" w:cs="Bwhebb"/>
          <w:sz w:val="28"/>
          <w:szCs w:val="36"/>
          <w:lang w:eastAsia="en-GB" w:bidi="he-IL"/>
        </w:rPr>
        <w:t>yk</w:t>
      </w:r>
      <w:proofErr w:type="spellEnd"/>
      <w:r w:rsidRPr="0060508A">
        <w:rPr>
          <w:sz w:val="20"/>
          <w:lang w:eastAsia="en-GB" w:bidi="he-IL"/>
        </w:rPr>
        <w:t xml:space="preserve"> </w:t>
      </w:r>
      <w:r w:rsidRPr="00716C60">
        <w:rPr>
          <w:lang w:eastAsia="en-GB" w:bidi="he-IL"/>
        </w:rPr>
        <w:t>(Isa 8:4)</w:t>
      </w:r>
    </w:p>
    <w:p w:rsidR="005E0D2B" w:rsidRDefault="005E0D2B" w:rsidP="00922670">
      <w:pPr>
        <w:ind w:left="1341"/>
        <w:rPr>
          <w:lang w:eastAsia="en-GB" w:bidi="he-IL"/>
        </w:rPr>
      </w:pPr>
    </w:p>
    <w:p w:rsidR="0060508A" w:rsidRPr="00716C60" w:rsidRDefault="0060508A" w:rsidP="00936DFC">
      <w:pPr>
        <w:pStyle w:val="ListParagraph"/>
        <w:numPr>
          <w:ilvl w:val="1"/>
          <w:numId w:val="12"/>
        </w:numPr>
        <w:spacing w:after="0" w:line="240" w:lineRule="auto"/>
        <w:ind w:left="1080"/>
        <w:rPr>
          <w:rFonts w:cs="Arial"/>
          <w:szCs w:val="28"/>
          <w:lang w:val="en-US" w:eastAsia="en-GB" w:bidi="he-IL"/>
        </w:rPr>
      </w:pPr>
      <w:r w:rsidRPr="00716C60">
        <w:rPr>
          <w:rFonts w:cs="Arial"/>
          <w:lang w:val="en-US" w:eastAsia="en-GB" w:bidi="he-IL"/>
        </w:rPr>
        <w:t>The prophecy in both cases is about the first knowledge gained by a young child – Immanuel will know how to refuse the evil and choose the good, and Maher-shalal-hash-baz will know how to call for his mother and father.</w:t>
      </w:r>
    </w:p>
    <w:p w:rsidR="0060508A" w:rsidRDefault="0060508A" w:rsidP="00922670">
      <w:pPr>
        <w:rPr>
          <w:szCs w:val="28"/>
          <w:lang w:eastAsia="en-GB" w:bidi="he-IL"/>
        </w:rPr>
      </w:pPr>
    </w:p>
    <w:p w:rsidR="0060508A" w:rsidRPr="00FB7143" w:rsidRDefault="0060508A" w:rsidP="00936DFC">
      <w:pPr>
        <w:pStyle w:val="ListParagraph"/>
        <w:numPr>
          <w:ilvl w:val="0"/>
          <w:numId w:val="12"/>
        </w:numPr>
        <w:spacing w:after="0" w:line="240" w:lineRule="auto"/>
        <w:ind w:left="360"/>
        <w:rPr>
          <w:rFonts w:cs="Arial"/>
          <w:szCs w:val="28"/>
          <w:lang w:val="en-US" w:eastAsia="en-GB" w:bidi="he-IL"/>
        </w:rPr>
      </w:pPr>
      <w:r w:rsidRPr="00716C60">
        <w:rPr>
          <w:rFonts w:cs="Arial"/>
          <w:szCs w:val="28"/>
          <w:lang w:val="en-US" w:eastAsia="en-GB" w:bidi="he-IL"/>
        </w:rPr>
        <w:t>Isaiah is instructed to write in a great roll (Isa 8:1); prophetic signs given to the king would typically be written in the Near East.</w:t>
      </w:r>
      <w:r>
        <w:rPr>
          <w:rFonts w:cs="Arial"/>
          <w:szCs w:val="28"/>
          <w:lang w:val="en-US" w:eastAsia="en-GB" w:bidi="he-IL"/>
        </w:rPr>
        <w:t xml:space="preserve"> </w:t>
      </w:r>
      <w:r w:rsidRPr="00FB7143">
        <w:rPr>
          <w:rFonts w:cs="Arial"/>
          <w:szCs w:val="28"/>
          <w:lang w:val="en-US" w:eastAsia="en-GB" w:bidi="he-IL"/>
        </w:rPr>
        <w:t>The subject of what is written is Maher-shalal-has</w:t>
      </w:r>
      <w:r w:rsidR="00D3153C">
        <w:rPr>
          <w:rFonts w:cs="Arial"/>
          <w:szCs w:val="28"/>
          <w:lang w:val="en-US" w:eastAsia="en-GB" w:bidi="he-IL"/>
        </w:rPr>
        <w:t>h</w:t>
      </w:r>
      <w:r w:rsidRPr="00FB7143">
        <w:rPr>
          <w:rFonts w:cs="Arial"/>
          <w:szCs w:val="28"/>
          <w:lang w:val="en-US" w:eastAsia="en-GB" w:bidi="he-IL"/>
        </w:rPr>
        <w:t>-baz (Isa 8:1), but as yet he has not been introduced in the narrative</w:t>
      </w:r>
      <w:r>
        <w:rPr>
          <w:rFonts w:cs="Arial"/>
          <w:szCs w:val="28"/>
          <w:lang w:val="en-US" w:eastAsia="en-GB" w:bidi="he-IL"/>
        </w:rPr>
        <w:t xml:space="preserve">; this implies </w:t>
      </w:r>
      <w:r w:rsidRPr="00FB7143">
        <w:rPr>
          <w:rFonts w:cs="Arial"/>
          <w:szCs w:val="28"/>
          <w:lang w:val="en-US" w:eastAsia="en-GB" w:bidi="he-IL"/>
        </w:rPr>
        <w:t xml:space="preserve">he </w:t>
      </w:r>
      <w:r>
        <w:rPr>
          <w:rFonts w:cs="Arial"/>
          <w:szCs w:val="28"/>
          <w:lang w:val="en-US" w:eastAsia="en-GB" w:bidi="he-IL"/>
        </w:rPr>
        <w:t xml:space="preserve">was </w:t>
      </w:r>
      <w:r w:rsidRPr="00FB7143">
        <w:rPr>
          <w:rFonts w:cs="Arial"/>
          <w:szCs w:val="28"/>
          <w:lang w:val="en-US" w:eastAsia="en-GB" w:bidi="he-IL"/>
        </w:rPr>
        <w:t>retrospectively known to be a fulfillment of the Immanuel prophecy.</w:t>
      </w:r>
    </w:p>
    <w:p w:rsidR="0060508A" w:rsidRPr="00716C60" w:rsidRDefault="0060508A" w:rsidP="00922670">
      <w:pPr>
        <w:pStyle w:val="ListParagraph"/>
        <w:ind w:left="360"/>
        <w:rPr>
          <w:rFonts w:cs="Arial"/>
          <w:szCs w:val="28"/>
          <w:lang w:val="en-US" w:eastAsia="en-GB" w:bidi="he-IL"/>
        </w:rPr>
      </w:pPr>
    </w:p>
    <w:p w:rsidR="0060508A" w:rsidRDefault="0060508A" w:rsidP="00936DFC">
      <w:pPr>
        <w:pStyle w:val="ListParagraph"/>
        <w:numPr>
          <w:ilvl w:val="0"/>
          <w:numId w:val="12"/>
        </w:numPr>
        <w:spacing w:after="0" w:line="240" w:lineRule="auto"/>
        <w:ind w:left="360"/>
        <w:rPr>
          <w:rFonts w:cs="Arial"/>
          <w:szCs w:val="28"/>
          <w:lang w:val="en-US" w:eastAsia="en-GB" w:bidi="he-IL"/>
        </w:rPr>
      </w:pPr>
      <w:r>
        <w:rPr>
          <w:rFonts w:cs="Arial"/>
          <w:szCs w:val="28"/>
          <w:lang w:val="en-US" w:eastAsia="en-GB" w:bidi="he-IL"/>
        </w:rPr>
        <w:t>Isaiah speaks to Immanuel who was present at court (Isa 8:8). This occurs after Maher-shalal-hash-baz is born. As a “sign” Isaiah would have taken him to court (cf. Isa 7:3).</w:t>
      </w:r>
    </w:p>
    <w:p w:rsidR="005151CC" w:rsidRPr="005151CC" w:rsidRDefault="005151CC" w:rsidP="005151CC">
      <w:pPr>
        <w:rPr>
          <w:szCs w:val="28"/>
          <w:lang w:eastAsia="en-GB" w:bidi="he-IL"/>
        </w:rPr>
      </w:pPr>
    </w:p>
    <w:p w:rsidR="0060508A" w:rsidRDefault="0060508A" w:rsidP="00936DFC">
      <w:pPr>
        <w:pStyle w:val="ListParagraph"/>
        <w:numPr>
          <w:ilvl w:val="0"/>
          <w:numId w:val="12"/>
        </w:numPr>
        <w:spacing w:after="0" w:line="240" w:lineRule="auto"/>
        <w:ind w:left="360"/>
        <w:rPr>
          <w:rFonts w:cs="Arial"/>
          <w:szCs w:val="28"/>
          <w:lang w:val="en-US" w:eastAsia="en-GB" w:bidi="he-IL"/>
        </w:rPr>
      </w:pPr>
      <w:r>
        <w:rPr>
          <w:rFonts w:cs="Arial"/>
          <w:szCs w:val="28"/>
          <w:lang w:val="en-US" w:eastAsia="en-GB" w:bidi="he-IL"/>
        </w:rPr>
        <w:t>Isaiah states that the children given to him were for “signs” just as Immanuel was said to be a “sign” (Isa 8:18).</w:t>
      </w:r>
    </w:p>
    <w:p w:rsidR="0060508A" w:rsidRPr="0060508A" w:rsidRDefault="0060508A" w:rsidP="00922670">
      <w:pPr>
        <w:ind w:left="-360"/>
        <w:rPr>
          <w:szCs w:val="28"/>
          <w:lang w:eastAsia="en-GB" w:bidi="he-IL"/>
        </w:rPr>
      </w:pPr>
    </w:p>
    <w:p w:rsidR="0060508A" w:rsidRDefault="0060508A" w:rsidP="00936DFC">
      <w:pPr>
        <w:pStyle w:val="ListParagraph"/>
        <w:numPr>
          <w:ilvl w:val="0"/>
          <w:numId w:val="12"/>
        </w:numPr>
        <w:spacing w:after="0" w:line="240" w:lineRule="auto"/>
        <w:ind w:left="360"/>
        <w:rPr>
          <w:rFonts w:cs="Arial"/>
          <w:szCs w:val="28"/>
          <w:lang w:val="en-US" w:eastAsia="en-GB" w:bidi="he-IL"/>
        </w:rPr>
      </w:pPr>
      <w:r>
        <w:rPr>
          <w:rFonts w:cs="Arial"/>
          <w:szCs w:val="28"/>
          <w:lang w:val="en-US" w:eastAsia="en-GB" w:bidi="he-IL"/>
        </w:rPr>
        <w:t>Isaiah deconstructs Immanuel’s name into “God is with us” in reference to him and his disciples (Isa 8:10, 16).</w:t>
      </w:r>
    </w:p>
    <w:p w:rsidR="0060508A" w:rsidRDefault="0060508A" w:rsidP="0060508A">
      <w:pPr>
        <w:rPr>
          <w:szCs w:val="28"/>
          <w:lang w:eastAsia="en-GB" w:bidi="he-IL"/>
        </w:rPr>
      </w:pPr>
      <w:r>
        <w:rPr>
          <w:szCs w:val="28"/>
          <w:lang w:eastAsia="en-GB" w:bidi="he-IL"/>
        </w:rPr>
        <w:lastRenderedPageBreak/>
        <w:t xml:space="preserve">For these reasons, commentators </w:t>
      </w:r>
      <w:r w:rsidR="009E76E2">
        <w:rPr>
          <w:szCs w:val="28"/>
          <w:lang w:eastAsia="en-GB" w:bidi="he-IL"/>
        </w:rPr>
        <w:t xml:space="preserve">often </w:t>
      </w:r>
      <w:r>
        <w:rPr>
          <w:szCs w:val="28"/>
          <w:lang w:eastAsia="en-GB" w:bidi="he-IL"/>
        </w:rPr>
        <w:t>regard the Immanuel prophecy to be fulfilled in the person of one of Isaiah’s sons; certainly, within a few years of the prophecy and the birth of Maher-shalal-hash-baz, Rezin and Pekah were vanquished. On the other hand, if the Immanuel prophecy is about the birth of Hezekiah, there is no corresponding narrative fulfillment.</w:t>
      </w:r>
      <w:r w:rsidR="009E76E2">
        <w:rPr>
          <w:szCs w:val="28"/>
          <w:lang w:eastAsia="en-GB" w:bidi="he-IL"/>
        </w:rPr>
        <w:t xml:space="preserve"> (Commentators also offer an unknown son of Ahaz as the fulfilment.)</w:t>
      </w:r>
    </w:p>
    <w:p w:rsidR="0060508A" w:rsidRDefault="0060508A" w:rsidP="0060508A">
      <w:pPr>
        <w:rPr>
          <w:szCs w:val="28"/>
          <w:lang w:eastAsia="en-GB" w:bidi="he-IL"/>
        </w:rPr>
      </w:pPr>
    </w:p>
    <w:p w:rsidR="0060508A" w:rsidRDefault="0060508A" w:rsidP="0060508A">
      <w:pPr>
        <w:rPr>
          <w:szCs w:val="28"/>
          <w:lang w:eastAsia="en-GB" w:bidi="he-IL"/>
        </w:rPr>
      </w:pPr>
      <w:r>
        <w:rPr>
          <w:szCs w:val="28"/>
          <w:lang w:eastAsia="en-GB" w:bidi="he-IL"/>
        </w:rPr>
        <w:t>The first objection to this interpretation is that Judah is called Immanuel’s land. However, this cannot be regarded as conclusive since Immanuel was a Judahite and Judah was his land. There is no necessary implication that Immanuel must be the heir to the throne in this remark.</w:t>
      </w:r>
    </w:p>
    <w:p w:rsidR="0060508A" w:rsidRPr="00716C60" w:rsidRDefault="0060508A" w:rsidP="0060508A">
      <w:pPr>
        <w:rPr>
          <w:szCs w:val="28"/>
          <w:lang w:eastAsia="en-GB" w:bidi="he-IL"/>
        </w:rPr>
      </w:pPr>
    </w:p>
    <w:p w:rsidR="0060508A" w:rsidRDefault="0060508A" w:rsidP="0060508A">
      <w:pPr>
        <w:rPr>
          <w:szCs w:val="28"/>
          <w:lang w:eastAsia="en-GB" w:bidi="he-IL"/>
        </w:rPr>
      </w:pPr>
      <w:r>
        <w:rPr>
          <w:szCs w:val="28"/>
          <w:lang w:eastAsia="en-GB" w:bidi="he-IL"/>
        </w:rPr>
        <w:t>The second objection to the view that Maher-shalal-hash-baz is a fulfillment of the Immanuel prophecy is the anticipation of Isa 9:6-7 which is clearly about monarchy and succession and therefore not about the son of a prophet. The Hebrew verbs used are past tense (which the LXX renders as Aorist passives):</w:t>
      </w:r>
    </w:p>
    <w:p w:rsidR="0060508A" w:rsidRDefault="0060508A" w:rsidP="0060508A">
      <w:pPr>
        <w:rPr>
          <w:szCs w:val="28"/>
          <w:lang w:eastAsia="en-GB" w:bidi="he-IL"/>
        </w:rPr>
      </w:pPr>
    </w:p>
    <w:p w:rsidR="00135D43" w:rsidRDefault="0060508A" w:rsidP="00135D43">
      <w:pPr>
        <w:pStyle w:val="Quote"/>
        <w:rPr>
          <w:rFonts w:ascii="Times New Roman" w:hAnsi="Times New Roman" w:cs="Times New Roman"/>
        </w:rPr>
      </w:pPr>
      <w:r>
        <w:t xml:space="preserve">For unto us a child </w:t>
      </w:r>
      <w:r w:rsidRPr="00B030B0">
        <w:rPr>
          <w:u w:val="single"/>
        </w:rPr>
        <w:t>has been born</w:t>
      </w:r>
      <w:r>
        <w:t xml:space="preserve">, unto us a son </w:t>
      </w:r>
      <w:r w:rsidRPr="00B030B0">
        <w:rPr>
          <w:u w:val="single"/>
        </w:rPr>
        <w:t>has been given</w:t>
      </w:r>
      <w:r>
        <w:t>… (Isa 9:6; KJV revised)</w:t>
      </w:r>
      <w:r w:rsidR="00135D43">
        <w:rPr>
          <w:rStyle w:val="FootnoteReference"/>
        </w:rPr>
        <w:footnoteReference w:id="82"/>
      </w:r>
      <w:r w:rsidR="00135D43">
        <w:rPr>
          <w:rFonts w:ascii="Times New Roman" w:hAnsi="Times New Roman" w:cs="Times New Roman"/>
        </w:rPr>
        <w:t xml:space="preserve"> </w:t>
      </w:r>
    </w:p>
    <w:p w:rsidR="0060508A" w:rsidRDefault="0060508A" w:rsidP="0060508A">
      <w:pPr>
        <w:pStyle w:val="Quote"/>
      </w:pPr>
    </w:p>
    <w:p w:rsidR="0060508A" w:rsidRDefault="0060508A" w:rsidP="0060508A">
      <w:pPr>
        <w:rPr>
          <w:szCs w:val="28"/>
          <w:lang w:eastAsia="en-GB" w:bidi="he-IL"/>
        </w:rPr>
      </w:pPr>
      <w:r>
        <w:rPr>
          <w:szCs w:val="28"/>
          <w:lang w:eastAsia="en-GB" w:bidi="he-IL"/>
        </w:rPr>
        <w:t xml:space="preserve">This could refer to the recent birth of Immanuel, who would then not be Maher-shalal-hash-baz. Equally, however, it could express confidence in the young Hezekiah as the son who has been given and upon whom the hopes of the faithful are now focused. </w:t>
      </w:r>
    </w:p>
    <w:p w:rsidR="0060508A" w:rsidRDefault="0060508A" w:rsidP="0060508A">
      <w:pPr>
        <w:rPr>
          <w:szCs w:val="28"/>
          <w:lang w:eastAsia="en-GB" w:bidi="he-IL"/>
        </w:rPr>
      </w:pPr>
    </w:p>
    <w:p w:rsidR="0060508A" w:rsidRDefault="0060508A" w:rsidP="0060508A">
      <w:pPr>
        <w:rPr>
          <w:szCs w:val="28"/>
          <w:lang w:eastAsia="en-GB" w:bidi="he-IL"/>
        </w:rPr>
      </w:pPr>
      <w:r>
        <w:rPr>
          <w:szCs w:val="28"/>
          <w:lang w:eastAsia="en-GB" w:bidi="he-IL"/>
        </w:rPr>
        <w:t xml:space="preserve">The third objection is the prophecy of Isa 11:1 which predicts that there will be a rod and a branch out of </w:t>
      </w:r>
      <w:r w:rsidR="009E76E2">
        <w:rPr>
          <w:szCs w:val="28"/>
          <w:lang w:eastAsia="en-GB" w:bidi="he-IL"/>
        </w:rPr>
        <w:t xml:space="preserve">the </w:t>
      </w:r>
      <w:r>
        <w:rPr>
          <w:szCs w:val="28"/>
          <w:lang w:eastAsia="en-GB" w:bidi="he-IL"/>
        </w:rPr>
        <w:t xml:space="preserve">family of Jesse and this can only be the heir to the throne of David. If this prophecy is about the same individual as in the Immanuel prophecy then it is clearly not fulfilled in Maher-shalal-hash-baz. However, this identification is not necessary: we have had the birth prophecy of Immanuel in Isaiah 7; we have had an expression of anticipation about a child in Isaiah 9; so this third prophecy about a rod, a branch and a root (Isa </w:t>
      </w:r>
      <w:r>
        <w:rPr>
          <w:szCs w:val="28"/>
          <w:lang w:eastAsia="en-GB" w:bidi="he-IL"/>
        </w:rPr>
        <w:lastRenderedPageBreak/>
        <w:t xml:space="preserve">11:10) could very well refer to a </w:t>
      </w:r>
      <w:r w:rsidRPr="00814E77">
        <w:rPr>
          <w:b/>
          <w:szCs w:val="28"/>
          <w:lang w:eastAsia="en-GB" w:bidi="he-IL"/>
        </w:rPr>
        <w:t>future individual</w:t>
      </w:r>
      <w:r>
        <w:rPr>
          <w:szCs w:val="28"/>
          <w:lang w:eastAsia="en-GB" w:bidi="he-IL"/>
        </w:rPr>
        <w:t xml:space="preserve"> rather than the </w:t>
      </w:r>
      <w:r w:rsidR="000E03C7">
        <w:rPr>
          <w:szCs w:val="28"/>
          <w:lang w:eastAsia="en-GB" w:bidi="he-IL"/>
        </w:rPr>
        <w:t>“</w:t>
      </w:r>
      <w:r>
        <w:rPr>
          <w:szCs w:val="28"/>
          <w:lang w:eastAsia="en-GB" w:bidi="he-IL"/>
        </w:rPr>
        <w:t>births</w:t>
      </w:r>
      <w:r w:rsidR="000E03C7">
        <w:rPr>
          <w:szCs w:val="28"/>
          <w:lang w:eastAsia="en-GB" w:bidi="he-IL"/>
        </w:rPr>
        <w:t>”</w:t>
      </w:r>
      <w:r>
        <w:rPr>
          <w:szCs w:val="28"/>
          <w:lang w:eastAsia="en-GB" w:bidi="he-IL"/>
        </w:rPr>
        <w:t xml:space="preserve"> that have already taken place.</w:t>
      </w:r>
    </w:p>
    <w:p w:rsidR="009567CF" w:rsidRDefault="009567CF" w:rsidP="009567CF">
      <w:pPr>
        <w:rPr>
          <w:szCs w:val="28"/>
          <w:lang w:eastAsia="en-GB" w:bidi="he-IL"/>
        </w:rPr>
      </w:pPr>
    </w:p>
    <w:p w:rsidR="00922670" w:rsidRDefault="00922670" w:rsidP="003D4C83">
      <w:pPr>
        <w:rPr>
          <w:rFonts w:ascii="Bradley Hand ITC" w:hAnsi="Bradley Hand ITC"/>
          <w:b/>
          <w:sz w:val="28"/>
          <w:lang w:val="en-GB"/>
        </w:rPr>
      </w:pPr>
      <w:r>
        <w:rPr>
          <w:rFonts w:ascii="Bradley Hand ITC" w:hAnsi="Bradley Hand ITC"/>
          <w:b/>
          <w:sz w:val="28"/>
          <w:lang w:val="en-GB"/>
        </w:rPr>
        <w:t>Wonderful Counsellor</w:t>
      </w:r>
    </w:p>
    <w:p w:rsidR="00922670" w:rsidRDefault="00922670" w:rsidP="00922670">
      <w:pPr>
        <w:rPr>
          <w:szCs w:val="28"/>
          <w:lang w:eastAsia="en-GB" w:bidi="he-IL"/>
        </w:rPr>
      </w:pPr>
      <w:r>
        <w:rPr>
          <w:szCs w:val="28"/>
          <w:lang w:eastAsia="en-GB" w:bidi="he-IL"/>
        </w:rPr>
        <w:t>The notice and anticipation in Isa 9:6-7 comes from the accession of Hezekiah to the throne in 729-728 when he was 12.</w:t>
      </w:r>
      <w:r>
        <w:rPr>
          <w:rStyle w:val="FootnoteReference"/>
          <w:szCs w:val="28"/>
          <w:lang w:eastAsia="en-GB" w:bidi="he-IL"/>
        </w:rPr>
        <w:footnoteReference w:id="83"/>
      </w:r>
      <w:r>
        <w:rPr>
          <w:szCs w:val="28"/>
          <w:lang w:eastAsia="en-GB" w:bidi="he-IL"/>
        </w:rPr>
        <w:t xml:space="preserve"> The language of birth was used to describe the giving of the new king to the people by Yahweh and to define the relationship of the king to God. This is clear from the enthronement psalm,</w:t>
      </w:r>
    </w:p>
    <w:p w:rsidR="00922670" w:rsidRDefault="00922670" w:rsidP="00922670">
      <w:pPr>
        <w:rPr>
          <w:szCs w:val="28"/>
          <w:lang w:eastAsia="en-GB" w:bidi="he-IL"/>
        </w:rPr>
      </w:pPr>
    </w:p>
    <w:p w:rsidR="00922670" w:rsidRDefault="00922670" w:rsidP="00922670">
      <w:pPr>
        <w:pStyle w:val="Quote"/>
        <w:rPr>
          <w:szCs w:val="28"/>
        </w:rPr>
      </w:pPr>
      <w:r>
        <w:t>Yet have I set my king upon my holy hill of Zion. I will declare the decree: the Lord hath said unto me, Thou art my Son; this day have I begotten thee. Ps 2:6-7 (KJV)</w:t>
      </w:r>
    </w:p>
    <w:p w:rsidR="00922670" w:rsidRDefault="00922670" w:rsidP="00922670">
      <w:pPr>
        <w:rPr>
          <w:szCs w:val="28"/>
          <w:lang w:eastAsia="en-GB" w:bidi="he-IL"/>
        </w:rPr>
      </w:pPr>
    </w:p>
    <w:p w:rsidR="00922670" w:rsidRDefault="00922670" w:rsidP="00922670">
      <w:pPr>
        <w:rPr>
          <w:szCs w:val="28"/>
          <w:lang w:eastAsia="en-GB" w:bidi="he-IL"/>
        </w:rPr>
      </w:pPr>
      <w:r>
        <w:rPr>
          <w:szCs w:val="28"/>
          <w:lang w:eastAsia="en-GB" w:bidi="he-IL"/>
        </w:rPr>
        <w:t>The “son” given by Yahweh in the person of the new king is a “boy” (</w:t>
      </w:r>
      <w:proofErr w:type="spellStart"/>
      <w:r w:rsidRPr="008D25BD">
        <w:rPr>
          <w:rFonts w:ascii="Bwhebb" w:hAnsi="Bwhebb" w:cs="Bwhebb"/>
          <w:sz w:val="32"/>
          <w:szCs w:val="36"/>
          <w:lang w:eastAsia="en-GB" w:bidi="he-IL"/>
        </w:rPr>
        <w:t>dly</w:t>
      </w:r>
      <w:proofErr w:type="spellEnd"/>
      <w:r>
        <w:rPr>
          <w:szCs w:val="28"/>
          <w:lang w:eastAsia="en-GB" w:bidi="he-IL"/>
        </w:rPr>
        <w:t>) and he is given various throne-names that express the hopes of the people. The relationship of sonship comes through again in Psalm 89,</w:t>
      </w:r>
    </w:p>
    <w:p w:rsidR="00922670" w:rsidRDefault="00922670" w:rsidP="00922670">
      <w:pPr>
        <w:rPr>
          <w:szCs w:val="28"/>
          <w:lang w:eastAsia="en-GB" w:bidi="he-IL"/>
        </w:rPr>
      </w:pPr>
    </w:p>
    <w:p w:rsidR="00922670" w:rsidRDefault="00922670" w:rsidP="00922670">
      <w:pPr>
        <w:pStyle w:val="Quote"/>
        <w:rPr>
          <w:szCs w:val="28"/>
        </w:rPr>
      </w:pPr>
      <w:r>
        <w:t>Also I will make him my firstborn, higher than the kings of the earth. Ps 89:27 (KJV)</w:t>
      </w:r>
    </w:p>
    <w:p w:rsidR="00922670" w:rsidRDefault="00922670" w:rsidP="00922670">
      <w:pPr>
        <w:rPr>
          <w:szCs w:val="28"/>
          <w:lang w:eastAsia="en-GB" w:bidi="he-IL"/>
        </w:rPr>
      </w:pPr>
    </w:p>
    <w:p w:rsidR="00922670" w:rsidRDefault="00922670" w:rsidP="00922670">
      <w:pPr>
        <w:rPr>
          <w:szCs w:val="28"/>
          <w:lang w:eastAsia="en-GB" w:bidi="he-IL"/>
        </w:rPr>
      </w:pPr>
      <w:r>
        <w:rPr>
          <w:szCs w:val="28"/>
          <w:lang w:eastAsia="en-GB" w:bidi="he-IL"/>
        </w:rPr>
        <w:t>Given this tradition, it is better to see Isa 9:6-7 in relation to Hezekiah</w:t>
      </w:r>
      <w:r w:rsidR="000E03C7">
        <w:rPr>
          <w:szCs w:val="28"/>
          <w:lang w:eastAsia="en-GB" w:bidi="he-IL"/>
        </w:rPr>
        <w:t>’s accession</w:t>
      </w:r>
      <w:bookmarkStart w:id="0" w:name="_GoBack"/>
      <w:bookmarkEnd w:id="0"/>
      <w:r>
        <w:rPr>
          <w:szCs w:val="28"/>
          <w:lang w:eastAsia="en-GB" w:bidi="he-IL"/>
        </w:rPr>
        <w:t xml:space="preserve"> rather than the birth of Immanuel.</w:t>
      </w:r>
    </w:p>
    <w:p w:rsidR="00922670" w:rsidRDefault="00922670" w:rsidP="003D4C83">
      <w:pPr>
        <w:rPr>
          <w:rFonts w:ascii="Bradley Hand ITC" w:hAnsi="Bradley Hand ITC"/>
          <w:b/>
          <w:sz w:val="28"/>
          <w:lang w:val="en-GB"/>
        </w:rPr>
      </w:pPr>
    </w:p>
    <w:p w:rsidR="00922670" w:rsidRDefault="00922670" w:rsidP="003D4C83">
      <w:pPr>
        <w:rPr>
          <w:rFonts w:ascii="Bradley Hand ITC" w:hAnsi="Bradley Hand ITC"/>
          <w:b/>
          <w:sz w:val="28"/>
          <w:lang w:val="en-GB"/>
        </w:rPr>
      </w:pPr>
      <w:r>
        <w:rPr>
          <w:rFonts w:ascii="Bradley Hand ITC" w:hAnsi="Bradley Hand ITC"/>
          <w:b/>
          <w:sz w:val="28"/>
          <w:lang w:val="en-GB"/>
        </w:rPr>
        <w:t>The Rod of Jesse</w:t>
      </w:r>
    </w:p>
    <w:p w:rsidR="00922670" w:rsidRDefault="00922670" w:rsidP="00922670">
      <w:pPr>
        <w:rPr>
          <w:szCs w:val="28"/>
          <w:lang w:eastAsia="en-GB" w:bidi="he-IL"/>
        </w:rPr>
      </w:pPr>
      <w:r>
        <w:rPr>
          <w:szCs w:val="28"/>
          <w:lang w:eastAsia="en-GB" w:bidi="he-IL"/>
        </w:rPr>
        <w:t xml:space="preserve">Hezekiah is the Servant, as we have claimed in our “Introduction” above, but he is not the fulfillment of the Immanuel prophecy; in Isa 9:6-7 we have an accession oracle relating to Hezekiah sent round the cities and villages of Israel and Judah, so what are we to make of Isaiah 11? </w:t>
      </w:r>
    </w:p>
    <w:p w:rsidR="00922670" w:rsidRDefault="00922670" w:rsidP="00922670">
      <w:pPr>
        <w:rPr>
          <w:szCs w:val="28"/>
          <w:lang w:eastAsia="en-GB" w:bidi="he-IL"/>
        </w:rPr>
      </w:pPr>
    </w:p>
    <w:p w:rsidR="00922670" w:rsidRDefault="00922670" w:rsidP="00936DFC">
      <w:pPr>
        <w:pStyle w:val="ListParagraph"/>
        <w:numPr>
          <w:ilvl w:val="0"/>
          <w:numId w:val="13"/>
        </w:numPr>
        <w:spacing w:after="0" w:line="240" w:lineRule="auto"/>
        <w:ind w:left="360"/>
        <w:rPr>
          <w:rFonts w:cs="Arial"/>
          <w:szCs w:val="28"/>
          <w:lang w:val="en-US" w:eastAsia="en-GB" w:bidi="he-IL"/>
        </w:rPr>
      </w:pPr>
      <w:r w:rsidRPr="00F2420B">
        <w:rPr>
          <w:rFonts w:cs="Arial"/>
          <w:szCs w:val="28"/>
          <w:lang w:val="en-US" w:eastAsia="en-GB" w:bidi="he-IL"/>
        </w:rPr>
        <w:t>The prophecy that a “shoot” shall come from the “stump” of Jesse (Isa 11:1, RSV) is unusual language for the immediate royal family; it is more fitting for a branch (</w:t>
      </w:r>
      <w:r w:rsidRPr="00F2420B">
        <w:rPr>
          <w:rFonts w:cs="Arial"/>
          <w:i/>
          <w:szCs w:val="28"/>
          <w:lang w:val="en-US" w:eastAsia="en-GB" w:bidi="he-IL"/>
        </w:rPr>
        <w:t>sic</w:t>
      </w:r>
      <w:r w:rsidRPr="00F2420B">
        <w:rPr>
          <w:rFonts w:cs="Arial"/>
          <w:szCs w:val="28"/>
          <w:lang w:val="en-US" w:eastAsia="en-GB" w:bidi="he-IL"/>
        </w:rPr>
        <w:t>) of the royal family.</w:t>
      </w:r>
      <w:r>
        <w:rPr>
          <w:rFonts w:cs="Arial"/>
          <w:szCs w:val="28"/>
          <w:lang w:val="en-US" w:eastAsia="en-GB" w:bidi="he-IL"/>
        </w:rPr>
        <w:t xml:space="preserve"> </w:t>
      </w:r>
    </w:p>
    <w:p w:rsidR="00922670" w:rsidRDefault="00922670" w:rsidP="00936DFC">
      <w:pPr>
        <w:pStyle w:val="ListParagraph"/>
        <w:numPr>
          <w:ilvl w:val="0"/>
          <w:numId w:val="13"/>
        </w:numPr>
        <w:spacing w:after="0" w:line="240" w:lineRule="auto"/>
        <w:ind w:left="360"/>
        <w:rPr>
          <w:szCs w:val="28"/>
          <w:lang w:val="en-US" w:eastAsia="en-GB" w:bidi="he-IL"/>
        </w:rPr>
      </w:pPr>
      <w:r>
        <w:rPr>
          <w:szCs w:val="28"/>
          <w:lang w:val="en-US" w:eastAsia="en-GB" w:bidi="he-IL"/>
        </w:rPr>
        <w:lastRenderedPageBreak/>
        <w:t>The “root” of Jesse (Isa 11:10) would be an “ensign/standard” (</w:t>
      </w:r>
      <w:proofErr w:type="spellStart"/>
      <w:proofErr w:type="gramStart"/>
      <w:r w:rsidRPr="00BC2D57">
        <w:rPr>
          <w:rFonts w:ascii="Bwhebb" w:hAnsi="Bwhebb" w:cs="Bwhebb"/>
          <w:sz w:val="32"/>
          <w:szCs w:val="36"/>
          <w:lang w:val="en-US" w:eastAsia="en-GB" w:bidi="he-IL"/>
        </w:rPr>
        <w:t>sn</w:t>
      </w:r>
      <w:proofErr w:type="spellEnd"/>
      <w:proofErr w:type="gramEnd"/>
      <w:r>
        <w:rPr>
          <w:szCs w:val="28"/>
          <w:lang w:val="en-US" w:eastAsia="en-GB" w:bidi="he-IL"/>
        </w:rPr>
        <w:t xml:space="preserve">) of the people. This “standard” is referred to again in Isa 49:22 and 62:10 with regard to the Arm of the Lord. The corresponding verb </w:t>
      </w:r>
      <w:r>
        <w:rPr>
          <w:lang w:val="en-US" w:eastAsia="en-GB" w:bidi="he-IL"/>
        </w:rPr>
        <w:t>(</w:t>
      </w:r>
      <w:proofErr w:type="spellStart"/>
      <w:r w:rsidRPr="00010EC3">
        <w:rPr>
          <w:rFonts w:ascii="Bwhebb" w:hAnsi="Bwhebb" w:cs="Bwhebb"/>
          <w:sz w:val="32"/>
          <w:szCs w:val="28"/>
          <w:lang w:val="en-US" w:bidi="he-IL"/>
        </w:rPr>
        <w:t>ssn</w:t>
      </w:r>
      <w:proofErr w:type="spellEnd"/>
      <w:r>
        <w:rPr>
          <w:lang w:val="en-US" w:eastAsia="en-GB" w:bidi="he-IL"/>
        </w:rPr>
        <w:t>)</w:t>
      </w:r>
      <w:r>
        <w:rPr>
          <w:szCs w:val="28"/>
          <w:lang w:val="en-US" w:eastAsia="en-GB" w:bidi="he-IL"/>
        </w:rPr>
        <w:t xml:space="preserve"> is used in the oracle of Isa 59:16-21 in relation to Anonymous Conqueror, “the Spirit of the Lord shall </w:t>
      </w:r>
      <w:proofErr w:type="gramStart"/>
      <w:r>
        <w:rPr>
          <w:szCs w:val="28"/>
          <w:lang w:val="en-US" w:eastAsia="en-GB" w:bidi="he-IL"/>
        </w:rPr>
        <w:t>raise</w:t>
      </w:r>
      <w:proofErr w:type="gramEnd"/>
      <w:r>
        <w:rPr>
          <w:szCs w:val="28"/>
          <w:lang w:val="en-US" w:eastAsia="en-GB" w:bidi="he-IL"/>
        </w:rPr>
        <w:t xml:space="preserve"> up a standard </w:t>
      </w:r>
      <w:r>
        <w:rPr>
          <w:lang w:val="en-US" w:eastAsia="en-GB" w:bidi="he-IL"/>
        </w:rPr>
        <w:t>(</w:t>
      </w:r>
      <w:proofErr w:type="spellStart"/>
      <w:r w:rsidRPr="00010EC3">
        <w:rPr>
          <w:rFonts w:ascii="Bwhebb" w:hAnsi="Bwhebb" w:cs="Bwhebb"/>
          <w:sz w:val="32"/>
          <w:szCs w:val="28"/>
          <w:lang w:val="en-US" w:bidi="he-IL"/>
        </w:rPr>
        <w:t>ssn</w:t>
      </w:r>
      <w:proofErr w:type="spellEnd"/>
      <w:r>
        <w:rPr>
          <w:lang w:val="en-US" w:eastAsia="en-GB" w:bidi="he-IL"/>
        </w:rPr>
        <w:t xml:space="preserve">) </w:t>
      </w:r>
      <w:r>
        <w:rPr>
          <w:szCs w:val="28"/>
          <w:lang w:val="en-US" w:eastAsia="en-GB" w:bidi="he-IL"/>
        </w:rPr>
        <w:t>against him” (KJV).</w:t>
      </w:r>
      <w:r>
        <w:rPr>
          <w:rStyle w:val="FootnoteReference"/>
          <w:szCs w:val="28"/>
          <w:lang w:val="en-US" w:eastAsia="en-GB" w:bidi="he-IL"/>
        </w:rPr>
        <w:footnoteReference w:id="84"/>
      </w:r>
    </w:p>
    <w:p w:rsidR="00922670" w:rsidRPr="00E562FF" w:rsidRDefault="00922670" w:rsidP="00922670">
      <w:pPr>
        <w:rPr>
          <w:szCs w:val="28"/>
          <w:lang w:eastAsia="en-GB" w:bidi="he-IL"/>
        </w:rPr>
      </w:pPr>
    </w:p>
    <w:p w:rsidR="00922670" w:rsidRPr="00E562FF" w:rsidRDefault="00922670" w:rsidP="00936DFC">
      <w:pPr>
        <w:pStyle w:val="ListParagraph"/>
        <w:numPr>
          <w:ilvl w:val="0"/>
          <w:numId w:val="13"/>
        </w:numPr>
        <w:spacing w:after="0" w:line="240" w:lineRule="auto"/>
        <w:ind w:left="360"/>
        <w:rPr>
          <w:szCs w:val="28"/>
          <w:lang w:val="en-US" w:eastAsia="en-GB" w:bidi="he-IL"/>
        </w:rPr>
      </w:pPr>
      <w:r w:rsidRPr="00F2420B">
        <w:rPr>
          <w:szCs w:val="28"/>
          <w:lang w:val="en-US" w:eastAsia="en-GB" w:bidi="he-IL"/>
        </w:rPr>
        <w:t xml:space="preserve">A branch </w:t>
      </w:r>
      <w:r w:rsidRPr="00F2420B">
        <w:rPr>
          <w:lang w:val="en-US" w:eastAsia="en-GB" w:bidi="he-IL"/>
        </w:rPr>
        <w:t>(</w:t>
      </w:r>
      <w:proofErr w:type="spellStart"/>
      <w:r w:rsidRPr="00F2420B">
        <w:rPr>
          <w:rFonts w:ascii="Bwhebb" w:hAnsi="Bwhebb" w:cs="Bwhebb"/>
          <w:sz w:val="32"/>
          <w:szCs w:val="36"/>
          <w:lang w:val="en-US" w:eastAsia="en-GB" w:bidi="he-IL"/>
        </w:rPr>
        <w:t>rcn</w:t>
      </w:r>
      <w:proofErr w:type="spellEnd"/>
      <w:r w:rsidRPr="00F2420B">
        <w:rPr>
          <w:lang w:val="en-US" w:eastAsia="en-GB" w:bidi="he-IL"/>
        </w:rPr>
        <w:t xml:space="preserve">) </w:t>
      </w:r>
      <w:r w:rsidRPr="00F2420B">
        <w:rPr>
          <w:szCs w:val="28"/>
          <w:lang w:val="en-US" w:eastAsia="en-GB" w:bidi="he-IL"/>
        </w:rPr>
        <w:t xml:space="preserve">shall grow out </w:t>
      </w:r>
      <w:r>
        <w:rPr>
          <w:szCs w:val="28"/>
          <w:lang w:val="en-US" w:eastAsia="en-GB" w:bidi="he-IL"/>
        </w:rPr>
        <w:t xml:space="preserve">of the </w:t>
      </w:r>
      <w:r w:rsidRPr="00F2420B">
        <w:rPr>
          <w:szCs w:val="28"/>
          <w:lang w:val="en-US" w:eastAsia="en-GB" w:bidi="he-IL"/>
        </w:rPr>
        <w:t>roots of the stump</w:t>
      </w:r>
      <w:r>
        <w:rPr>
          <w:szCs w:val="28"/>
          <w:lang w:val="en-US" w:eastAsia="en-GB" w:bidi="he-IL"/>
        </w:rPr>
        <w:t xml:space="preserve"> (Isa 11:1). The word is rare (4x) and used in Isa 14:19 and 60:21.</w:t>
      </w:r>
      <w:r w:rsidRPr="00F2420B">
        <w:rPr>
          <w:szCs w:val="28"/>
          <w:lang w:val="en-US" w:eastAsia="en-GB" w:bidi="he-IL"/>
        </w:rPr>
        <w:t xml:space="preserve"> Isaiah quotes this prophecy when he says to the conqueror, “</w:t>
      </w:r>
      <w:r w:rsidRPr="00F2420B">
        <w:rPr>
          <w:lang w:val="en-US" w:eastAsia="en-GB" w:bidi="he-IL"/>
        </w:rPr>
        <w:t xml:space="preserve">Then all your people </w:t>
      </w:r>
      <w:r w:rsidRPr="00F2420B">
        <w:rPr>
          <w:i/>
          <w:iCs/>
          <w:lang w:val="en-US" w:eastAsia="en-GB" w:bidi="he-IL"/>
        </w:rPr>
        <w:t xml:space="preserve">will be </w:t>
      </w:r>
      <w:r w:rsidRPr="00F2420B">
        <w:rPr>
          <w:lang w:val="en-US" w:eastAsia="en-GB" w:bidi="he-IL"/>
        </w:rPr>
        <w:t>righteous; they will possess the land forever, the branch (</w:t>
      </w:r>
      <w:proofErr w:type="spellStart"/>
      <w:r w:rsidRPr="00F2420B">
        <w:rPr>
          <w:rFonts w:ascii="Bwhebb" w:hAnsi="Bwhebb" w:cs="Bwhebb"/>
          <w:sz w:val="32"/>
          <w:szCs w:val="36"/>
          <w:lang w:val="en-US" w:eastAsia="en-GB" w:bidi="he-IL"/>
        </w:rPr>
        <w:t>rcn</w:t>
      </w:r>
      <w:proofErr w:type="spellEnd"/>
      <w:r w:rsidRPr="00F2420B">
        <w:rPr>
          <w:lang w:val="en-US" w:eastAsia="en-GB" w:bidi="he-IL"/>
        </w:rPr>
        <w:t xml:space="preserve">) of my planting, the work of my hands, that I may be glorified” (Isa 60:21, RSV). </w:t>
      </w:r>
    </w:p>
    <w:p w:rsidR="00922670" w:rsidRPr="00F2420B" w:rsidRDefault="00922670" w:rsidP="00922670">
      <w:pPr>
        <w:pStyle w:val="ListParagraph"/>
        <w:rPr>
          <w:szCs w:val="28"/>
          <w:lang w:val="en-US" w:eastAsia="en-GB" w:bidi="he-IL"/>
        </w:rPr>
      </w:pPr>
    </w:p>
    <w:p w:rsidR="00922670" w:rsidRDefault="00922670" w:rsidP="00936DFC">
      <w:pPr>
        <w:pStyle w:val="ListParagraph"/>
        <w:numPr>
          <w:ilvl w:val="0"/>
          <w:numId w:val="13"/>
        </w:numPr>
        <w:spacing w:after="0" w:line="240" w:lineRule="auto"/>
        <w:ind w:left="360"/>
        <w:rPr>
          <w:szCs w:val="28"/>
          <w:lang w:val="en-US" w:eastAsia="en-GB" w:bidi="he-IL"/>
        </w:rPr>
      </w:pPr>
      <w:r>
        <w:rPr>
          <w:szCs w:val="28"/>
          <w:lang w:val="en-US" w:eastAsia="en-GB" w:bidi="he-IL"/>
        </w:rPr>
        <w:t xml:space="preserve">The Spirit of the Lord would rest upon the Rod of Jesse (Isa 11:2); this is picked up by the </w:t>
      </w:r>
      <w:r w:rsidR="00814E77">
        <w:rPr>
          <w:szCs w:val="28"/>
          <w:lang w:val="en-US" w:eastAsia="en-GB" w:bidi="he-IL"/>
        </w:rPr>
        <w:t>C</w:t>
      </w:r>
      <w:r>
        <w:rPr>
          <w:szCs w:val="28"/>
          <w:lang w:val="en-US" w:eastAsia="en-GB" w:bidi="he-IL"/>
        </w:rPr>
        <w:t>onqueror in Isaiah 61, “The Spirit of the Lord God is upon me” (v. 1) and Isaiah 59 (v. 21), “My Spirit that is upon you”.</w:t>
      </w:r>
    </w:p>
    <w:p w:rsidR="00922670" w:rsidRPr="00922670" w:rsidRDefault="00922670" w:rsidP="00922670">
      <w:pPr>
        <w:rPr>
          <w:szCs w:val="28"/>
          <w:lang w:eastAsia="en-GB" w:bidi="he-IL"/>
        </w:rPr>
      </w:pPr>
    </w:p>
    <w:p w:rsidR="00922670" w:rsidRDefault="00922670" w:rsidP="00922670">
      <w:pPr>
        <w:rPr>
          <w:szCs w:val="28"/>
          <w:lang w:eastAsia="en-GB" w:bidi="he-IL"/>
        </w:rPr>
      </w:pPr>
      <w:r>
        <w:rPr>
          <w:szCs w:val="28"/>
          <w:lang w:eastAsia="en-GB" w:bidi="he-IL"/>
        </w:rPr>
        <w:t>For these reasons we propose that the Rod of Jesse is the Anonymous Conqueror and not Hezekiah. This does not mean that all the terms of the prophecy were fulfilled</w:t>
      </w:r>
      <w:r w:rsidR="00814E77">
        <w:rPr>
          <w:szCs w:val="28"/>
          <w:lang w:eastAsia="en-GB" w:bidi="he-IL"/>
        </w:rPr>
        <w:t>,</w:t>
      </w:r>
      <w:r>
        <w:rPr>
          <w:szCs w:val="28"/>
          <w:lang w:eastAsia="en-GB" w:bidi="he-IL"/>
        </w:rPr>
        <w:t xml:space="preserve"> because they have their true fulfillment in Christ. In particular, if we read the lament-psalm of Isa 63:7-64:12 as spoken by the Conqueror, he explicitly says that Israel did not acknowledge him (Isa 63:16)</w:t>
      </w:r>
      <w:r w:rsidR="00814E77">
        <w:rPr>
          <w:szCs w:val="28"/>
          <w:lang w:eastAsia="en-GB" w:bidi="he-IL"/>
        </w:rPr>
        <w:t xml:space="preserve"> and so aspects of Isaiah 11 did not come to fulfillment through him</w:t>
      </w:r>
      <w:r>
        <w:rPr>
          <w:szCs w:val="28"/>
          <w:lang w:eastAsia="en-GB" w:bidi="he-IL"/>
        </w:rPr>
        <w:t>.</w:t>
      </w:r>
    </w:p>
    <w:p w:rsidR="00B63313" w:rsidRPr="00F2420B" w:rsidRDefault="00B63313" w:rsidP="00922670">
      <w:pPr>
        <w:rPr>
          <w:szCs w:val="28"/>
          <w:lang w:eastAsia="en-GB" w:bidi="he-IL"/>
        </w:rPr>
      </w:pPr>
    </w:p>
    <w:p w:rsidR="00922670" w:rsidRDefault="00922670" w:rsidP="003D4C83">
      <w:pPr>
        <w:rPr>
          <w:rFonts w:ascii="Bradley Hand ITC" w:hAnsi="Bradley Hand ITC"/>
          <w:b/>
          <w:sz w:val="28"/>
          <w:lang w:val="en-GB"/>
        </w:rPr>
      </w:pPr>
      <w:r>
        <w:rPr>
          <w:rFonts w:ascii="Bradley Hand ITC" w:hAnsi="Bradley Hand ITC"/>
          <w:b/>
          <w:sz w:val="28"/>
          <w:lang w:val="en-GB"/>
        </w:rPr>
        <w:t>Conclusion</w:t>
      </w:r>
    </w:p>
    <w:p w:rsidR="00922670" w:rsidRDefault="00922670" w:rsidP="00922670">
      <w:pPr>
        <w:rPr>
          <w:szCs w:val="28"/>
          <w:lang w:eastAsia="en-GB" w:bidi="he-IL"/>
        </w:rPr>
      </w:pPr>
      <w:r>
        <w:rPr>
          <w:szCs w:val="28"/>
          <w:lang w:eastAsia="en-GB" w:bidi="he-IL"/>
        </w:rPr>
        <w:t>The question of the number of individual character figures in the book of Isaiah is important. Each character is a type of Christ, and for this reason, the hopes in the oracles associated with each character do not have a complete fulfillment in those individuals. We identify three individuals: Immanuel, one of Isaiah’s children; Hezekiah, the Servant of the Lord; and the Rod of Jesse, the Anonymous Conqueror.</w:t>
      </w:r>
    </w:p>
    <w:p w:rsidR="00E17946" w:rsidRDefault="00E17946" w:rsidP="00922670">
      <w:pPr>
        <w:rPr>
          <w:szCs w:val="28"/>
          <w:lang w:eastAsia="en-GB" w:bidi="he-IL"/>
        </w:rPr>
      </w:pPr>
    </w:p>
    <w:p w:rsidR="005E0D2B" w:rsidRDefault="005E0D2B" w:rsidP="00922670">
      <w:pPr>
        <w:rPr>
          <w:szCs w:val="28"/>
          <w:lang w:eastAsia="en-GB" w:bidi="he-IL"/>
        </w:rPr>
      </w:pPr>
    </w:p>
    <w:p w:rsidR="005E0D2B" w:rsidRDefault="005E0D2B" w:rsidP="00922670">
      <w:pPr>
        <w:rPr>
          <w:szCs w:val="28"/>
          <w:lang w:eastAsia="en-GB" w:bidi="he-IL"/>
        </w:rPr>
      </w:pPr>
    </w:p>
    <w:p w:rsidR="00B63313" w:rsidRPr="00B63313" w:rsidRDefault="00B63313" w:rsidP="00922670">
      <w:pPr>
        <w:rPr>
          <w:rFonts w:ascii="Bradley Hand ITC" w:hAnsi="Bradley Hand ITC"/>
          <w:b/>
          <w:sz w:val="28"/>
          <w:szCs w:val="28"/>
          <w:lang w:eastAsia="en-GB" w:bidi="he-IL"/>
        </w:rPr>
      </w:pPr>
      <w:r w:rsidRPr="00B63313">
        <w:rPr>
          <w:rFonts w:ascii="Bradley Hand ITC" w:hAnsi="Bradley Hand ITC"/>
          <w:b/>
          <w:sz w:val="28"/>
          <w:szCs w:val="28"/>
          <w:lang w:eastAsia="en-GB" w:bidi="he-IL"/>
        </w:rPr>
        <w:lastRenderedPageBreak/>
        <w:t>New Book</w:t>
      </w:r>
    </w:p>
    <w:p w:rsidR="00B63313" w:rsidRDefault="00B63313" w:rsidP="00922670">
      <w:pPr>
        <w:rPr>
          <w:szCs w:val="28"/>
          <w:lang w:eastAsia="en-GB" w:bidi="he-IL"/>
        </w:rPr>
      </w:pPr>
    </w:p>
    <w:p w:rsidR="00B63313" w:rsidRPr="00B63313" w:rsidRDefault="00B63313" w:rsidP="00B63313">
      <w:pPr>
        <w:rPr>
          <w:rFonts w:ascii="Bradley Hand ITC" w:hAnsi="Bradley Hand ITC"/>
          <w:b/>
          <w:sz w:val="28"/>
          <w:szCs w:val="28"/>
        </w:rPr>
      </w:pPr>
      <w:r w:rsidRPr="00B63313">
        <w:rPr>
          <w:rFonts w:ascii="Bradley Hand ITC" w:hAnsi="Bradley Hand ITC"/>
          <w:b/>
          <w:sz w:val="28"/>
          <w:szCs w:val="28"/>
        </w:rPr>
        <w:t xml:space="preserve">God is Judge: A </w:t>
      </w:r>
      <w:r>
        <w:rPr>
          <w:rFonts w:ascii="Bradley Hand ITC" w:hAnsi="Bradley Hand ITC"/>
          <w:b/>
          <w:sz w:val="28"/>
          <w:szCs w:val="28"/>
        </w:rPr>
        <w:t>C</w:t>
      </w:r>
      <w:r w:rsidRPr="00B63313">
        <w:rPr>
          <w:rFonts w:ascii="Bradley Hand ITC" w:hAnsi="Bradley Hand ITC"/>
          <w:b/>
          <w:sz w:val="28"/>
          <w:szCs w:val="28"/>
        </w:rPr>
        <w:t xml:space="preserve">ommentary on Daniel </w:t>
      </w:r>
    </w:p>
    <w:p w:rsidR="00B63313" w:rsidRPr="00B63313" w:rsidRDefault="00B63313" w:rsidP="00B63313">
      <w:pPr>
        <w:rPr>
          <w:rFonts w:ascii="Bradley Hand ITC" w:hAnsi="Bradley Hand ITC"/>
          <w:b/>
          <w:sz w:val="28"/>
          <w:szCs w:val="28"/>
        </w:rPr>
      </w:pPr>
      <w:r w:rsidRPr="00B63313">
        <w:rPr>
          <w:rFonts w:ascii="Bradley Hand ITC" w:hAnsi="Bradley Hand ITC"/>
          <w:b/>
          <w:sz w:val="28"/>
          <w:szCs w:val="28"/>
        </w:rPr>
        <w:t>P. Wyns</w:t>
      </w:r>
    </w:p>
    <w:p w:rsidR="00B63313" w:rsidRDefault="00B63313" w:rsidP="00B63313">
      <w:pPr>
        <w:rPr>
          <w:sz w:val="28"/>
          <w:szCs w:val="28"/>
        </w:rPr>
      </w:pPr>
    </w:p>
    <w:p w:rsidR="00B63313" w:rsidRPr="00B63313" w:rsidRDefault="00B63313" w:rsidP="00B63313">
      <w:pPr>
        <w:rPr>
          <w:szCs w:val="28"/>
        </w:rPr>
      </w:pPr>
      <w:r w:rsidRPr="00B63313">
        <w:rPr>
          <w:szCs w:val="28"/>
        </w:rPr>
        <w:t xml:space="preserve">I opened the introduction of my commentary with a question – why is it necessary to have yet another commentary on Daniel?  Surely the subject has received sufficient treatment by various </w:t>
      </w:r>
      <w:r>
        <w:rPr>
          <w:szCs w:val="28"/>
        </w:rPr>
        <w:t>commentators</w:t>
      </w:r>
      <w:r w:rsidRPr="00B63313">
        <w:rPr>
          <w:szCs w:val="28"/>
        </w:rPr>
        <w:t xml:space="preserve"> both Christadelphian and otherwise?  Unfortunately this is not the case and Daniel is either regarded as a book that contains “children’s stories” of miraculous deliverance (and therefore not treated seriously) or it is used as a “prophetic” battle ground between conservative and liberal exegetes. Conservative scholars believe that Daniel was written in the Babylonian period and contains predictive prophecy. On the other hand liberal scholars believe that it was written much later (during the Greek period) and that it contains “quasi-prophecy” based on the desecration of the temple wrought by Antiochus Epiphanes.  Critics believe that the strange numbers in Daniel (1260/1290/1335) are actually “revisions” of the expected end – the author got the “end date” wrong (the demise of Antiochus and the resurrection in chapter 12) and had to constantly “update” his predictions.</w:t>
      </w:r>
    </w:p>
    <w:p w:rsidR="00B63313" w:rsidRPr="00B63313" w:rsidRDefault="00B63313" w:rsidP="00B63313">
      <w:pPr>
        <w:rPr>
          <w:szCs w:val="28"/>
        </w:rPr>
      </w:pPr>
    </w:p>
    <w:p w:rsidR="00B63313" w:rsidRPr="00B63313" w:rsidRDefault="00B63313" w:rsidP="00B63313">
      <w:pPr>
        <w:rPr>
          <w:szCs w:val="28"/>
        </w:rPr>
      </w:pPr>
      <w:r w:rsidRPr="00B63313">
        <w:rPr>
          <w:szCs w:val="28"/>
        </w:rPr>
        <w:t>Another problem for conservative and liberal exegetes is the role of Cyrus in Daniel. The temple was not restored during the reign of Cyrus and Cyrus does not feature as a major character in any of Daniel’s stories. For this reason some have proposed that “Darius the Mede” is actually another name for Cyrus, or that perhaps he is one of Cyrus’ generals acting on Cyrus’ authority.  Added to these problems is the intensely historical account in Daniel 11 which nearly everyone agrees has some sort of application to the Syrian-Egyptian wars but little relevance to the Jews apart from the description of the desecrations wrought by Antiochus Epiphanes.</w:t>
      </w:r>
    </w:p>
    <w:p w:rsidR="00B63313" w:rsidRPr="00B63313" w:rsidRDefault="00B63313" w:rsidP="00B63313">
      <w:pPr>
        <w:rPr>
          <w:szCs w:val="28"/>
        </w:rPr>
      </w:pPr>
    </w:p>
    <w:p w:rsidR="00B63313" w:rsidRPr="00B63313" w:rsidRDefault="00B63313" w:rsidP="00B63313">
      <w:pPr>
        <w:rPr>
          <w:szCs w:val="28"/>
        </w:rPr>
      </w:pPr>
      <w:r w:rsidRPr="00B63313">
        <w:rPr>
          <w:szCs w:val="28"/>
        </w:rPr>
        <w:t>Finally</w:t>
      </w:r>
      <w:r>
        <w:rPr>
          <w:szCs w:val="28"/>
        </w:rPr>
        <w:t>,</w:t>
      </w:r>
      <w:r w:rsidRPr="00B63313">
        <w:rPr>
          <w:szCs w:val="28"/>
        </w:rPr>
        <w:t xml:space="preserve"> there is the 490 year prophecy of Daniel 9 that is understood by Christians to be related to the crucifixion and “confirming” the new covenant. However, Christ himself used this prophecy to point to the </w:t>
      </w:r>
      <w:r w:rsidRPr="00B63313">
        <w:rPr>
          <w:b/>
          <w:szCs w:val="28"/>
        </w:rPr>
        <w:t>destruction of the temple</w:t>
      </w:r>
      <w:r w:rsidRPr="00B63313">
        <w:rPr>
          <w:szCs w:val="28"/>
        </w:rPr>
        <w:t xml:space="preserve"> not to his crucifixion. The Jews also believe that the prophecy is related to the destruction of the temple but they “cheat” by leaving out 166 years of Persian era history in their calendar in order to make </w:t>
      </w:r>
      <w:r w:rsidRPr="00B63313">
        <w:rPr>
          <w:szCs w:val="28"/>
        </w:rPr>
        <w:lastRenderedPageBreak/>
        <w:t>the interval between the destruction of the first and second temples exactly 490 years instead of the 656 years that is confirmed by historical accounts.</w:t>
      </w:r>
    </w:p>
    <w:p w:rsidR="00B63313" w:rsidRPr="00B63313" w:rsidRDefault="00B63313" w:rsidP="00B63313">
      <w:pPr>
        <w:rPr>
          <w:szCs w:val="28"/>
        </w:rPr>
      </w:pPr>
    </w:p>
    <w:p w:rsidR="00B63313" w:rsidRPr="00B63313" w:rsidRDefault="00B63313" w:rsidP="00B63313">
      <w:pPr>
        <w:rPr>
          <w:szCs w:val="28"/>
        </w:rPr>
      </w:pPr>
      <w:r w:rsidRPr="00B63313">
        <w:rPr>
          <w:szCs w:val="28"/>
        </w:rPr>
        <w:t xml:space="preserve">As all these problems have not (in my view) been adequately addressed it was timely that a new intertextual approach be adopted – “interpreting scripture with scripture”.  It is fundamental to recognise that Daniel’s main concern </w:t>
      </w:r>
      <w:r w:rsidRPr="00B63313">
        <w:rPr>
          <w:b/>
          <w:szCs w:val="28"/>
        </w:rPr>
        <w:t>is the temple and true worship.</w:t>
      </w:r>
      <w:r w:rsidRPr="00B63313">
        <w:rPr>
          <w:szCs w:val="28"/>
        </w:rPr>
        <w:t xml:space="preserve"> Even the stories of the three friends in the fire and Daniel in the lion’s den have this background as they reflect the burning of the temple in the Babylonian period and the “resurrection” of the nation under Darius Hystaspis.</w:t>
      </w:r>
    </w:p>
    <w:p w:rsidR="00B63313" w:rsidRPr="00B63313" w:rsidRDefault="00B63313" w:rsidP="00B63313">
      <w:pPr>
        <w:rPr>
          <w:szCs w:val="28"/>
        </w:rPr>
      </w:pPr>
    </w:p>
    <w:p w:rsidR="00B63313" w:rsidRDefault="00B63313" w:rsidP="00B63313">
      <w:pPr>
        <w:rPr>
          <w:szCs w:val="28"/>
        </w:rPr>
      </w:pPr>
      <w:r w:rsidRPr="00B63313">
        <w:rPr>
          <w:szCs w:val="28"/>
        </w:rPr>
        <w:t xml:space="preserve">It was Darius Hystaspis (Darius the Mede) not Cyrus, who actually rebuilt the temple exactly 70 years after it had been destroyed. Cyrus is irrelevant to the book of Daniel and therefore Daniel deliberately “skips” the conquest of Babylon by Cyrus and proceeds directly to Darius the Mede, who also conquered Babylon and liberated the captives.  </w:t>
      </w:r>
      <w:r w:rsidRPr="00B63313">
        <w:rPr>
          <w:b/>
          <w:szCs w:val="28"/>
        </w:rPr>
        <w:t>Cyrus did not rebuild the temple Darius did.</w:t>
      </w:r>
      <w:r w:rsidRPr="00B63313">
        <w:rPr>
          <w:szCs w:val="28"/>
        </w:rPr>
        <w:t xml:space="preserve">  So effectively Daniel comes out of retirement 21 years after Cyrus at the beginning of Darius’ reign to question why Jeremiah’s prophecy is (apparently) unfulfilled. </w:t>
      </w:r>
    </w:p>
    <w:p w:rsidR="00360107" w:rsidRDefault="00360107" w:rsidP="00B63313">
      <w:pPr>
        <w:rPr>
          <w:szCs w:val="28"/>
        </w:rPr>
      </w:pPr>
    </w:p>
    <w:p w:rsidR="00B63313" w:rsidRDefault="00B63313" w:rsidP="00B63313">
      <w:pPr>
        <w:rPr>
          <w:szCs w:val="28"/>
        </w:rPr>
      </w:pPr>
      <w:r w:rsidRPr="00B63313">
        <w:rPr>
          <w:szCs w:val="28"/>
        </w:rPr>
        <w:t>This places a large section of Daniel in the Persian period</w:t>
      </w:r>
      <w:r>
        <w:rPr>
          <w:szCs w:val="28"/>
        </w:rPr>
        <w:t>,</w:t>
      </w:r>
      <w:r w:rsidRPr="00B63313">
        <w:rPr>
          <w:szCs w:val="28"/>
        </w:rPr>
        <w:t xml:space="preserve"> making it contemporary with the ministries of Zechariah-Haggai</w:t>
      </w:r>
      <w:r>
        <w:rPr>
          <w:szCs w:val="28"/>
        </w:rPr>
        <w:t>,</w:t>
      </w:r>
      <w:r w:rsidRPr="00B63313">
        <w:rPr>
          <w:szCs w:val="28"/>
        </w:rPr>
        <w:t xml:space="preserve"> with their vision of the </w:t>
      </w:r>
      <w:r w:rsidRPr="00B63313">
        <w:rPr>
          <w:b/>
          <w:szCs w:val="28"/>
        </w:rPr>
        <w:t>“two lamps</w:t>
      </w:r>
      <w:r w:rsidRPr="00B63313">
        <w:rPr>
          <w:szCs w:val="28"/>
        </w:rPr>
        <w:t xml:space="preserve">” and the promise to restore the temple under Joshua the priest and Zerubbabel the governor.  The promise to bless their endeavours was given the day before the Jewish “feast of lights” known as </w:t>
      </w:r>
      <w:r w:rsidRPr="00B63313">
        <w:rPr>
          <w:b/>
          <w:szCs w:val="28"/>
        </w:rPr>
        <w:t>Hanukkah</w:t>
      </w:r>
      <w:r w:rsidRPr="00B63313">
        <w:rPr>
          <w:szCs w:val="28"/>
        </w:rPr>
        <w:t xml:space="preserve">. </w:t>
      </w:r>
    </w:p>
    <w:p w:rsidR="00B63313" w:rsidRDefault="00B63313" w:rsidP="00B63313">
      <w:pPr>
        <w:rPr>
          <w:szCs w:val="28"/>
        </w:rPr>
      </w:pPr>
    </w:p>
    <w:p w:rsidR="00B63313" w:rsidRPr="00B63313" w:rsidRDefault="00B63313" w:rsidP="00B63313">
      <w:pPr>
        <w:rPr>
          <w:szCs w:val="28"/>
        </w:rPr>
      </w:pPr>
      <w:r w:rsidRPr="00B63313">
        <w:rPr>
          <w:szCs w:val="28"/>
        </w:rPr>
        <w:t xml:space="preserve">It is proposed that the Maccabees deliberately instituted this day (the 25 December) as an “official” feast day when they cleansed and rededicated the temple during the Antiochene crisis 420 years (4x70) after it had been rebuilt under the guidance of the “two lamps” (Joshua/Zerubbabel).  The strange numbers of Daniel (1260/1290/1335) are not related to the Antiochene crisis (even though they approximate that period of persecution) but are related to Jewish feast days. It can be shown that the numbers are related to intervals in the Jewish festal calendar that commemorate the destruction of the first temple and the feasts of Hanukkah, Atonement, Passover and Purim. Two of these feasts (Hanukkah and Purim) are Persian era feasts. Therefore the fast that commemorates the destruction of the temple is the starting point of these calculations. Daniel’s prophecies had a partial </w:t>
      </w:r>
      <w:r w:rsidRPr="00B63313">
        <w:rPr>
          <w:szCs w:val="28"/>
          <w:lang w:val="en-GB"/>
        </w:rPr>
        <w:lastRenderedPageBreak/>
        <w:t>fulfilment</w:t>
      </w:r>
      <w:r w:rsidRPr="00B63313">
        <w:rPr>
          <w:szCs w:val="28"/>
        </w:rPr>
        <w:t xml:space="preserve"> during the Maccabees</w:t>
      </w:r>
      <w:r>
        <w:rPr>
          <w:szCs w:val="28"/>
        </w:rPr>
        <w:t>’</w:t>
      </w:r>
      <w:r w:rsidRPr="00B63313">
        <w:rPr>
          <w:szCs w:val="28"/>
        </w:rPr>
        <w:t xml:space="preserve"> period and in the first century – here we speak of an </w:t>
      </w:r>
      <w:r w:rsidRPr="00B63313">
        <w:rPr>
          <w:b/>
          <w:szCs w:val="28"/>
        </w:rPr>
        <w:t>“already/not yet”</w:t>
      </w:r>
      <w:r w:rsidRPr="00B63313">
        <w:rPr>
          <w:szCs w:val="28"/>
        </w:rPr>
        <w:t xml:space="preserve"> </w:t>
      </w:r>
      <w:r w:rsidRPr="00B63313">
        <w:rPr>
          <w:szCs w:val="28"/>
          <w:lang w:val="en-GB"/>
        </w:rPr>
        <w:t>fulfilment</w:t>
      </w:r>
      <w:r w:rsidRPr="00B63313">
        <w:rPr>
          <w:szCs w:val="28"/>
        </w:rPr>
        <w:t xml:space="preserve"> – the kingdom of God was “already” present in the person of Christ but the final consummation has “not yet” occurred until the Second Advent.</w:t>
      </w:r>
    </w:p>
    <w:p w:rsidR="00B63313" w:rsidRPr="00B63313" w:rsidRDefault="00B63313" w:rsidP="00B63313">
      <w:pPr>
        <w:rPr>
          <w:szCs w:val="28"/>
        </w:rPr>
      </w:pPr>
    </w:p>
    <w:p w:rsidR="00B63313" w:rsidRPr="00B63313" w:rsidRDefault="00B63313" w:rsidP="00B63313">
      <w:pPr>
        <w:rPr>
          <w:szCs w:val="28"/>
        </w:rPr>
      </w:pPr>
      <w:r w:rsidRPr="00B63313">
        <w:rPr>
          <w:szCs w:val="28"/>
        </w:rPr>
        <w:t xml:space="preserve">Daniel is concerned with the temple and the restoration of true worship. The book attempts to demonstrate that Jesus is the temple that Daniel looks forward to and shows that the “two lamps” who build the new temple are </w:t>
      </w:r>
      <w:r w:rsidRPr="00B63313">
        <w:rPr>
          <w:b/>
          <w:szCs w:val="28"/>
        </w:rPr>
        <w:t>Jesus and John</w:t>
      </w:r>
      <w:r w:rsidRPr="00B63313">
        <w:rPr>
          <w:szCs w:val="28"/>
        </w:rPr>
        <w:t xml:space="preserve"> the Baptist. A chronology is presented that has John born on “Lights” and Jesus on “Pentecost” (the fruit of the spirit). These two men were born </w:t>
      </w:r>
      <w:r w:rsidRPr="00B63313">
        <w:rPr>
          <w:b/>
          <w:szCs w:val="28"/>
        </w:rPr>
        <w:t>70 years</w:t>
      </w:r>
      <w:r w:rsidRPr="00B63313">
        <w:rPr>
          <w:szCs w:val="28"/>
        </w:rPr>
        <w:t xml:space="preserve"> before the Jewish war started.  After </w:t>
      </w:r>
      <w:r w:rsidRPr="00B63313">
        <w:rPr>
          <w:b/>
          <w:szCs w:val="28"/>
        </w:rPr>
        <w:t>three-and-one-half years</w:t>
      </w:r>
      <w:r w:rsidRPr="00B63313">
        <w:rPr>
          <w:szCs w:val="28"/>
        </w:rPr>
        <w:t xml:space="preserve"> of war the “old” temple was removed, thus “confirming” the “new covenant” – Jesus and his ecclesia form the new temple.</w:t>
      </w:r>
    </w:p>
    <w:p w:rsidR="00B63313" w:rsidRPr="00B63313" w:rsidRDefault="00B63313" w:rsidP="00B63313">
      <w:pPr>
        <w:rPr>
          <w:szCs w:val="28"/>
        </w:rPr>
      </w:pPr>
    </w:p>
    <w:p w:rsidR="00B63313" w:rsidRPr="00B63313" w:rsidRDefault="00B63313" w:rsidP="00B63313">
      <w:pPr>
        <w:rPr>
          <w:szCs w:val="28"/>
        </w:rPr>
      </w:pPr>
      <w:r w:rsidRPr="00B63313">
        <w:rPr>
          <w:szCs w:val="28"/>
        </w:rPr>
        <w:t xml:space="preserve">This theme is picked up in the book of Revelation which is rich in temple-language and Day of Atonement ritual. In Revelation 11 we encounter the </w:t>
      </w:r>
      <w:r w:rsidRPr="00B63313">
        <w:rPr>
          <w:b/>
          <w:szCs w:val="28"/>
        </w:rPr>
        <w:t xml:space="preserve">measuring of a temple </w:t>
      </w:r>
      <w:r w:rsidRPr="00B63313">
        <w:rPr>
          <w:szCs w:val="28"/>
        </w:rPr>
        <w:t xml:space="preserve">and the feast of </w:t>
      </w:r>
      <w:r w:rsidRPr="00B63313">
        <w:rPr>
          <w:b/>
          <w:szCs w:val="28"/>
        </w:rPr>
        <w:t>“Lights”</w:t>
      </w:r>
      <w:r w:rsidRPr="00B63313">
        <w:rPr>
          <w:szCs w:val="28"/>
        </w:rPr>
        <w:t xml:space="preserve"> (two-lamps) and </w:t>
      </w:r>
      <w:r w:rsidRPr="00B63313">
        <w:rPr>
          <w:b/>
          <w:szCs w:val="28"/>
        </w:rPr>
        <w:t>“Purim”</w:t>
      </w:r>
      <w:r w:rsidRPr="00B63313">
        <w:rPr>
          <w:szCs w:val="28"/>
        </w:rPr>
        <w:t xml:space="preserve"> (exchange of gifts) from the Persian period.  The witnessing period is 1260 days – the last three-and-one-half years of Daniel’s prophecy.  So once again we can speak of another delay of the 490 year prophecy – a long interruption of the prophetic programme from AD 70 to the present time (cf. the delay during the reign of Cyrus and during the </w:t>
      </w:r>
      <w:r w:rsidR="00152EE2" w:rsidRPr="00B63313">
        <w:rPr>
          <w:szCs w:val="28"/>
        </w:rPr>
        <w:t>Maccabees</w:t>
      </w:r>
      <w:r w:rsidR="00152EE2">
        <w:rPr>
          <w:szCs w:val="28"/>
        </w:rPr>
        <w:t>’</w:t>
      </w:r>
      <w:r w:rsidRPr="00B63313">
        <w:rPr>
          <w:szCs w:val="28"/>
        </w:rPr>
        <w:t xml:space="preserve"> era). After this three-and-one-half year witnessing and “measuring” of the temple, the true temple will be revealed – one that descends from heaven – the New Jerusalem, consisting of the saints of all ages.  The 490 years of Daniel’s prophecy will culminate in an eschatological Jubilee of Atonement.</w:t>
      </w:r>
    </w:p>
    <w:p w:rsidR="00B63313" w:rsidRPr="00B63313" w:rsidRDefault="00B63313" w:rsidP="00B63313">
      <w:pPr>
        <w:rPr>
          <w:szCs w:val="28"/>
        </w:rPr>
      </w:pPr>
    </w:p>
    <w:p w:rsidR="00B63313" w:rsidRPr="00B63313" w:rsidRDefault="00B63313" w:rsidP="00B63313">
      <w:pPr>
        <w:rPr>
          <w:szCs w:val="28"/>
        </w:rPr>
      </w:pPr>
      <w:r w:rsidRPr="00B63313">
        <w:rPr>
          <w:szCs w:val="28"/>
        </w:rPr>
        <w:t>For an abstract from the book see:</w:t>
      </w:r>
    </w:p>
    <w:p w:rsidR="00B63313" w:rsidRPr="00B63313" w:rsidRDefault="00B63313" w:rsidP="00B63313">
      <w:pPr>
        <w:rPr>
          <w:szCs w:val="28"/>
        </w:rPr>
      </w:pPr>
    </w:p>
    <w:p w:rsidR="00B63313" w:rsidRPr="00B63313" w:rsidRDefault="000357EB" w:rsidP="00B63313">
      <w:pPr>
        <w:rPr>
          <w:szCs w:val="28"/>
        </w:rPr>
      </w:pPr>
      <w:hyperlink r:id="rId11" w:history="1">
        <w:r w:rsidR="00B63313" w:rsidRPr="00B63313">
          <w:rPr>
            <w:rStyle w:val="Hyperlink"/>
            <w:szCs w:val="28"/>
          </w:rPr>
          <w:t>http://www.biblaridion-media.com/</w:t>
        </w:r>
      </w:hyperlink>
    </w:p>
    <w:p w:rsidR="00B63313" w:rsidRPr="00B63313" w:rsidRDefault="00B63313" w:rsidP="00B63313">
      <w:pPr>
        <w:rPr>
          <w:szCs w:val="28"/>
        </w:rPr>
      </w:pPr>
    </w:p>
    <w:p w:rsidR="00B63313" w:rsidRPr="00B63313" w:rsidRDefault="00B63313" w:rsidP="00B63313">
      <w:pPr>
        <w:rPr>
          <w:szCs w:val="28"/>
        </w:rPr>
      </w:pPr>
      <w:r w:rsidRPr="00B63313">
        <w:rPr>
          <w:szCs w:val="28"/>
        </w:rPr>
        <w:t xml:space="preserve">See also the publication page on the </w:t>
      </w:r>
      <w:r w:rsidR="00152EE2" w:rsidRPr="00B63313">
        <w:rPr>
          <w:szCs w:val="28"/>
        </w:rPr>
        <w:t>EJournal</w:t>
      </w:r>
      <w:r w:rsidRPr="00B63313">
        <w:rPr>
          <w:szCs w:val="28"/>
        </w:rPr>
        <w:t xml:space="preserve"> website</w:t>
      </w:r>
      <w:r w:rsidR="00F958F7">
        <w:rPr>
          <w:szCs w:val="28"/>
        </w:rPr>
        <w:t>.</w:t>
      </w:r>
    </w:p>
    <w:p w:rsidR="00922670" w:rsidRPr="00922670" w:rsidRDefault="00922670" w:rsidP="00E17946">
      <w:pPr>
        <w:rPr>
          <w:lang w:val="en-GB"/>
        </w:rPr>
      </w:pPr>
    </w:p>
    <w:p w:rsidR="00F958F7" w:rsidRDefault="00F958F7">
      <w:pPr>
        <w:jc w:val="left"/>
        <w:rPr>
          <w:rFonts w:ascii="Bradley Hand ITC" w:hAnsi="Bradley Hand ITC"/>
          <w:b/>
          <w:sz w:val="28"/>
          <w:lang w:val="en-GB"/>
        </w:rPr>
      </w:pPr>
      <w:r>
        <w:rPr>
          <w:rFonts w:ascii="Bradley Hand ITC" w:hAnsi="Bradley Hand ITC"/>
          <w:b/>
          <w:sz w:val="28"/>
          <w:lang w:val="en-GB"/>
        </w:rPr>
        <w:br w:type="page"/>
      </w:r>
      <w:r w:rsidR="00FB0788">
        <w:rPr>
          <w:rFonts w:ascii="Bradley Hand ITC" w:hAnsi="Bradley Hand ITC"/>
          <w:b/>
          <w:sz w:val="28"/>
          <w:lang w:val="en-GB"/>
        </w:rPr>
        <w:lastRenderedPageBreak/>
        <w:t>News</w:t>
      </w:r>
    </w:p>
    <w:p w:rsidR="00FB0788" w:rsidRDefault="00FB0788">
      <w:pPr>
        <w:jc w:val="left"/>
        <w:rPr>
          <w:rFonts w:ascii="Bradley Hand ITC" w:hAnsi="Bradley Hand ITC"/>
          <w:b/>
          <w:sz w:val="28"/>
          <w:lang w:val="en-GB"/>
        </w:rPr>
      </w:pPr>
    </w:p>
    <w:p w:rsidR="00FB0788" w:rsidRDefault="00FB0788">
      <w:pPr>
        <w:jc w:val="left"/>
        <w:rPr>
          <w:rFonts w:ascii="Bradley Hand ITC" w:hAnsi="Bradley Hand ITC"/>
          <w:b/>
          <w:sz w:val="28"/>
          <w:lang w:val="en-GB"/>
        </w:rPr>
      </w:pPr>
      <w:r>
        <w:rPr>
          <w:rFonts w:ascii="Bradley Hand ITC" w:hAnsi="Bradley Hand ITC"/>
          <w:b/>
          <w:sz w:val="28"/>
          <w:lang w:val="en-GB"/>
        </w:rPr>
        <w:t>EJournal Columnists</w:t>
      </w:r>
    </w:p>
    <w:p w:rsidR="00FB0788" w:rsidRDefault="00FB0788">
      <w:pPr>
        <w:jc w:val="left"/>
        <w:rPr>
          <w:rFonts w:ascii="Bradley Hand ITC" w:hAnsi="Bradley Hand ITC"/>
          <w:b/>
          <w:sz w:val="28"/>
          <w:lang w:val="en-GB"/>
        </w:rPr>
      </w:pPr>
    </w:p>
    <w:p w:rsidR="00FB0788" w:rsidRDefault="00FB0788" w:rsidP="00FB0788">
      <w:pPr>
        <w:rPr>
          <w:lang w:val="en-GB"/>
        </w:rPr>
      </w:pPr>
      <w:r>
        <w:rPr>
          <w:lang w:val="en-GB"/>
        </w:rPr>
        <w:t xml:space="preserve">The idea of a columnist in a magazine is well understood. S/he offers news, views and opinion on the subject-matter of </w:t>
      </w:r>
      <w:r w:rsidR="00C37B30">
        <w:rPr>
          <w:lang w:val="en-GB"/>
        </w:rPr>
        <w:t>his or her</w:t>
      </w:r>
      <w:r>
        <w:rPr>
          <w:lang w:val="en-GB"/>
        </w:rPr>
        <w:t xml:space="preserve"> column. Columns are usually short and bre</w:t>
      </w:r>
      <w:r w:rsidR="00B14686">
        <w:rPr>
          <w:lang w:val="en-GB"/>
        </w:rPr>
        <w:t>a</w:t>
      </w:r>
      <w:r>
        <w:rPr>
          <w:lang w:val="en-GB"/>
        </w:rPr>
        <w:t xml:space="preserve">k up the longer articles. </w:t>
      </w:r>
      <w:r w:rsidR="00C37B30">
        <w:rPr>
          <w:lang w:val="en-GB"/>
        </w:rPr>
        <w:t xml:space="preserve">We think it is a good idea to bring on to the EJournal some regular columnists. The columns will be short, no more than a 1000 words, and reflect certain themes. There will be an </w:t>
      </w:r>
      <w:r w:rsidR="00C37B30" w:rsidRPr="00C37B30">
        <w:rPr>
          <w:b/>
          <w:lang w:val="en-GB"/>
        </w:rPr>
        <w:t>Archaeology column</w:t>
      </w:r>
      <w:r w:rsidR="00C37B30">
        <w:rPr>
          <w:lang w:val="en-GB"/>
        </w:rPr>
        <w:t xml:space="preserve"> reporting on all things happening in that world relating to the Bible; this will be written by J. Burke (starting next issue). There will be an </w:t>
      </w:r>
      <w:r w:rsidR="00C37B30" w:rsidRPr="00C37B30">
        <w:rPr>
          <w:b/>
          <w:lang w:val="en-GB"/>
        </w:rPr>
        <w:t>Intertextuality column</w:t>
      </w:r>
      <w:r w:rsidR="00C37B30">
        <w:rPr>
          <w:lang w:val="en-GB"/>
        </w:rPr>
        <w:t xml:space="preserve"> which will focus on the subject of how later Scriptures use earlier Scriptures, through echo, allusion and quotation; this will be written by R. Morgan (starting next issue). In addition, there will be </w:t>
      </w:r>
      <w:r w:rsidR="00C37B30" w:rsidRPr="00C37B30">
        <w:rPr>
          <w:b/>
          <w:lang w:val="en-GB"/>
        </w:rPr>
        <w:t>two further columns on Exegesis and Exposition</w:t>
      </w:r>
      <w:r w:rsidR="00C37B30">
        <w:rPr>
          <w:lang w:val="en-GB"/>
        </w:rPr>
        <w:t xml:space="preserve"> respectively, both of which are under discussion and so will not be launched in the next issue.</w:t>
      </w:r>
    </w:p>
    <w:p w:rsidR="00FB0788" w:rsidRDefault="00FB0788">
      <w:pPr>
        <w:jc w:val="left"/>
        <w:rPr>
          <w:rFonts w:ascii="Bradley Hand ITC" w:hAnsi="Bradley Hand ITC"/>
          <w:b/>
          <w:sz w:val="28"/>
          <w:lang w:val="en-GB"/>
        </w:rPr>
      </w:pPr>
    </w:p>
    <w:p w:rsidR="000242C6" w:rsidRPr="00767158" w:rsidRDefault="00767158" w:rsidP="00767158">
      <w:pPr>
        <w:jc w:val="center"/>
        <w:rPr>
          <w:rFonts w:ascii="Bradley Hand ITC" w:hAnsi="Bradley Hand ITC"/>
          <w:b/>
          <w:sz w:val="28"/>
          <w:lang w:val="en-GB"/>
        </w:rPr>
      </w:pPr>
      <w:r w:rsidRPr="00767158">
        <w:rPr>
          <w:rFonts w:ascii="Bradley Hand ITC" w:hAnsi="Bradley Hand ITC"/>
          <w:b/>
          <w:sz w:val="28"/>
          <w:lang w:val="en-GB"/>
        </w:rPr>
        <w:t>Postscript</w:t>
      </w:r>
    </w:p>
    <w:p w:rsidR="00767158" w:rsidRPr="00767158" w:rsidRDefault="00767158" w:rsidP="00767158">
      <w:pPr>
        <w:jc w:val="center"/>
        <w:rPr>
          <w:rFonts w:ascii="Bradley Hand ITC" w:hAnsi="Bradley Hand ITC"/>
          <w:b/>
          <w:sz w:val="28"/>
        </w:rPr>
      </w:pPr>
      <w:r w:rsidRPr="00767158">
        <w:rPr>
          <w:rFonts w:ascii="Bradley Hand ITC" w:hAnsi="Bradley Hand ITC"/>
          <w:b/>
          <w:sz w:val="28"/>
          <w:lang w:val="en-GB"/>
        </w:rPr>
        <w:t>A.</w:t>
      </w:r>
      <w:r w:rsidRPr="00767158">
        <w:rPr>
          <w:rFonts w:ascii="Bradley Hand ITC" w:hAnsi="Bradley Hand ITC"/>
          <w:b/>
          <w:sz w:val="28"/>
        </w:rPr>
        <w:t xml:space="preserve"> Perry</w:t>
      </w:r>
    </w:p>
    <w:p w:rsidR="00767158" w:rsidRDefault="00767158" w:rsidP="00767158">
      <w:pPr>
        <w:rPr>
          <w:lang w:val="en-GB"/>
        </w:rPr>
      </w:pPr>
    </w:p>
    <w:p w:rsidR="00767158" w:rsidRDefault="00767158" w:rsidP="00767158">
      <w:pPr>
        <w:rPr>
          <w:lang w:val="en-GB"/>
        </w:rPr>
      </w:pPr>
      <w:r>
        <w:rPr>
          <w:lang w:val="en-GB"/>
        </w:rPr>
        <w:t>Mistakes in writing about the Bible are made and disseminated in print. An opportunity for correction comes in the form of new editions (or revisions) of a book if the writing has been published in book</w:t>
      </w:r>
      <w:r w:rsidR="00F958F7">
        <w:rPr>
          <w:lang w:val="en-GB"/>
        </w:rPr>
        <w:t xml:space="preserve"> form</w:t>
      </w:r>
      <w:r>
        <w:rPr>
          <w:lang w:val="en-GB"/>
        </w:rPr>
        <w:t xml:space="preserve">. The opportunity for correction in printed magazines comes through correspondence if readers believe there is a mistake and they write in to the magazine. An opportunity might exist if a magazine is in the habit of printing articles by an original author or others that correct mistakes that have appeared in earlier issues. </w:t>
      </w:r>
    </w:p>
    <w:p w:rsidR="00767158" w:rsidRDefault="00767158" w:rsidP="00767158">
      <w:pPr>
        <w:rPr>
          <w:lang w:val="en-GB"/>
        </w:rPr>
      </w:pPr>
    </w:p>
    <w:p w:rsidR="00767158" w:rsidRDefault="00767158" w:rsidP="00767158">
      <w:pPr>
        <w:rPr>
          <w:lang w:val="en-GB"/>
        </w:rPr>
      </w:pPr>
      <w:r>
        <w:rPr>
          <w:lang w:val="en-GB"/>
        </w:rPr>
        <w:t>Mistakes should</w:t>
      </w:r>
      <w:r w:rsidR="00DC65B0">
        <w:rPr>
          <w:lang w:val="en-GB"/>
        </w:rPr>
        <w:t>,</w:t>
      </w:r>
      <w:r>
        <w:rPr>
          <w:lang w:val="en-GB"/>
        </w:rPr>
        <w:t xml:space="preserve"> as a rule</w:t>
      </w:r>
      <w:r w:rsidR="00DC65B0">
        <w:rPr>
          <w:lang w:val="en-GB"/>
        </w:rPr>
        <w:t>,</w:t>
      </w:r>
      <w:r>
        <w:rPr>
          <w:lang w:val="en-GB"/>
        </w:rPr>
        <w:t xml:space="preserve"> be corrected</w:t>
      </w:r>
      <w:r w:rsidR="00DC65B0">
        <w:rPr>
          <w:lang w:val="en-GB"/>
        </w:rPr>
        <w:t xml:space="preserve"> as part of good stewardship of a resource</w:t>
      </w:r>
      <w:r w:rsidR="00AD56FB">
        <w:rPr>
          <w:lang w:val="en-GB"/>
        </w:rPr>
        <w:t>.</w:t>
      </w:r>
      <w:r w:rsidR="00DC65B0">
        <w:rPr>
          <w:lang w:val="en-GB"/>
        </w:rPr>
        <w:t xml:space="preserve"> A cavalier attitude to writing in which you quickly put writing </w:t>
      </w:r>
      <w:r w:rsidR="000E2CE6">
        <w:rPr>
          <w:lang w:val="en-GB"/>
        </w:rPr>
        <w:t>“</w:t>
      </w:r>
      <w:r w:rsidR="00DC65B0">
        <w:rPr>
          <w:lang w:val="en-GB"/>
        </w:rPr>
        <w:t>out there</w:t>
      </w:r>
      <w:r w:rsidR="000E2CE6">
        <w:rPr>
          <w:lang w:val="en-GB"/>
        </w:rPr>
        <w:t>”</w:t>
      </w:r>
      <w:r w:rsidR="00DC65B0">
        <w:rPr>
          <w:lang w:val="en-GB"/>
        </w:rPr>
        <w:t xml:space="preserve"> and leave it to the gods is obviously not responsible.  </w:t>
      </w:r>
      <w:r w:rsidR="00AD56FB">
        <w:rPr>
          <w:lang w:val="en-GB"/>
        </w:rPr>
        <w:t xml:space="preserve"> One problem here is that an author might not be amenable to accepting that they have made a mistake and even less welcoming of any correction appearing in print. Human pride is at play here, of course. There are several ways to ameliorate this situation.</w:t>
      </w:r>
    </w:p>
    <w:p w:rsidR="00AD56FB" w:rsidRDefault="00AD56FB" w:rsidP="00767158">
      <w:pPr>
        <w:rPr>
          <w:lang w:val="en-GB"/>
        </w:rPr>
      </w:pPr>
    </w:p>
    <w:p w:rsidR="00AD56FB" w:rsidRDefault="00DC65B0" w:rsidP="00767158">
      <w:pPr>
        <w:rPr>
          <w:lang w:val="en-GB"/>
        </w:rPr>
      </w:pPr>
      <w:r>
        <w:rPr>
          <w:lang w:val="en-GB"/>
        </w:rPr>
        <w:t>First, o</w:t>
      </w:r>
      <w:r w:rsidR="00AD56FB">
        <w:rPr>
          <w:lang w:val="en-GB"/>
        </w:rPr>
        <w:t xml:space="preserve">nline magazines can update older issues with little effort when mistakes are highlighted. There is no need to keep a change record provided the associated website has the latest version of an old issue. </w:t>
      </w:r>
      <w:r>
        <w:rPr>
          <w:lang w:val="en-GB"/>
        </w:rPr>
        <w:t xml:space="preserve">Secondly, the editorial peer review of several editors allows contested mistakes to be presented with contrary points of view in discussion pieces. Finally, the use of </w:t>
      </w:r>
      <w:r w:rsidRPr="00DC65B0">
        <w:rPr>
          <w:i/>
          <w:lang w:val="en-GB"/>
        </w:rPr>
        <w:t>contra</w:t>
      </w:r>
      <w:r w:rsidRPr="00DC65B0">
        <w:rPr>
          <w:b/>
          <w:lang w:val="en-GB"/>
        </w:rPr>
        <w:t xml:space="preserve"> </w:t>
      </w:r>
      <w:r>
        <w:rPr>
          <w:lang w:val="en-GB"/>
        </w:rPr>
        <w:t>footnotes allows an author to correct mistakes of others.</w:t>
      </w:r>
    </w:p>
    <w:p w:rsidR="00DC65B0" w:rsidRDefault="00DC65B0" w:rsidP="00767158">
      <w:pPr>
        <w:rPr>
          <w:lang w:val="en-GB"/>
        </w:rPr>
      </w:pPr>
    </w:p>
    <w:p w:rsidR="00151FF1" w:rsidRDefault="00DC65B0" w:rsidP="00767158">
      <w:pPr>
        <w:rPr>
          <w:lang w:val="en-GB"/>
        </w:rPr>
      </w:pPr>
      <w:r>
        <w:rPr>
          <w:lang w:val="en-GB"/>
        </w:rPr>
        <w:t>As for books, corrections used to have to wait for new editions, and publishers do not do new editions unless there is demand and stock has been exhausted. As a result</w:t>
      </w:r>
      <w:r w:rsidR="009D0400">
        <w:rPr>
          <w:lang w:val="en-GB"/>
        </w:rPr>
        <w:t>,</w:t>
      </w:r>
      <w:r>
        <w:rPr>
          <w:lang w:val="en-GB"/>
        </w:rPr>
        <w:t xml:space="preserve"> mistakes are fossilised in many books</w:t>
      </w:r>
      <w:r w:rsidR="009D0400">
        <w:rPr>
          <w:lang w:val="en-GB"/>
        </w:rPr>
        <w:t xml:space="preserve"> in circulation in the community</w:t>
      </w:r>
      <w:r>
        <w:rPr>
          <w:lang w:val="en-GB"/>
        </w:rPr>
        <w:t xml:space="preserve">. Print-on-demand gets round this problem because it is now economically viable to print-on-demand rather than in bulk. Authors can keep their books up-to-date with additions and corrections. </w:t>
      </w:r>
      <w:r w:rsidR="00151FF1">
        <w:rPr>
          <w:lang w:val="en-GB"/>
        </w:rPr>
        <w:t xml:space="preserve">There is a case to be made here that only print-on-demand should be used for publishing in the community so as to allow additions and corrections to be made to books. </w:t>
      </w:r>
    </w:p>
    <w:p w:rsidR="00151FF1" w:rsidRDefault="00151FF1" w:rsidP="00767158">
      <w:pPr>
        <w:rPr>
          <w:lang w:val="en-GB"/>
        </w:rPr>
      </w:pPr>
    </w:p>
    <w:p w:rsidR="00DC65B0" w:rsidRDefault="00151FF1" w:rsidP="00767158">
      <w:pPr>
        <w:rPr>
          <w:lang w:val="en-GB"/>
        </w:rPr>
      </w:pPr>
      <w:r>
        <w:rPr>
          <w:lang w:val="en-GB"/>
        </w:rPr>
        <w:t xml:space="preserve">Although it is not comfortable to be told that you have made a mistake, it is better for the development of character and for this reason the EJournal has an open policy with regard to making corrections to its published material. </w:t>
      </w:r>
      <w:r w:rsidR="00DC65B0">
        <w:rPr>
          <w:lang w:val="en-GB"/>
        </w:rPr>
        <w:t xml:space="preserve"> </w:t>
      </w:r>
    </w:p>
    <w:p w:rsidR="00DC65B0" w:rsidRDefault="000357EB" w:rsidP="00767158">
      <w:pPr>
        <w:rPr>
          <w:lang w:val="en-GB"/>
        </w:rPr>
      </w:pPr>
      <w:r>
        <w:rPr>
          <w:rFonts w:ascii="Bradley Hand ITC" w:hAnsi="Bradley Hand ITC"/>
          <w:b/>
          <w:noProof/>
          <w:sz w:val="32"/>
          <w:lang w:val="en-GB" w:eastAsia="en-GB"/>
        </w:rPr>
        <w:pict>
          <v:shape id="_x0000_s1220" type="#_x0000_t202" style="position:absolute;left:0;text-align:left;margin-left:16.05pt;margin-top:12.65pt;width:323.25pt;height:235pt;z-index:251661824">
            <v:stroke dashstyle="1 1" endcap="round"/>
            <v:textbox>
              <w:txbxContent>
                <w:p w:rsidR="00FB0788" w:rsidRPr="0022204D" w:rsidRDefault="00FB0788" w:rsidP="00C2126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FB0788" w:rsidRPr="0022204D" w:rsidRDefault="00FB0788" w:rsidP="00C2126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FB0788" w:rsidRPr="0022204D" w:rsidRDefault="00FB0788" w:rsidP="00C21261">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FB0788" w:rsidRPr="00502727" w:rsidRDefault="00FB0788" w:rsidP="00C2126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txbxContent>
            </v:textbox>
          </v:shape>
        </w:pict>
      </w:r>
    </w:p>
    <w:p w:rsidR="00767158" w:rsidRDefault="00767158" w:rsidP="00767158">
      <w:pPr>
        <w:rPr>
          <w:lang w:val="en-GB"/>
        </w:rPr>
      </w:pPr>
    </w:p>
    <w:p w:rsidR="00767158" w:rsidRPr="00767158" w:rsidRDefault="00767158" w:rsidP="00767158">
      <w:pPr>
        <w:rPr>
          <w:lang w:val="en-GB"/>
        </w:rPr>
      </w:pPr>
    </w:p>
    <w:sectPr w:rsidR="00767158" w:rsidRPr="00767158" w:rsidSect="00456D77">
      <w:footerReference w:type="even" r:id="rId12"/>
      <w:footerReference w:type="default" r:id="rId13"/>
      <w:footnotePr>
        <w:numRestart w:val="eachPage"/>
      </w:footnotePr>
      <w:pgSz w:w="8640" w:h="12960" w:code="1"/>
      <w:pgMar w:top="993"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EB" w:rsidRDefault="000357EB">
      <w:r>
        <w:separator/>
      </w:r>
    </w:p>
  </w:endnote>
  <w:endnote w:type="continuationSeparator" w:id="0">
    <w:p w:rsidR="000357EB" w:rsidRDefault="000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TimesNewRoman,Italic">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8" w:rsidRDefault="00FB0788"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B0788" w:rsidRDefault="00FB0788"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88" w:rsidRDefault="00FB0788"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E03C7">
      <w:rPr>
        <w:rStyle w:val="PageNumber"/>
        <w:rFonts w:cs="Arial"/>
        <w:noProof/>
      </w:rPr>
      <w:t>68</w:t>
    </w:r>
    <w:r>
      <w:rPr>
        <w:rStyle w:val="PageNumber"/>
        <w:rFonts w:cs="Arial"/>
      </w:rPr>
      <w:fldChar w:fldCharType="end"/>
    </w:r>
  </w:p>
  <w:p w:rsidR="00FB0788" w:rsidRDefault="00FB0788" w:rsidP="00686C20">
    <w:pPr>
      <w:pStyle w:val="Footer"/>
      <w:ind w:right="360"/>
    </w:pPr>
    <w:r>
      <w:t>Vol. 5 No. 2 Apr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EB" w:rsidRDefault="000357EB">
      <w:r>
        <w:separator/>
      </w:r>
    </w:p>
  </w:footnote>
  <w:footnote w:type="continuationSeparator" w:id="0">
    <w:p w:rsidR="000357EB" w:rsidRDefault="000357EB">
      <w:r>
        <w:continuationSeparator/>
      </w:r>
    </w:p>
  </w:footnote>
  <w:footnote w:id="1">
    <w:p w:rsidR="00FB0788" w:rsidRPr="00EE5148" w:rsidRDefault="00FB0788" w:rsidP="00360107">
      <w:pPr>
        <w:pStyle w:val="FootnoteText"/>
      </w:pPr>
      <w:r w:rsidRPr="00EE5148">
        <w:rPr>
          <w:rStyle w:val="FootnoteReference"/>
        </w:rPr>
        <w:footnoteRef/>
      </w:r>
      <w:r w:rsidRPr="00EE5148">
        <w:t xml:space="preserve"> Two-way because there are not only are those who </w:t>
      </w:r>
      <w:r w:rsidRPr="00B76F7C">
        <w:rPr>
          <w:i/>
        </w:rPr>
        <w:t>keep</w:t>
      </w:r>
      <w:r w:rsidRPr="00EE5148">
        <w:t xml:space="preserve"> the jobs, others are too passive and allow </w:t>
      </w:r>
      <w:r>
        <w:t xml:space="preserve">the </w:t>
      </w:r>
      <w:r w:rsidRPr="00EE5148">
        <w:t>others to do the jobs.</w:t>
      </w:r>
    </w:p>
  </w:footnote>
  <w:footnote w:id="2">
    <w:p w:rsidR="00FB0788" w:rsidRPr="00EE5148" w:rsidRDefault="00FB0788" w:rsidP="00360107">
      <w:pPr>
        <w:pStyle w:val="FootnoteText"/>
      </w:pPr>
      <w:r w:rsidRPr="00EE5148">
        <w:rPr>
          <w:rStyle w:val="FootnoteReference"/>
        </w:rPr>
        <w:footnoteRef/>
      </w:r>
      <w:r w:rsidRPr="00EE5148">
        <w:t xml:space="preserve"> Cp. Exod 39:37 </w:t>
      </w:r>
      <w:r>
        <w:t>“</w:t>
      </w:r>
      <w:r w:rsidRPr="00EE5148">
        <w:t xml:space="preserve">and all the </w:t>
      </w:r>
      <w:r w:rsidRPr="00EE5148">
        <w:rPr>
          <w:u w:val="single"/>
        </w:rPr>
        <w:t>vessels</w:t>
      </w:r>
      <w:r w:rsidRPr="00EE5148">
        <w:t xml:space="preserve"> thereof, and the </w:t>
      </w:r>
      <w:r w:rsidRPr="00EE5148">
        <w:rPr>
          <w:u w:val="single"/>
        </w:rPr>
        <w:t>oil</w:t>
      </w:r>
      <w:r w:rsidRPr="00EE5148">
        <w:t xml:space="preserve"> for the light</w:t>
      </w:r>
      <w:r>
        <w:t>”</w:t>
      </w:r>
      <w:r w:rsidRPr="00EE5148">
        <w:t xml:space="preserve"> and Num 4:9 </w:t>
      </w:r>
      <w:r>
        <w:t>“</w:t>
      </w:r>
      <w:r w:rsidRPr="00EE5148">
        <w:t>oil vessels</w:t>
      </w:r>
      <w:r>
        <w:t>”</w:t>
      </w:r>
      <w:r w:rsidRPr="00EE5148">
        <w:t>.</w:t>
      </w:r>
    </w:p>
  </w:footnote>
  <w:footnote w:id="3">
    <w:p w:rsidR="00FB0788" w:rsidRPr="005459E6" w:rsidRDefault="00FB0788" w:rsidP="00360107">
      <w:pPr>
        <w:pStyle w:val="FootnoteText"/>
      </w:pPr>
      <w:r w:rsidRPr="005459E6">
        <w:rPr>
          <w:rStyle w:val="FootnoteReference"/>
        </w:rPr>
        <w:footnoteRef/>
      </w:r>
      <w:r w:rsidRPr="005459E6">
        <w:t xml:space="preserve"> As ESV, NET, Rotherham, RSV</w:t>
      </w:r>
      <w:r>
        <w:t>,</w:t>
      </w:r>
      <w:r w:rsidRPr="005459E6">
        <w:t xml:space="preserve"> etc</w:t>
      </w:r>
      <w:r>
        <w:t>.</w:t>
      </w:r>
    </w:p>
  </w:footnote>
  <w:footnote w:id="4">
    <w:p w:rsidR="00FB0788" w:rsidRPr="005459E6" w:rsidRDefault="00FB0788" w:rsidP="00360107">
      <w:pPr>
        <w:pStyle w:val="FootnoteText"/>
      </w:pPr>
      <w:r w:rsidRPr="005459E6">
        <w:rPr>
          <w:rStyle w:val="FootnoteReference"/>
        </w:rPr>
        <w:footnoteRef/>
      </w:r>
      <w:r w:rsidRPr="005459E6">
        <w:t xml:space="preserve"> It</w:t>
      </w:r>
      <w:r>
        <w:t xml:space="preserve"> i</w:t>
      </w:r>
      <w:r w:rsidRPr="005459E6">
        <w:t xml:space="preserve">s interesting to note that just the </w:t>
      </w:r>
      <w:r>
        <w:t>‘</w:t>
      </w:r>
      <w:r w:rsidRPr="005459E6">
        <w:t>testimony</w:t>
      </w:r>
      <w:r>
        <w:t>’</w:t>
      </w:r>
      <w:r w:rsidRPr="005459E6">
        <w:t xml:space="preserve"> is mentioned and not the </w:t>
      </w:r>
      <w:r>
        <w:t>‘</w:t>
      </w:r>
      <w:r w:rsidRPr="005459E6">
        <w:t>ark of testimony</w:t>
      </w:r>
      <w:r>
        <w:t>’.</w:t>
      </w:r>
    </w:p>
  </w:footnote>
  <w:footnote w:id="5">
    <w:p w:rsidR="00FB0788" w:rsidRPr="00EE5148" w:rsidRDefault="00FB0788" w:rsidP="00360107">
      <w:pPr>
        <w:pStyle w:val="FootnoteText"/>
      </w:pPr>
      <w:r w:rsidRPr="00EE5148">
        <w:rPr>
          <w:rStyle w:val="FootnoteReference"/>
        </w:rPr>
        <w:footnoteRef/>
      </w:r>
      <w:r w:rsidRPr="00EE5148">
        <w:t xml:space="preserve"> Also</w:t>
      </w:r>
      <w:r>
        <w:t>,</w:t>
      </w:r>
      <w:r w:rsidRPr="00EE5148">
        <w:t xml:space="preserve"> cp. 2 Kings 17</w:t>
      </w:r>
      <w:r>
        <w:t>:</w:t>
      </w:r>
      <w:r w:rsidRPr="00EE5148">
        <w:t>28</w:t>
      </w:r>
      <w:r>
        <w:t>;</w:t>
      </w:r>
      <w:r w:rsidRPr="00EE5148">
        <w:t xml:space="preserve"> 2 Chron 15</w:t>
      </w:r>
      <w:r>
        <w:t>:</w:t>
      </w:r>
      <w:r w:rsidRPr="00EE5148">
        <w:t>3</w:t>
      </w:r>
      <w:r>
        <w:t>;</w:t>
      </w:r>
      <w:r w:rsidRPr="00EE5148">
        <w:t xml:space="preserve"> </w:t>
      </w:r>
      <w:r>
        <w:t xml:space="preserve">and </w:t>
      </w:r>
      <w:r w:rsidRPr="00EE5148">
        <w:t>Eze</w:t>
      </w:r>
      <w:r>
        <w:t>k</w:t>
      </w:r>
      <w:r w:rsidRPr="00EE5148">
        <w:t xml:space="preserve"> 7</w:t>
      </w:r>
      <w:r>
        <w:t>:</w:t>
      </w:r>
      <w:r w:rsidRPr="00EE5148">
        <w:t>26</w:t>
      </w:r>
      <w:r>
        <w:t>.</w:t>
      </w:r>
    </w:p>
  </w:footnote>
  <w:footnote w:id="6">
    <w:p w:rsidR="00FB0788" w:rsidRPr="00EE5148" w:rsidRDefault="00FB0788" w:rsidP="00360107">
      <w:pPr>
        <w:pStyle w:val="FootnoteText"/>
      </w:pPr>
      <w:r w:rsidRPr="00EE5148">
        <w:rPr>
          <w:rStyle w:val="FootnoteReference"/>
        </w:rPr>
        <w:footnoteRef/>
      </w:r>
      <w:r w:rsidRPr="00EE5148">
        <w:t xml:space="preserve"> Although oil was used when anointing etc</w:t>
      </w:r>
      <w:r>
        <w:t>.</w:t>
      </w:r>
      <w:r w:rsidRPr="00EE5148">
        <w:t xml:space="preserve">, </w:t>
      </w:r>
      <w:r w:rsidRPr="00EE5148">
        <w:rPr>
          <w:b/>
        </w:rPr>
        <w:t>the context</w:t>
      </w:r>
      <w:r w:rsidRPr="00EE5148">
        <w:t xml:space="preserve"> is different. The oil in Matthew 25 is specifically for the purpose if enlightening a lamp.</w:t>
      </w:r>
    </w:p>
  </w:footnote>
  <w:footnote w:id="7">
    <w:p w:rsidR="00FB0788" w:rsidRPr="00EE5148" w:rsidRDefault="00FB0788" w:rsidP="00360107">
      <w:pPr>
        <w:pStyle w:val="FootnoteText"/>
      </w:pPr>
      <w:r w:rsidRPr="00EE5148">
        <w:rPr>
          <w:rStyle w:val="FootnoteReference"/>
        </w:rPr>
        <w:footnoteRef/>
      </w:r>
      <w:r w:rsidRPr="00EE5148">
        <w:t xml:space="preserve"> It is interesting to note that elsewhere </w:t>
      </w:r>
      <w:r>
        <w:t>‘</w:t>
      </w:r>
      <w:r w:rsidRPr="00EE5148">
        <w:t>oil</w:t>
      </w:r>
      <w:r>
        <w:t>’</w:t>
      </w:r>
      <w:r w:rsidRPr="00EE5148">
        <w:t xml:space="preserve"> is paralleled with the </w:t>
      </w:r>
      <w:r>
        <w:t>‘</w:t>
      </w:r>
      <w:r w:rsidRPr="00EE5148">
        <w:t>spirit</w:t>
      </w:r>
      <w:r>
        <w:t>’</w:t>
      </w:r>
      <w:r w:rsidRPr="00EE5148">
        <w:t xml:space="preserve"> e.g. Ex</w:t>
      </w:r>
      <w:r>
        <w:t>od</w:t>
      </w:r>
      <w:r w:rsidRPr="00EE5148">
        <w:t xml:space="preserve"> 29</w:t>
      </w:r>
      <w:r>
        <w:t>:</w:t>
      </w:r>
      <w:r w:rsidRPr="00EE5148">
        <w:t>7 and Matt 3</w:t>
      </w:r>
      <w:r>
        <w:t>:</w:t>
      </w:r>
      <w:r w:rsidRPr="00EE5148">
        <w:t>16</w:t>
      </w:r>
      <w:r>
        <w:t>.</w:t>
      </w:r>
    </w:p>
  </w:footnote>
  <w:footnote w:id="8">
    <w:p w:rsidR="00FB0788" w:rsidRPr="00EE5148" w:rsidRDefault="00FB0788" w:rsidP="00360107">
      <w:pPr>
        <w:pStyle w:val="FootnoteText"/>
      </w:pPr>
      <w:r w:rsidRPr="00EE5148">
        <w:rPr>
          <w:rStyle w:val="FootnoteReference"/>
        </w:rPr>
        <w:footnoteRef/>
      </w:r>
      <w:r w:rsidRPr="00EE5148">
        <w:t xml:space="preserve"> Made up from two Hebrew words </w:t>
      </w:r>
      <w:proofErr w:type="spellStart"/>
      <w:r w:rsidRPr="00EE5148">
        <w:rPr>
          <w:i/>
        </w:rPr>
        <w:t>gth</w:t>
      </w:r>
      <w:proofErr w:type="spellEnd"/>
      <w:r w:rsidRPr="00EE5148">
        <w:rPr>
          <w:i/>
        </w:rPr>
        <w:t xml:space="preserve"> </w:t>
      </w:r>
      <w:r w:rsidRPr="00EE5148">
        <w:t>(</w:t>
      </w:r>
      <w:r>
        <w:t>e.g. “</w:t>
      </w:r>
      <w:r w:rsidRPr="00EE5148">
        <w:t>winepress</w:t>
      </w:r>
      <w:r>
        <w:t>”</w:t>
      </w:r>
      <w:r w:rsidRPr="00EE5148">
        <w:t xml:space="preserve"> in Jud 6</w:t>
      </w:r>
      <w:r>
        <w:t>:</w:t>
      </w:r>
      <w:r w:rsidRPr="00EE5148">
        <w:t xml:space="preserve">11, </w:t>
      </w:r>
      <w:r>
        <w:t>“</w:t>
      </w:r>
      <w:r w:rsidRPr="00EE5148">
        <w:t>press</w:t>
      </w:r>
      <w:r>
        <w:t>”</w:t>
      </w:r>
      <w:r w:rsidRPr="00EE5148">
        <w:t xml:space="preserve"> in Joel 3</w:t>
      </w:r>
      <w:r>
        <w:t>:</w:t>
      </w:r>
      <w:r w:rsidRPr="00EE5148">
        <w:t xml:space="preserve">13) and </w:t>
      </w:r>
      <w:proofErr w:type="spellStart"/>
      <w:r w:rsidRPr="00EE5148">
        <w:rPr>
          <w:i/>
        </w:rPr>
        <w:t>shmn</w:t>
      </w:r>
      <w:proofErr w:type="spellEnd"/>
      <w:r w:rsidRPr="00EE5148">
        <w:rPr>
          <w:i/>
        </w:rPr>
        <w:t xml:space="preserve"> </w:t>
      </w:r>
      <w:r w:rsidRPr="00EE5148">
        <w:t>(</w:t>
      </w:r>
      <w:r>
        <w:t>e.g. “</w:t>
      </w:r>
      <w:r w:rsidRPr="00EE5148">
        <w:t>oil</w:t>
      </w:r>
      <w:r>
        <w:t>”</w:t>
      </w:r>
      <w:r w:rsidRPr="00EE5148">
        <w:t xml:space="preserve"> in Gen 28</w:t>
      </w:r>
      <w:r>
        <w:t>:</w:t>
      </w:r>
      <w:r w:rsidRPr="00EE5148">
        <w:t>18, Ex</w:t>
      </w:r>
      <w:r>
        <w:t>od</w:t>
      </w:r>
      <w:r w:rsidRPr="00EE5148">
        <w:t xml:space="preserve"> 25</w:t>
      </w:r>
      <w:r>
        <w:t>:</w:t>
      </w:r>
      <w:r w:rsidRPr="00EE5148">
        <w:t>6</w:t>
      </w:r>
      <w:r>
        <w:t>).</w:t>
      </w:r>
    </w:p>
  </w:footnote>
  <w:footnote w:id="9">
    <w:p w:rsidR="00FB0788" w:rsidRPr="00C27261" w:rsidRDefault="00FB0788" w:rsidP="00360107">
      <w:pPr>
        <w:pStyle w:val="FootnoteText"/>
      </w:pPr>
      <w:r w:rsidRPr="00C27261">
        <w:rPr>
          <w:rStyle w:val="FootnoteReference"/>
          <w:szCs w:val="24"/>
        </w:rPr>
        <w:footnoteRef/>
      </w:r>
      <w:r w:rsidRPr="00C27261">
        <w:t xml:space="preserve"> J. A. Montgomery proposes that </w:t>
      </w:r>
      <w:r>
        <w:t>“</w:t>
      </w:r>
      <w:r w:rsidRPr="00C27261">
        <w:t>destruction</w:t>
      </w:r>
      <w:r>
        <w:t>”</w:t>
      </w:r>
      <w:r w:rsidRPr="00C27261">
        <w:t xml:space="preserve"> </w:t>
      </w:r>
      <w:r w:rsidRPr="00151FF1">
        <w:t>(</w:t>
      </w:r>
      <w:r w:rsidRPr="00151FF1">
        <w:rPr>
          <w:i/>
        </w:rPr>
        <w:t>shachath</w:t>
      </w:r>
      <w:r w:rsidRPr="00151FF1">
        <w:t>)</w:t>
      </w:r>
      <w:r>
        <w:t xml:space="preserve"> </w:t>
      </w:r>
      <w:r w:rsidRPr="007865A5">
        <w:t>in</w:t>
      </w:r>
      <w:r w:rsidRPr="00C27261">
        <w:t xml:space="preserve"> 9:26b may refer </w:t>
      </w:r>
      <w:r>
        <w:t xml:space="preserve">to </w:t>
      </w:r>
      <w:r w:rsidRPr="00C27261">
        <w:t>moral</w:t>
      </w:r>
      <w:r>
        <w:t xml:space="preserve"> </w:t>
      </w:r>
      <w:r w:rsidRPr="00C27261">
        <w:t xml:space="preserve">corruption, </w:t>
      </w:r>
      <w:r w:rsidRPr="00C27261">
        <w:rPr>
          <w:i/>
        </w:rPr>
        <w:t xml:space="preserve">A Critical and Exegetical Commentary on the Book of Daniel </w:t>
      </w:r>
      <w:r w:rsidRPr="00C27261">
        <w:rPr>
          <w:iCs/>
        </w:rPr>
        <w:t xml:space="preserve">(ICC; </w:t>
      </w:r>
      <w:r w:rsidRPr="00C27261">
        <w:t xml:space="preserve">Edinburgh: T&amp;T Clark, 1927), 383. </w:t>
      </w:r>
    </w:p>
  </w:footnote>
  <w:footnote w:id="10">
    <w:p w:rsidR="00FB0788" w:rsidRPr="00C27261" w:rsidRDefault="00FB0788" w:rsidP="00360107">
      <w:pPr>
        <w:pStyle w:val="FootnoteText"/>
      </w:pPr>
      <w:r w:rsidRPr="00C27261">
        <w:rPr>
          <w:rStyle w:val="FootnoteReference"/>
          <w:szCs w:val="24"/>
        </w:rPr>
        <w:footnoteRef/>
      </w:r>
      <w:r w:rsidRPr="00C27261">
        <w:t xml:space="preserve"> </w:t>
      </w:r>
      <w:r>
        <w:t>“</w:t>
      </w:r>
      <w:r w:rsidRPr="00C27261">
        <w:t>…let him go up to Jerusalem which is in Judah, and build the house of the Lord …</w:t>
      </w:r>
      <w:r>
        <w:t>”</w:t>
      </w:r>
      <w:r w:rsidRPr="00C27261">
        <w:t xml:space="preserve"> (Ezra 1:3). V. S. Poythress argues that Cyrus </w:t>
      </w:r>
      <w:r w:rsidRPr="00C27261">
        <w:rPr>
          <w:i/>
        </w:rPr>
        <w:t>did</w:t>
      </w:r>
      <w:r w:rsidRPr="00C27261">
        <w:t xml:space="preserve"> say that Jerusalem itself should also be rebuilt on the basis of passages in Isaiah: </w:t>
      </w:r>
      <w:r>
        <w:t>“</w:t>
      </w:r>
      <w:r w:rsidRPr="00C27261">
        <w:t xml:space="preserve">he will say of Jerusalem </w:t>
      </w:r>
      <w:r>
        <w:t>‘</w:t>
      </w:r>
      <w:r w:rsidRPr="00C27261">
        <w:t>Let it be rebuilt</w:t>
      </w:r>
      <w:r>
        <w:t>’”</w:t>
      </w:r>
      <w:r w:rsidRPr="00C27261">
        <w:t xml:space="preserve"> (Isa 44:28) and </w:t>
      </w:r>
      <w:r>
        <w:t>“</w:t>
      </w:r>
      <w:r w:rsidRPr="00C27261">
        <w:t>he will rebuild my city</w:t>
      </w:r>
      <w:r>
        <w:t>”</w:t>
      </w:r>
      <w:r w:rsidRPr="00C27261">
        <w:t xml:space="preserve"> (Isa 45:13). Poythress also cites the evidence of the letter of Cyrus recorded by Josephus, which gives leave to the Jews to </w:t>
      </w:r>
      <w:r>
        <w:t>“</w:t>
      </w:r>
      <w:r w:rsidRPr="00C27261">
        <w:t>rebuild their city</w:t>
      </w:r>
      <w:r>
        <w:t>”</w:t>
      </w:r>
      <w:r w:rsidRPr="00C27261">
        <w:t xml:space="preserve"> (</w:t>
      </w:r>
      <w:r w:rsidRPr="00C27261">
        <w:rPr>
          <w:i/>
        </w:rPr>
        <w:t xml:space="preserve">Antiquities </w:t>
      </w:r>
      <w:r w:rsidRPr="00C27261">
        <w:t>XI.1.3). Poythress</w:t>
      </w:r>
      <w:r>
        <w:t>’</w:t>
      </w:r>
      <w:r w:rsidRPr="00C27261">
        <w:t xml:space="preserve"> remarks are influenced by his acceptance of a principle he calls </w:t>
      </w:r>
      <w:r>
        <w:t>“</w:t>
      </w:r>
      <w:r w:rsidRPr="00C27261">
        <w:t>narrow hermeneutics</w:t>
      </w:r>
      <w:r>
        <w:t>”</w:t>
      </w:r>
      <w:r w:rsidRPr="00C27261">
        <w:t xml:space="preserve">, which stipulates that Daniel 9 must be interpreted in only in the light of sources available to a Jew c.538. Though such principles may be useful in the interpretation of some OT texts, it cannot be applied dogmatically in this context, since the author intends to prophesy beyond his contemporary context. See V. S. Poythress, </w:t>
      </w:r>
      <w:r>
        <w:t>“</w:t>
      </w:r>
      <w:r w:rsidRPr="00C27261">
        <w:rPr>
          <w:iCs/>
        </w:rPr>
        <w:t>Hermeneutical Factors in Determining the Beginning of the Seventy Weeks (Daniel 9:25)</w:t>
      </w:r>
      <w:r>
        <w:rPr>
          <w:iCs/>
        </w:rPr>
        <w:t>”</w:t>
      </w:r>
      <w:r w:rsidRPr="00C27261">
        <w:rPr>
          <w:i/>
        </w:rPr>
        <w:t xml:space="preserve"> </w:t>
      </w:r>
      <w:r w:rsidRPr="00C27261">
        <w:rPr>
          <w:i/>
          <w:iCs/>
        </w:rPr>
        <w:t xml:space="preserve">Trinity Journal </w:t>
      </w:r>
      <w:r w:rsidRPr="00C27261">
        <w:t>6/2 (1985): 131-149</w:t>
      </w:r>
      <w:r w:rsidRPr="00C27261">
        <w:rPr>
          <w:iCs/>
        </w:rPr>
        <w:t>, (</w:t>
      </w:r>
      <w:r w:rsidRPr="00C27261">
        <w:t>134-137).</w:t>
      </w:r>
    </w:p>
  </w:footnote>
  <w:footnote w:id="11">
    <w:p w:rsidR="00FB0788" w:rsidRPr="00C27261" w:rsidRDefault="00FB0788" w:rsidP="00360107">
      <w:pPr>
        <w:pStyle w:val="FootnoteText"/>
      </w:pPr>
      <w:r w:rsidRPr="00C27261">
        <w:rPr>
          <w:rStyle w:val="FootnoteReference"/>
          <w:szCs w:val="24"/>
        </w:rPr>
        <w:footnoteRef/>
      </w:r>
      <w:r w:rsidRPr="00C27261">
        <w:t xml:space="preserve"> Many modern translations render </w:t>
      </w:r>
      <w:r w:rsidRPr="002A0FA5">
        <w:rPr>
          <w:rFonts w:ascii="Bwhebb" w:hAnsi="Bwhebb" w:cs="Bwhebb"/>
          <w:color w:val="auto"/>
          <w:szCs w:val="36"/>
          <w:lang w:eastAsia="en-GB" w:bidi="he-IL"/>
        </w:rPr>
        <w:t>#</w:t>
      </w:r>
      <w:proofErr w:type="spellStart"/>
      <w:r w:rsidRPr="002A0FA5">
        <w:rPr>
          <w:rFonts w:ascii="Bwhebb" w:hAnsi="Bwhebb" w:cs="Bwhebb"/>
          <w:color w:val="auto"/>
          <w:szCs w:val="36"/>
          <w:lang w:eastAsia="en-GB" w:bidi="he-IL"/>
        </w:rPr>
        <w:t>wrx</w:t>
      </w:r>
      <w:proofErr w:type="spellEnd"/>
      <w:r w:rsidRPr="002A0FA5">
        <w:rPr>
          <w:i/>
          <w:sz w:val="20"/>
        </w:rPr>
        <w:t xml:space="preserve"> </w:t>
      </w:r>
      <w:r w:rsidRPr="00C27261">
        <w:t>(</w:t>
      </w:r>
      <w:proofErr w:type="spellStart"/>
      <w:r>
        <w:rPr>
          <w:i/>
        </w:rPr>
        <w:t>charu</w:t>
      </w:r>
      <w:r w:rsidRPr="00C27261">
        <w:rPr>
          <w:i/>
        </w:rPr>
        <w:t>ts</w:t>
      </w:r>
      <w:proofErr w:type="spellEnd"/>
      <w:r>
        <w:t>,</w:t>
      </w:r>
      <w:r w:rsidRPr="00C27261">
        <w:rPr>
          <w:i/>
        </w:rPr>
        <w:t xml:space="preserve"> </w:t>
      </w:r>
      <w:r>
        <w:t>“</w:t>
      </w:r>
      <w:r w:rsidRPr="00C27261">
        <w:t>wall</w:t>
      </w:r>
      <w:r>
        <w:t>”</w:t>
      </w:r>
      <w:r w:rsidRPr="00C27261">
        <w:t xml:space="preserve"> </w:t>
      </w:r>
      <w:r>
        <w:t>(</w:t>
      </w:r>
      <w:r w:rsidRPr="00C27261">
        <w:t>NKJV</w:t>
      </w:r>
      <w:r>
        <w:t>)</w:t>
      </w:r>
      <w:r w:rsidRPr="00C27261">
        <w:t xml:space="preserve">) as </w:t>
      </w:r>
      <w:r>
        <w:t>“</w:t>
      </w:r>
      <w:r w:rsidRPr="00C27261">
        <w:t>moat</w:t>
      </w:r>
      <w:r>
        <w:t>”</w:t>
      </w:r>
      <w:r w:rsidRPr="00C27261">
        <w:t xml:space="preserve"> </w:t>
      </w:r>
      <w:r>
        <w:t>(</w:t>
      </w:r>
      <w:r w:rsidRPr="00C27261">
        <w:t>ESV</w:t>
      </w:r>
      <w:r>
        <w:t>)</w:t>
      </w:r>
      <w:r w:rsidRPr="00C27261">
        <w:t xml:space="preserve"> or </w:t>
      </w:r>
      <w:r>
        <w:t>“</w:t>
      </w:r>
      <w:r w:rsidRPr="00C27261">
        <w:t>trench</w:t>
      </w:r>
      <w:r>
        <w:t>”</w:t>
      </w:r>
      <w:r w:rsidRPr="00C27261">
        <w:t xml:space="preserve"> </w:t>
      </w:r>
      <w:r>
        <w:t>(</w:t>
      </w:r>
      <w:r w:rsidRPr="00C27261">
        <w:t>NIV</w:t>
      </w:r>
      <w:r>
        <w:t>)</w:t>
      </w:r>
      <w:r w:rsidRPr="00C27261">
        <w:t xml:space="preserve">. The word </w:t>
      </w:r>
      <w:r w:rsidRPr="002A0FA5">
        <w:rPr>
          <w:rFonts w:ascii="Bwhebb" w:hAnsi="Bwhebb" w:cs="Bwhebb"/>
          <w:color w:val="auto"/>
          <w:szCs w:val="36"/>
          <w:lang w:eastAsia="en-GB" w:bidi="he-IL"/>
        </w:rPr>
        <w:t>#</w:t>
      </w:r>
      <w:proofErr w:type="spellStart"/>
      <w:r w:rsidRPr="002A0FA5">
        <w:rPr>
          <w:rFonts w:ascii="Bwhebb" w:hAnsi="Bwhebb" w:cs="Bwhebb"/>
          <w:color w:val="auto"/>
          <w:szCs w:val="36"/>
          <w:lang w:eastAsia="en-GB" w:bidi="he-IL"/>
        </w:rPr>
        <w:t>wrx</w:t>
      </w:r>
      <w:proofErr w:type="spellEnd"/>
      <w:r>
        <w:rPr>
          <w:rFonts w:ascii="Bwhebb" w:hAnsi="Bwhebb" w:cs="Bwhebb"/>
          <w:color w:val="auto"/>
          <w:sz w:val="36"/>
          <w:szCs w:val="36"/>
          <w:lang w:eastAsia="en-GB" w:bidi="he-IL"/>
        </w:rPr>
        <w:t xml:space="preserve"> </w:t>
      </w:r>
      <w:r w:rsidRPr="00C27261">
        <w:t xml:space="preserve">derives from the root verb </w:t>
      </w:r>
      <w:r>
        <w:t>“</w:t>
      </w:r>
      <w:r w:rsidRPr="00C27261">
        <w:t>to cut</w:t>
      </w:r>
      <w:r>
        <w:t>”</w:t>
      </w:r>
      <w:r w:rsidRPr="00C27261">
        <w:t xml:space="preserve"> or </w:t>
      </w:r>
      <w:r>
        <w:t>“</w:t>
      </w:r>
      <w:r w:rsidRPr="00C27261">
        <w:t>to decide</w:t>
      </w:r>
      <w:r>
        <w:t>”</w:t>
      </w:r>
      <w:r w:rsidRPr="00C27261">
        <w:t xml:space="preserve">, and would most naturally be understood as an incision, and thus as a trench. However, in this context such a translation is problematic as </w:t>
      </w:r>
      <w:r w:rsidRPr="002A0FA5">
        <w:rPr>
          <w:rFonts w:ascii="Bwhebb" w:hAnsi="Bwhebb" w:cs="Bwhebb"/>
          <w:color w:val="auto"/>
          <w:szCs w:val="36"/>
          <w:lang w:eastAsia="en-GB" w:bidi="he-IL"/>
        </w:rPr>
        <w:t>#</w:t>
      </w:r>
      <w:proofErr w:type="spellStart"/>
      <w:r w:rsidRPr="002A0FA5">
        <w:rPr>
          <w:rFonts w:ascii="Bwhebb" w:hAnsi="Bwhebb" w:cs="Bwhebb"/>
          <w:color w:val="auto"/>
          <w:szCs w:val="36"/>
          <w:lang w:eastAsia="en-GB" w:bidi="he-IL"/>
        </w:rPr>
        <w:t>wrx</w:t>
      </w:r>
      <w:proofErr w:type="spellEnd"/>
      <w:r w:rsidRPr="00C27261">
        <w:rPr>
          <w:i/>
        </w:rPr>
        <w:t xml:space="preserve"> </w:t>
      </w:r>
      <w:r w:rsidRPr="00C27261">
        <w:t xml:space="preserve">follows the verb </w:t>
      </w:r>
      <w:r>
        <w:t>“</w:t>
      </w:r>
      <w:r w:rsidRPr="00C27261">
        <w:t>build</w:t>
      </w:r>
      <w:r>
        <w:t>”</w:t>
      </w:r>
      <w:r w:rsidRPr="00C27261">
        <w:t xml:space="preserve">; one does not </w:t>
      </w:r>
      <w:r w:rsidRPr="00C27261">
        <w:rPr>
          <w:b/>
        </w:rPr>
        <w:t>build</w:t>
      </w:r>
      <w:r w:rsidRPr="00C27261">
        <w:t xml:space="preserve"> a trench. The old Greek text of Daniel, θ</w:t>
      </w:r>
      <w:r>
        <w:t>’</w:t>
      </w:r>
      <w:r w:rsidRPr="00C27261">
        <w:t xml:space="preserve">, renders </w:t>
      </w:r>
      <w:r w:rsidRPr="002A0FA5">
        <w:rPr>
          <w:rFonts w:ascii="Bwhebb" w:hAnsi="Bwhebb" w:cs="Bwhebb"/>
          <w:color w:val="auto"/>
          <w:szCs w:val="36"/>
          <w:lang w:eastAsia="en-GB" w:bidi="he-IL"/>
        </w:rPr>
        <w:t>#</w:t>
      </w:r>
      <w:proofErr w:type="spellStart"/>
      <w:r w:rsidRPr="002A0FA5">
        <w:rPr>
          <w:rFonts w:ascii="Bwhebb" w:hAnsi="Bwhebb" w:cs="Bwhebb"/>
          <w:color w:val="auto"/>
          <w:szCs w:val="36"/>
          <w:lang w:eastAsia="en-GB" w:bidi="he-IL"/>
        </w:rPr>
        <w:t>wrx</w:t>
      </w:r>
      <w:proofErr w:type="spellEnd"/>
      <w:r w:rsidRPr="00C27261">
        <w:rPr>
          <w:i/>
        </w:rPr>
        <w:t xml:space="preserve"> </w:t>
      </w:r>
      <w:r w:rsidRPr="00C27261">
        <w:t xml:space="preserve">as </w:t>
      </w:r>
      <w:proofErr w:type="spellStart"/>
      <w:r w:rsidRPr="00C27261">
        <w:t>τειχος</w:t>
      </w:r>
      <w:proofErr w:type="spellEnd"/>
      <w:r w:rsidRPr="00C27261">
        <w:t xml:space="preserve"> </w:t>
      </w:r>
      <w:proofErr w:type="spellStart"/>
      <w:r w:rsidRPr="00C27261">
        <w:rPr>
          <w:i/>
        </w:rPr>
        <w:t>teichos</w:t>
      </w:r>
      <w:proofErr w:type="spellEnd"/>
      <w:r w:rsidRPr="00C27261">
        <w:rPr>
          <w:i/>
        </w:rPr>
        <w:t xml:space="preserve"> </w:t>
      </w:r>
      <w:r w:rsidRPr="00C27261">
        <w:t>(</w:t>
      </w:r>
      <w:r>
        <w:t>“</w:t>
      </w:r>
      <w:r w:rsidRPr="00C27261">
        <w:t>wall</w:t>
      </w:r>
      <w:r>
        <w:t>”</w:t>
      </w:r>
      <w:r w:rsidRPr="00C27261">
        <w:t xml:space="preserve">). In any case, it is improbable that </w:t>
      </w:r>
      <w:r>
        <w:t>“</w:t>
      </w:r>
      <w:r w:rsidRPr="00C27261">
        <w:t>moat</w:t>
      </w:r>
      <w:r>
        <w:t>”</w:t>
      </w:r>
      <w:r w:rsidRPr="00C27261">
        <w:t xml:space="preserve"> is intended since there is no record of Jerusalem having a moat either in the days of the kings or in the time of Nehemiah, and the only moat discovered in archaeological excavations of Jerusalem dates from the time of Herod. See L. B. Paton, </w:t>
      </w:r>
      <w:r>
        <w:t>“</w:t>
      </w:r>
      <w:r w:rsidRPr="00C27261">
        <w:rPr>
          <w:iCs/>
        </w:rPr>
        <w:t>Jerusalem in Bible Times</w:t>
      </w:r>
      <w:r>
        <w:rPr>
          <w:iCs/>
        </w:rPr>
        <w:t>”</w:t>
      </w:r>
      <w:r w:rsidRPr="00C27261">
        <w:rPr>
          <w:i/>
        </w:rPr>
        <w:t xml:space="preserve"> </w:t>
      </w:r>
      <w:r w:rsidRPr="00C27261">
        <w:rPr>
          <w:i/>
          <w:iCs/>
        </w:rPr>
        <w:t>The Biblical World</w:t>
      </w:r>
      <w:r w:rsidRPr="00C27261">
        <w:t xml:space="preserve"> 30.3 (1907): 162/167-178 (167), and B. E. Schein, </w:t>
      </w:r>
      <w:r>
        <w:t>“</w:t>
      </w:r>
      <w:r w:rsidRPr="00C27261">
        <w:rPr>
          <w:iCs/>
        </w:rPr>
        <w:t>The Second Wall of Jerusalem</w:t>
      </w:r>
      <w:r>
        <w:rPr>
          <w:iCs/>
        </w:rPr>
        <w:t>”</w:t>
      </w:r>
      <w:r w:rsidRPr="00C27261">
        <w:rPr>
          <w:i/>
        </w:rPr>
        <w:t xml:space="preserve"> </w:t>
      </w:r>
      <w:r w:rsidRPr="00C27261">
        <w:rPr>
          <w:i/>
          <w:iCs/>
        </w:rPr>
        <w:t>The Biblical Archaeologist</w:t>
      </w:r>
      <w:r w:rsidRPr="00C27261">
        <w:t xml:space="preserve"> 44.1 (1981): 21-26 (25-6).</w:t>
      </w:r>
    </w:p>
  </w:footnote>
  <w:footnote w:id="12">
    <w:p w:rsidR="00FB0788" w:rsidRPr="00C27261" w:rsidRDefault="00FB0788" w:rsidP="00360107">
      <w:pPr>
        <w:pStyle w:val="FootnoteText"/>
      </w:pPr>
      <w:r w:rsidRPr="00C27261">
        <w:rPr>
          <w:rStyle w:val="FootnoteReference"/>
          <w:szCs w:val="24"/>
        </w:rPr>
        <w:footnoteRef/>
      </w:r>
      <w:r w:rsidRPr="00C27261">
        <w:t xml:space="preserve"> R. W. Pierce, </w:t>
      </w:r>
      <w:r>
        <w:t>“</w:t>
      </w:r>
      <w:r w:rsidRPr="00C27261">
        <w:t>Spiritual Failure, Postponement, and Daniel 9</w:t>
      </w:r>
      <w:r>
        <w:t>”</w:t>
      </w:r>
      <w:r w:rsidRPr="00C27261">
        <w:rPr>
          <w:i/>
        </w:rPr>
        <w:t xml:space="preserve"> Trinity Journal</w:t>
      </w:r>
      <w:r w:rsidRPr="00C27261">
        <w:t xml:space="preserve"> 10:2 (1989): 211-222 (213). </w:t>
      </w:r>
    </w:p>
  </w:footnote>
  <w:footnote w:id="13">
    <w:p w:rsidR="00FB0788" w:rsidRDefault="00FB0788" w:rsidP="00360107">
      <w:pPr>
        <w:pStyle w:val="FootnoteText"/>
      </w:pPr>
      <w:r w:rsidRPr="00C27261">
        <w:rPr>
          <w:rStyle w:val="FootnoteReference"/>
          <w:szCs w:val="24"/>
        </w:rPr>
        <w:footnoteRef/>
      </w:r>
      <w:r w:rsidRPr="00C27261">
        <w:t xml:space="preserve"> [ED. AP]: The strength of the </w:t>
      </w:r>
      <w:r w:rsidRPr="00C27261">
        <w:rPr>
          <w:i/>
        </w:rPr>
        <w:t>athnach</w:t>
      </w:r>
      <w:r w:rsidRPr="00C27261">
        <w:t xml:space="preserve"> accent is disputed. The standard work, J. D. Price, </w:t>
      </w:r>
      <w:r w:rsidRPr="00C27261">
        <w:rPr>
          <w:i/>
        </w:rPr>
        <w:t>The Syntax o</w:t>
      </w:r>
      <w:r>
        <w:rPr>
          <w:i/>
        </w:rPr>
        <w:t>f</w:t>
      </w:r>
      <w:r w:rsidRPr="00C27261">
        <w:rPr>
          <w:i/>
        </w:rPr>
        <w:t xml:space="preserve"> Masoretic Accents in the Hebrew Bible</w:t>
      </w:r>
      <w:r w:rsidRPr="00C27261">
        <w:t xml:space="preserve"> (Studies in the Bible and Early Christianity 27; Lampeter: Edwin Mellen Press, 1990), 27, makes the accent a level II disjunctive accent along with </w:t>
      </w:r>
      <w:proofErr w:type="spellStart"/>
      <w:r w:rsidRPr="00C27261">
        <w:rPr>
          <w:i/>
        </w:rPr>
        <w:t>Silluq</w:t>
      </w:r>
      <w:proofErr w:type="spellEnd"/>
      <w:r w:rsidRPr="00C27261">
        <w:t xml:space="preserve"> but behind </w:t>
      </w:r>
      <w:r>
        <w:t xml:space="preserve">the level I </w:t>
      </w:r>
      <w:proofErr w:type="spellStart"/>
      <w:r w:rsidRPr="00C27261">
        <w:rPr>
          <w:i/>
        </w:rPr>
        <w:t>Soph</w:t>
      </w:r>
      <w:proofErr w:type="spellEnd"/>
      <w:r w:rsidRPr="00C27261">
        <w:rPr>
          <w:i/>
        </w:rPr>
        <w:t xml:space="preserve"> </w:t>
      </w:r>
      <w:proofErr w:type="spellStart"/>
      <w:r w:rsidRPr="00C27261">
        <w:rPr>
          <w:i/>
        </w:rPr>
        <w:t>Pasuq</w:t>
      </w:r>
      <w:proofErr w:type="spellEnd"/>
      <w:r w:rsidRPr="00C27261">
        <w:t xml:space="preserve">. The disjunctive accent </w:t>
      </w:r>
      <w:r w:rsidRPr="00C27261">
        <w:rPr>
          <w:i/>
        </w:rPr>
        <w:t>athnach</w:t>
      </w:r>
      <w:r w:rsidRPr="00C27261">
        <w:t xml:space="preserve"> is found (4x) with </w:t>
      </w:r>
      <w:r>
        <w:t>‘</w:t>
      </w:r>
      <w:r w:rsidRPr="00C27261">
        <w:t>seven</w:t>
      </w:r>
      <w:r>
        <w:t>’</w:t>
      </w:r>
      <w:r w:rsidRPr="00C27261">
        <w:t xml:space="preserve"> in Exod 25:27; 37:23; Neh 7:67 and Ezra 2:65, where a separate clause follows. However, in none of these cases is the following clause straightaway a number and so they are not directly comparable to Dan 9:25.</w:t>
      </w:r>
    </w:p>
    <w:p w:rsidR="00FB0788" w:rsidRPr="00C27261" w:rsidRDefault="00FB0788" w:rsidP="00360107">
      <w:pPr>
        <w:pStyle w:val="FootnoteText"/>
      </w:pPr>
      <w:r w:rsidRPr="00151FF1">
        <w:t xml:space="preserve">[Ed. JWA]: In the last two decades a new school of </w:t>
      </w:r>
      <w:r>
        <w:t>“</w:t>
      </w:r>
      <w:r w:rsidRPr="00151FF1">
        <w:t>Delimitation Criticism</w:t>
      </w:r>
      <w:r>
        <w:t>”</w:t>
      </w:r>
      <w:r w:rsidRPr="00151FF1">
        <w:t xml:space="preserve"> has arisen, devoted to highlighting the importance (as they see it) of a long- ignored tool for interpretation: unit delimitation markers in ancient manuscripts. E.g., evident in pre-Masoretic Qumran mss, textual subdivision into meaningful units by means of spacing and marginal signs. In the mediaeval period there is the addition of distinctive accents and opening (</w:t>
      </w:r>
      <w:proofErr w:type="spellStart"/>
      <w:r w:rsidRPr="00151FF1">
        <w:rPr>
          <w:i/>
        </w:rPr>
        <w:t>petu</w:t>
      </w:r>
      <w:r w:rsidRPr="00151FF1">
        <w:rPr>
          <w:rFonts w:ascii="Bwtransh" w:hAnsi="Bwtransh"/>
          <w:i/>
        </w:rPr>
        <w:t>H</w:t>
      </w:r>
      <w:r w:rsidRPr="00151FF1">
        <w:rPr>
          <w:i/>
        </w:rPr>
        <w:t>ah</w:t>
      </w:r>
      <w:proofErr w:type="spellEnd"/>
      <w:r w:rsidRPr="00151FF1">
        <w:t>) and closing (</w:t>
      </w:r>
      <w:proofErr w:type="spellStart"/>
      <w:r w:rsidRPr="00151FF1">
        <w:rPr>
          <w:i/>
        </w:rPr>
        <w:t>setumah</w:t>
      </w:r>
      <w:proofErr w:type="spellEnd"/>
      <w:r w:rsidRPr="00151FF1">
        <w:t>) section markers, as found in the Hebrew text of Masoretic manuscripts like the Codex Leningradensis (1009 A.D.). See M. Korpel and J. Oesch,</w:t>
      </w:r>
      <w:r w:rsidRPr="00151FF1">
        <w:rPr>
          <w:i/>
        </w:rPr>
        <w:t xml:space="preserve"> </w:t>
      </w:r>
      <w:r w:rsidRPr="00151FF1">
        <w:t xml:space="preserve">eds. </w:t>
      </w:r>
      <w:r w:rsidRPr="00151FF1">
        <w:rPr>
          <w:i/>
        </w:rPr>
        <w:t>Delimitation Criticism</w:t>
      </w:r>
      <w:proofErr w:type="gramStart"/>
      <w:r w:rsidRPr="00151FF1">
        <w:t>, ,</w:t>
      </w:r>
      <w:proofErr w:type="gramEnd"/>
      <w:r w:rsidRPr="00151FF1">
        <w:t xml:space="preserve"> </w:t>
      </w:r>
      <w:r w:rsidRPr="00151FF1">
        <w:rPr>
          <w:i/>
        </w:rPr>
        <w:t>Pericope 1: Scripture as Written and Read in Antiquity</w:t>
      </w:r>
      <w:r w:rsidRPr="00151FF1">
        <w:t xml:space="preserve"> (Utrecht, The Netherlands: Van Gorcum, 2000).</w:t>
      </w:r>
      <w:r>
        <w:t xml:space="preserve"> </w:t>
      </w:r>
    </w:p>
  </w:footnote>
  <w:footnote w:id="14">
    <w:p w:rsidR="00FB0788" w:rsidRPr="00C27261" w:rsidRDefault="00FB0788" w:rsidP="00360107">
      <w:pPr>
        <w:pStyle w:val="FootnoteText"/>
      </w:pPr>
      <w:r w:rsidRPr="00C27261">
        <w:rPr>
          <w:rStyle w:val="FootnoteReference"/>
          <w:szCs w:val="24"/>
        </w:rPr>
        <w:footnoteRef/>
      </w:r>
      <w:r w:rsidRPr="00C27261">
        <w:t xml:space="preserve"> [Ed. AP]: Scholars are currently debating the relationship of Theodotion to the Old Greek Daniel, i.e. the extent of his work on the Old Greek—see K. H. Jobes and M. Silva, </w:t>
      </w:r>
      <w:r w:rsidRPr="00C27261">
        <w:rPr>
          <w:i/>
        </w:rPr>
        <w:t>Invitation to the Septuagint</w:t>
      </w:r>
      <w:r w:rsidRPr="00C27261">
        <w:t xml:space="preserve"> (Grand Rapids: Baker Academic, 2000), 41-42.</w:t>
      </w:r>
    </w:p>
  </w:footnote>
  <w:footnote w:id="15">
    <w:p w:rsidR="00FB0788" w:rsidRPr="00C27261" w:rsidRDefault="00FB0788" w:rsidP="00360107">
      <w:pPr>
        <w:pStyle w:val="FootnoteText"/>
      </w:pPr>
      <w:r w:rsidRPr="00C27261">
        <w:rPr>
          <w:rStyle w:val="FootnoteReference"/>
          <w:szCs w:val="24"/>
        </w:rPr>
        <w:footnoteRef/>
      </w:r>
      <w:r w:rsidRPr="00C27261">
        <w:t xml:space="preserve"> Montgomery claims that θ</w:t>
      </w:r>
      <w:r>
        <w:t>’</w:t>
      </w:r>
      <w:r w:rsidRPr="00C27261">
        <w:t xml:space="preserve"> is in error here, though produces no justification for this assertion (Montgomery, </w:t>
      </w:r>
      <w:r w:rsidRPr="00C27261">
        <w:rPr>
          <w:i/>
          <w:iCs/>
        </w:rPr>
        <w:t xml:space="preserve">Daniel, </w:t>
      </w:r>
      <w:r w:rsidRPr="00C27261">
        <w:t xml:space="preserve">392). </w:t>
      </w:r>
    </w:p>
  </w:footnote>
  <w:footnote w:id="16">
    <w:p w:rsidR="00FB0788" w:rsidRPr="00C27261" w:rsidRDefault="00FB0788" w:rsidP="00360107">
      <w:pPr>
        <w:pStyle w:val="FootnoteText"/>
      </w:pPr>
      <w:r w:rsidRPr="00C27261">
        <w:rPr>
          <w:rStyle w:val="FootnoteReference"/>
          <w:szCs w:val="24"/>
        </w:rPr>
        <w:footnoteRef/>
      </w:r>
      <w:r w:rsidRPr="00C27261">
        <w:t xml:space="preserve"> </w:t>
      </w:r>
      <w:r>
        <w:t>“</w:t>
      </w:r>
      <w:proofErr w:type="gramStart"/>
      <w:r w:rsidRPr="00C27261">
        <w:t>and</w:t>
      </w:r>
      <w:proofErr w:type="gramEnd"/>
      <w:r w:rsidRPr="00C27261">
        <w:t xml:space="preserve"> after seven and seventy and sixty-two an anointing shall be removed</w:t>
      </w:r>
      <w:r>
        <w:t>”</w:t>
      </w:r>
      <w:r w:rsidRPr="00C27261">
        <w:t xml:space="preserve"> (Dan 9:26 LXX). </w:t>
      </w:r>
    </w:p>
  </w:footnote>
  <w:footnote w:id="17">
    <w:p w:rsidR="00FB0788" w:rsidRPr="00C27261" w:rsidRDefault="00FB0788" w:rsidP="00360107">
      <w:pPr>
        <w:pStyle w:val="FootnoteText"/>
      </w:pPr>
      <w:r w:rsidRPr="00C27261">
        <w:rPr>
          <w:rStyle w:val="FootnoteReference"/>
          <w:szCs w:val="24"/>
        </w:rPr>
        <w:footnoteRef/>
      </w:r>
      <w:r w:rsidRPr="00C27261">
        <w:t xml:space="preserve"> We may speculate that the reason for the Masoretes to add the </w:t>
      </w:r>
      <w:r w:rsidRPr="002078CC">
        <w:rPr>
          <w:i/>
        </w:rPr>
        <w:t>athnach</w:t>
      </w:r>
      <w:r>
        <w:t xml:space="preserve"> </w:t>
      </w:r>
      <w:r w:rsidRPr="00C27261">
        <w:t xml:space="preserve">disjunction in this </w:t>
      </w:r>
      <w:r>
        <w:t>segment</w:t>
      </w:r>
      <w:r w:rsidRPr="00C27261">
        <w:t xml:space="preserve"> was to preclude the Christian interpretation</w:t>
      </w:r>
      <w:r>
        <w:t>.</w:t>
      </w:r>
    </w:p>
  </w:footnote>
  <w:footnote w:id="18">
    <w:p w:rsidR="00FB0788" w:rsidRPr="00EE5148" w:rsidRDefault="00FB0788" w:rsidP="00360107">
      <w:pPr>
        <w:pStyle w:val="FootnoteText"/>
      </w:pPr>
      <w:r w:rsidRPr="00EE5148">
        <w:rPr>
          <w:rStyle w:val="FootnoteReference"/>
        </w:rPr>
        <w:footnoteRef/>
      </w:r>
      <w:r w:rsidRPr="00EE5148">
        <w:t xml:space="preserve"> </w:t>
      </w:r>
      <w:r>
        <w:t>“T</w:t>
      </w:r>
      <w:r w:rsidRPr="00EE5148">
        <w:t>hus says the L</w:t>
      </w:r>
      <w:r>
        <w:t>ord</w:t>
      </w:r>
      <w:r w:rsidRPr="00EE5148">
        <w:t xml:space="preserve"> to His anointed, to Cyrus</w:t>
      </w:r>
      <w:r>
        <w:t>, whose right hand I have held”</w:t>
      </w:r>
      <w:r w:rsidRPr="00EE5148">
        <w:t xml:space="preserve"> (Is</w:t>
      </w:r>
      <w:r>
        <w:t>a</w:t>
      </w:r>
      <w:r w:rsidRPr="00EE5148">
        <w:t xml:space="preserve"> 45:1). The </w:t>
      </w:r>
      <w:r w:rsidRPr="00EE5148">
        <w:rPr>
          <w:i/>
        </w:rPr>
        <w:t xml:space="preserve">mashiyach </w:t>
      </w:r>
      <w:r w:rsidRPr="00EE5148">
        <w:t>of Dan 9:25 cannot be Cyrus, as some have suggested, since in v</w:t>
      </w:r>
      <w:r>
        <w:t xml:space="preserve">. </w:t>
      </w:r>
      <w:r w:rsidRPr="00EE5148">
        <w:t xml:space="preserve">26 the </w:t>
      </w:r>
      <w:r w:rsidRPr="00EE5148">
        <w:rPr>
          <w:i/>
        </w:rPr>
        <w:t xml:space="preserve">mashiyach </w:t>
      </w:r>
      <w:r w:rsidRPr="00EE5148">
        <w:t>is cut off shortly before the fall of Jerusalem.</w:t>
      </w:r>
    </w:p>
  </w:footnote>
  <w:footnote w:id="19">
    <w:p w:rsidR="00FB0788" w:rsidRPr="00EE5148" w:rsidRDefault="00FB0788" w:rsidP="00360107">
      <w:pPr>
        <w:pStyle w:val="FootnoteText"/>
      </w:pPr>
      <w:r w:rsidRPr="00EE5148">
        <w:rPr>
          <w:rStyle w:val="FootnoteReference"/>
        </w:rPr>
        <w:footnoteRef/>
      </w:r>
      <w:r w:rsidRPr="00EE5148">
        <w:t xml:space="preserve"> cf. 1 Kgs 19:15-17; also see 1 Chr</w:t>
      </w:r>
      <w:r>
        <w:t>on</w:t>
      </w:r>
      <w:r w:rsidRPr="00EE5148">
        <w:t xml:space="preserve"> 16:22</w:t>
      </w:r>
      <w:r>
        <w:t xml:space="preserve"> and</w:t>
      </w:r>
      <w:r w:rsidRPr="00EE5148">
        <w:t xml:space="preserve"> Hab 3:13, which refer to </w:t>
      </w:r>
      <w:r>
        <w:t xml:space="preserve">a </w:t>
      </w:r>
      <w:r w:rsidRPr="00EE5148">
        <w:t xml:space="preserve">plural </w:t>
      </w:r>
      <w:r>
        <w:t>“</w:t>
      </w:r>
      <w:r w:rsidRPr="00EE5148">
        <w:t>anointed ones</w:t>
      </w:r>
      <w:r>
        <w:t>”</w:t>
      </w:r>
      <w:r w:rsidRPr="00EE5148">
        <w:t>, i.e. the people of God.</w:t>
      </w:r>
    </w:p>
  </w:footnote>
  <w:footnote w:id="20">
    <w:p w:rsidR="00FB0788" w:rsidRPr="00EE5148" w:rsidRDefault="00FB0788" w:rsidP="00360107">
      <w:pPr>
        <w:pStyle w:val="FootnoteText"/>
      </w:pPr>
      <w:r w:rsidRPr="00EE5148">
        <w:rPr>
          <w:rStyle w:val="FootnoteReference"/>
        </w:rPr>
        <w:footnoteRef/>
      </w:r>
      <w:r w:rsidRPr="00EE5148">
        <w:t xml:space="preserve"> </w:t>
      </w:r>
      <w:r w:rsidRPr="00EE5148">
        <w:rPr>
          <w:b/>
          <w:bCs/>
        </w:rPr>
        <w:t>Saul:</w:t>
      </w:r>
      <w:r w:rsidRPr="00EE5148">
        <w:t xml:space="preserve"> 1 Sam 9:16; 10:1; 13:14; </w:t>
      </w:r>
      <w:r w:rsidRPr="00EE5148">
        <w:rPr>
          <w:b/>
          <w:bCs/>
        </w:rPr>
        <w:t>David:</w:t>
      </w:r>
      <w:r w:rsidRPr="00EE5148">
        <w:t xml:space="preserve"> 1 Sam 25:50; 2 Sam 5:2; 6:21; 7:8; 1 Chr</w:t>
      </w:r>
      <w:r>
        <w:t>on</w:t>
      </w:r>
      <w:r w:rsidRPr="00EE5148">
        <w:t xml:space="preserve"> 11:2; 17:7; </w:t>
      </w:r>
      <w:r w:rsidRPr="00EE5148">
        <w:rPr>
          <w:b/>
          <w:bCs/>
        </w:rPr>
        <w:t>Solomon:</w:t>
      </w:r>
      <w:r w:rsidRPr="00EE5148">
        <w:t xml:space="preserve"> 1 Kgs 1:15; </w:t>
      </w:r>
      <w:r w:rsidRPr="00EE5148">
        <w:rPr>
          <w:b/>
          <w:bCs/>
        </w:rPr>
        <w:t>Jeroboam:</w:t>
      </w:r>
      <w:r w:rsidRPr="00EE5148">
        <w:t xml:space="preserve"> 1 Kgs 14:17; </w:t>
      </w:r>
      <w:r w:rsidRPr="00EE5148">
        <w:rPr>
          <w:b/>
          <w:bCs/>
        </w:rPr>
        <w:t>Baasha:</w:t>
      </w:r>
      <w:r w:rsidRPr="00EE5148">
        <w:t xml:space="preserve"> 1 Kgs 16:2; </w:t>
      </w:r>
      <w:r w:rsidRPr="00EE5148">
        <w:rPr>
          <w:b/>
          <w:bCs/>
        </w:rPr>
        <w:t>Hezekiah:</w:t>
      </w:r>
      <w:r w:rsidRPr="00EE5148">
        <w:t xml:space="preserve"> 2 Kgs 20:5; also see Ezek 28:2 regarding the king of Tyre.  </w:t>
      </w:r>
    </w:p>
  </w:footnote>
  <w:footnote w:id="21">
    <w:p w:rsidR="00FB0788" w:rsidRPr="00EE5148" w:rsidRDefault="00FB0788" w:rsidP="00360107">
      <w:pPr>
        <w:pStyle w:val="FootnoteText"/>
      </w:pPr>
      <w:r w:rsidRPr="00EE5148">
        <w:rPr>
          <w:rStyle w:val="FootnoteReference"/>
        </w:rPr>
        <w:footnoteRef/>
      </w:r>
      <w:r w:rsidRPr="00EE5148">
        <w:t xml:space="preserve"> Some priests are referred to as </w:t>
      </w:r>
      <w:r w:rsidRPr="00EE5148">
        <w:rPr>
          <w:i/>
        </w:rPr>
        <w:t>nagiyd</w:t>
      </w:r>
      <w:r w:rsidRPr="00EE5148">
        <w:t xml:space="preserve"> but only with regarding their status as head of their household or as overseer over the ministers of Temple, not regarding the priesthood (e.g. 1 Chr</w:t>
      </w:r>
      <w:r>
        <w:t>on</w:t>
      </w:r>
      <w:r w:rsidRPr="00EE5148">
        <w:t xml:space="preserve"> 9:20; 12:27; Jer 20:1). </w:t>
      </w:r>
    </w:p>
  </w:footnote>
  <w:footnote w:id="22">
    <w:p w:rsidR="00FB0788" w:rsidRPr="00EE5148" w:rsidRDefault="00FB0788" w:rsidP="00360107">
      <w:pPr>
        <w:pStyle w:val="FootnoteText"/>
      </w:pPr>
      <w:r w:rsidRPr="00EE5148">
        <w:rPr>
          <w:rStyle w:val="FootnoteReference"/>
        </w:rPr>
        <w:footnoteRef/>
      </w:r>
      <w:r w:rsidRPr="00EE5148">
        <w:t xml:space="preserve"> e.g. </w:t>
      </w:r>
      <w:r>
        <w:t>“</w:t>
      </w:r>
      <w:r w:rsidRPr="00EE5148">
        <w:t xml:space="preserve">… confessing my sin </w:t>
      </w:r>
      <w:r>
        <w:t>(</w:t>
      </w:r>
      <w:proofErr w:type="spellStart"/>
      <w:r w:rsidRPr="00EE5148">
        <w:rPr>
          <w:i/>
        </w:rPr>
        <w:t>chatta</w:t>
      </w:r>
      <w:r>
        <w:rPr>
          <w:i/>
        </w:rPr>
        <w:t>’</w:t>
      </w:r>
      <w:r w:rsidRPr="00EE5148">
        <w:rPr>
          <w:i/>
        </w:rPr>
        <w:t>ah</w:t>
      </w:r>
      <w:proofErr w:type="spellEnd"/>
      <w:r w:rsidRPr="00AF73BE">
        <w:t xml:space="preserve">) </w:t>
      </w:r>
      <w:r w:rsidRPr="00EE5148">
        <w:t xml:space="preserve">and the sin </w:t>
      </w:r>
      <w:r>
        <w:t>(</w:t>
      </w:r>
      <w:proofErr w:type="spellStart"/>
      <w:r w:rsidRPr="00EE5148">
        <w:rPr>
          <w:i/>
        </w:rPr>
        <w:t>chatta</w:t>
      </w:r>
      <w:r>
        <w:rPr>
          <w:i/>
        </w:rPr>
        <w:t>’</w:t>
      </w:r>
      <w:r w:rsidRPr="00EE5148">
        <w:rPr>
          <w:i/>
        </w:rPr>
        <w:t>ah</w:t>
      </w:r>
      <w:proofErr w:type="spellEnd"/>
      <w:r>
        <w:t>)</w:t>
      </w:r>
      <w:r w:rsidRPr="00EE5148">
        <w:t xml:space="preserve"> of my people Israel …</w:t>
      </w:r>
      <w:r>
        <w:t>”</w:t>
      </w:r>
      <w:r w:rsidRPr="00EE5148">
        <w:t xml:space="preserve"> (Dan 9:20)</w:t>
      </w:r>
    </w:p>
  </w:footnote>
  <w:footnote w:id="23">
    <w:p w:rsidR="00FB0788" w:rsidRPr="00EE5148" w:rsidRDefault="00FB0788" w:rsidP="00360107">
      <w:pPr>
        <w:pStyle w:val="FootnoteText"/>
      </w:pPr>
      <w:r w:rsidRPr="00EE5148">
        <w:rPr>
          <w:rStyle w:val="FootnoteReference"/>
        </w:rPr>
        <w:footnoteRef/>
      </w:r>
      <w:r w:rsidRPr="00EE5148">
        <w:t xml:space="preserve"> E. J. Young</w:t>
      </w:r>
      <w:r>
        <w:t xml:space="preserve">, </w:t>
      </w:r>
      <w:proofErr w:type="gramStart"/>
      <w:r w:rsidRPr="00186D61">
        <w:rPr>
          <w:i/>
        </w:rPr>
        <w:t>The</w:t>
      </w:r>
      <w:proofErr w:type="gramEnd"/>
      <w:r w:rsidRPr="00186D61">
        <w:rPr>
          <w:i/>
        </w:rPr>
        <w:t xml:space="preserve"> Prophecy of Daniel</w:t>
      </w:r>
      <w:r>
        <w:t xml:space="preserve"> (Grand Rapids: Eerdmans, 1949),</w:t>
      </w:r>
      <w:r w:rsidRPr="00EE5148">
        <w:t xml:space="preserve"> 199</w:t>
      </w:r>
      <w:r>
        <w:t>.</w:t>
      </w:r>
    </w:p>
  </w:footnote>
  <w:footnote w:id="24">
    <w:p w:rsidR="00FB0788" w:rsidRPr="00EE5148" w:rsidRDefault="00FB0788" w:rsidP="00360107">
      <w:pPr>
        <w:pStyle w:val="FootnoteText"/>
      </w:pPr>
      <w:r w:rsidRPr="00EE5148">
        <w:rPr>
          <w:rStyle w:val="FootnoteReference"/>
        </w:rPr>
        <w:footnoteRef/>
      </w:r>
      <w:r w:rsidRPr="00EE5148">
        <w:t xml:space="preserve"> C. </w:t>
      </w:r>
      <w:proofErr w:type="spellStart"/>
      <w:r w:rsidRPr="00EE5148">
        <w:t>Boutflower</w:t>
      </w:r>
      <w:proofErr w:type="spellEnd"/>
      <w:r>
        <w:t xml:space="preserve">, </w:t>
      </w:r>
      <w:proofErr w:type="gramStart"/>
      <w:r w:rsidRPr="00186D61">
        <w:rPr>
          <w:i/>
        </w:rPr>
        <w:t>In</w:t>
      </w:r>
      <w:proofErr w:type="gramEnd"/>
      <w:r w:rsidRPr="00186D61">
        <w:rPr>
          <w:i/>
        </w:rPr>
        <w:t xml:space="preserve"> and Around the Book of Daniel</w:t>
      </w:r>
      <w:r>
        <w:t xml:space="preserve"> (London: SPCK, 1923; repr.</w:t>
      </w:r>
      <w:r w:rsidRPr="00EE5148">
        <w:t xml:space="preserve"> 1977</w:t>
      </w:r>
      <w:r>
        <w:t xml:space="preserve">), </w:t>
      </w:r>
      <w:r w:rsidRPr="00EE5148">
        <w:t>188</w:t>
      </w:r>
      <w:r>
        <w:t>.</w:t>
      </w:r>
    </w:p>
  </w:footnote>
  <w:footnote w:id="25">
    <w:p w:rsidR="00FB0788" w:rsidRPr="00EE5148" w:rsidRDefault="00FB0788" w:rsidP="00360107">
      <w:pPr>
        <w:pStyle w:val="FootnoteText"/>
      </w:pPr>
      <w:r w:rsidRPr="00EE5148">
        <w:rPr>
          <w:rStyle w:val="FootnoteReference"/>
        </w:rPr>
        <w:footnoteRef/>
      </w:r>
      <w:r>
        <w:t xml:space="preserve"> </w:t>
      </w:r>
      <w:r w:rsidRPr="00EE5148">
        <w:t xml:space="preserve">Young </w:t>
      </w:r>
      <w:proofErr w:type="gramStart"/>
      <w:r w:rsidRPr="00186D61">
        <w:t>The</w:t>
      </w:r>
      <w:proofErr w:type="gramEnd"/>
      <w:r w:rsidRPr="00186D61">
        <w:t xml:space="preserve"> Prophecy of Daniel</w:t>
      </w:r>
      <w:r>
        <w:t xml:space="preserve">, </w:t>
      </w:r>
      <w:r w:rsidRPr="00EE5148">
        <w:t>200</w:t>
      </w:r>
      <w:r>
        <w:t>.</w:t>
      </w:r>
    </w:p>
  </w:footnote>
  <w:footnote w:id="26">
    <w:p w:rsidR="00FB0788" w:rsidRPr="00EE5148" w:rsidRDefault="00FB0788" w:rsidP="00360107">
      <w:pPr>
        <w:pStyle w:val="FootnoteText"/>
      </w:pPr>
      <w:r w:rsidRPr="00EE5148">
        <w:rPr>
          <w:rStyle w:val="FootnoteReference"/>
        </w:rPr>
        <w:footnoteRef/>
      </w:r>
      <w:r w:rsidRPr="00EE5148">
        <w:t xml:space="preserve"> cf. </w:t>
      </w:r>
      <w:r>
        <w:t>“</w:t>
      </w:r>
      <w:r w:rsidRPr="00EE5148">
        <w:t>none of the wicked shall understand, but the wise shall understand</w:t>
      </w:r>
      <w:r>
        <w:t>”</w:t>
      </w:r>
      <w:r w:rsidRPr="00EE5148">
        <w:t xml:space="preserve"> (Dan 12:10)</w:t>
      </w:r>
      <w:r>
        <w:t>.</w:t>
      </w:r>
    </w:p>
  </w:footnote>
  <w:footnote w:id="27">
    <w:p w:rsidR="00FB0788" w:rsidRPr="00EE5148" w:rsidRDefault="00FB0788" w:rsidP="00360107">
      <w:pPr>
        <w:pStyle w:val="FootnoteText"/>
      </w:pPr>
      <w:r w:rsidRPr="00EE5148">
        <w:rPr>
          <w:rStyle w:val="FootnoteReference"/>
        </w:rPr>
        <w:footnoteRef/>
      </w:r>
      <w:r w:rsidRPr="00EE5148">
        <w:t xml:space="preserve"> </w:t>
      </w:r>
      <w:r>
        <w:t>“</w:t>
      </w:r>
      <w:r w:rsidRPr="00EE5148">
        <w:t>Nevertheless no devoted offering that a man may devote to the L</w:t>
      </w:r>
      <w:r>
        <w:t>ord</w:t>
      </w:r>
      <w:r w:rsidRPr="00EE5148">
        <w:t xml:space="preserve"> of all that he has, </w:t>
      </w:r>
      <w:r w:rsidRPr="00C04140">
        <w:t>both man and beast</w:t>
      </w:r>
      <w:r w:rsidRPr="00EE5148">
        <w:t xml:space="preserve">, or the field of his possession, shall be sold or redeemed; every devoted offering is </w:t>
      </w:r>
      <w:r w:rsidRPr="00C04140">
        <w:rPr>
          <w:u w:val="single"/>
        </w:rPr>
        <w:t>most holy</w:t>
      </w:r>
      <w:r w:rsidRPr="00EE5148">
        <w:t xml:space="preserve">  to the L</w:t>
      </w:r>
      <w:r>
        <w:t>ord”</w:t>
      </w:r>
      <w:r w:rsidRPr="00EE5148">
        <w:t xml:space="preserve"> (Lev 27:28)</w:t>
      </w:r>
      <w:r>
        <w:t>.</w:t>
      </w:r>
    </w:p>
  </w:footnote>
  <w:footnote w:id="28">
    <w:p w:rsidR="00FB0788" w:rsidRPr="00EE5148" w:rsidRDefault="00FB0788" w:rsidP="00360107">
      <w:pPr>
        <w:pStyle w:val="FootnoteText"/>
      </w:pPr>
      <w:r w:rsidRPr="00EE5148">
        <w:rPr>
          <w:rStyle w:val="FootnoteReference"/>
        </w:rPr>
        <w:footnoteRef/>
      </w:r>
      <w:r>
        <w:t xml:space="preserve"> </w:t>
      </w:r>
      <w:r w:rsidRPr="00EE5148">
        <w:t xml:space="preserve">Young </w:t>
      </w:r>
      <w:proofErr w:type="gramStart"/>
      <w:r w:rsidRPr="000F1348">
        <w:t>The</w:t>
      </w:r>
      <w:proofErr w:type="gramEnd"/>
      <w:r w:rsidRPr="000F1348">
        <w:t xml:space="preserve"> Prophecy of Daniel</w:t>
      </w:r>
      <w:r>
        <w:t xml:space="preserve">, </w:t>
      </w:r>
      <w:r w:rsidRPr="00EE5148">
        <w:t xml:space="preserve">207. </w:t>
      </w:r>
    </w:p>
  </w:footnote>
  <w:footnote w:id="29">
    <w:p w:rsidR="00FB0788" w:rsidRPr="00EE5148" w:rsidRDefault="00FB0788" w:rsidP="00360107">
      <w:pPr>
        <w:pStyle w:val="FootnoteText"/>
      </w:pPr>
      <w:r w:rsidRPr="00EE5148">
        <w:rPr>
          <w:rStyle w:val="FootnoteReference"/>
        </w:rPr>
        <w:footnoteRef/>
      </w:r>
      <w:r w:rsidRPr="00EE5148">
        <w:t xml:space="preserve"> N. W. Porteous </w:t>
      </w:r>
      <w:r w:rsidRPr="00B64809">
        <w:rPr>
          <w:i/>
        </w:rPr>
        <w:t>Daniel</w:t>
      </w:r>
      <w:r>
        <w:t xml:space="preserve"> (London: SCM Press,</w:t>
      </w:r>
      <w:r w:rsidRPr="001858C9">
        <w:t xml:space="preserve"> 1965</w:t>
      </w:r>
      <w:r>
        <w:t xml:space="preserve">), </w:t>
      </w:r>
      <w:r w:rsidRPr="00EE5148">
        <w:t>142</w:t>
      </w:r>
      <w:r>
        <w:t>.</w:t>
      </w:r>
    </w:p>
  </w:footnote>
  <w:footnote w:id="30">
    <w:p w:rsidR="00FB0788" w:rsidRPr="00EE5148" w:rsidRDefault="00FB0788" w:rsidP="00360107">
      <w:pPr>
        <w:pStyle w:val="FootnoteText"/>
      </w:pPr>
      <w:r w:rsidRPr="00EE5148">
        <w:rPr>
          <w:rStyle w:val="FootnoteReference"/>
        </w:rPr>
        <w:footnoteRef/>
      </w:r>
      <w:r>
        <w:t xml:space="preserve"> S</w:t>
      </w:r>
      <w:r w:rsidRPr="00EE5148">
        <w:t xml:space="preserve">ee Montgomery, </w:t>
      </w:r>
      <w:r w:rsidRPr="00EE5148">
        <w:rPr>
          <w:i/>
          <w:iCs/>
        </w:rPr>
        <w:t xml:space="preserve">Daniel, </w:t>
      </w:r>
      <w:r w:rsidRPr="00EE5148">
        <w:t>381. Porteous</w:t>
      </w:r>
      <w:r>
        <w:t>’</w:t>
      </w:r>
      <w:r w:rsidRPr="00EE5148">
        <w:t xml:space="preserve"> selection of </w:t>
      </w:r>
      <w:r>
        <w:t>“</w:t>
      </w:r>
      <w:r w:rsidRPr="00EE5148">
        <w:t>without trial</w:t>
      </w:r>
      <w:r>
        <w:t>”</w:t>
      </w:r>
      <w:r w:rsidRPr="00EE5148">
        <w:t xml:space="preserve"> in place of </w:t>
      </w:r>
      <w:r>
        <w:t>“</w:t>
      </w:r>
      <w:r w:rsidRPr="00EE5148">
        <w:t>without condemnation</w:t>
      </w:r>
      <w:r>
        <w:t>”</w:t>
      </w:r>
      <w:r w:rsidRPr="00EE5148">
        <w:t xml:space="preserve"> seems arbitrary, though it is possibly suggested to favour an identification with Onias who was murdered, not executed.</w:t>
      </w:r>
    </w:p>
  </w:footnote>
  <w:footnote w:id="31">
    <w:p w:rsidR="00FB0788" w:rsidRPr="00EE5148" w:rsidRDefault="00FB0788" w:rsidP="00360107">
      <w:pPr>
        <w:pStyle w:val="FootnoteText"/>
      </w:pPr>
      <w:r w:rsidRPr="00EE5148">
        <w:rPr>
          <w:rStyle w:val="FootnoteReference"/>
        </w:rPr>
        <w:footnoteRef/>
      </w:r>
      <w:r w:rsidRPr="00EE5148">
        <w:t xml:space="preserve"> </w:t>
      </w:r>
      <w:r w:rsidRPr="00E014A4">
        <w:t xml:space="preserve">A. Laato, </w:t>
      </w:r>
      <w:r>
        <w:t>“</w:t>
      </w:r>
      <w:r w:rsidRPr="00E014A4">
        <w:t>The Seventy Yearweeks in the Book of Daniel</w:t>
      </w:r>
      <w:r>
        <w:t>”</w:t>
      </w:r>
      <w:r w:rsidRPr="00E014A4">
        <w:rPr>
          <w:i/>
        </w:rPr>
        <w:t xml:space="preserve"> ZAW</w:t>
      </w:r>
      <w:r w:rsidRPr="00E014A4">
        <w:t xml:space="preserve"> 102/2 (1990): </w:t>
      </w:r>
      <w:r>
        <w:t xml:space="preserve">212-22, </w:t>
      </w:r>
      <w:r w:rsidRPr="00EE5148">
        <w:t xml:space="preserve"> proposes that vv 24-26 are the original core to which v27 has been appended, perhaps replacing the original ending, during the Maccabean period in order to reinterpret the original prophecy (Laato, </w:t>
      </w:r>
      <w:r>
        <w:t>“</w:t>
      </w:r>
      <w:r w:rsidRPr="00EE5148">
        <w:t>The Seventy Year-weeks</w:t>
      </w:r>
      <w:r>
        <w:t>”</w:t>
      </w:r>
      <w:r w:rsidRPr="00EE5148">
        <w:t xml:space="preserve">, </w:t>
      </w:r>
      <w:r>
        <w:t>(</w:t>
      </w:r>
      <w:r w:rsidRPr="00EE5148">
        <w:t xml:space="preserve">221). </w:t>
      </w:r>
    </w:p>
  </w:footnote>
  <w:footnote w:id="32">
    <w:p w:rsidR="00FB0788" w:rsidRPr="00EE5148" w:rsidRDefault="00FB0788" w:rsidP="00360107">
      <w:pPr>
        <w:pStyle w:val="FootnoteText"/>
      </w:pPr>
      <w:r w:rsidRPr="00EE5148">
        <w:rPr>
          <w:rStyle w:val="FootnoteReference"/>
        </w:rPr>
        <w:footnoteRef/>
      </w:r>
      <w:r w:rsidRPr="00EE5148">
        <w:t xml:space="preserve"> J. G. Baldwin</w:t>
      </w:r>
      <w:r>
        <w:t>,</w:t>
      </w:r>
      <w:r w:rsidRPr="00EE5148">
        <w:t xml:space="preserve"> </w:t>
      </w:r>
      <w:r>
        <w:t xml:space="preserve">(Tyndale Old Testament Commentaries; Leicester: Intervarsity Press, 1978), </w:t>
      </w:r>
      <w:r w:rsidRPr="00EE5148">
        <w:t>171</w:t>
      </w:r>
      <w:r>
        <w:t>.</w:t>
      </w:r>
    </w:p>
  </w:footnote>
  <w:footnote w:id="33">
    <w:p w:rsidR="00FB0788" w:rsidRPr="00EE5148" w:rsidRDefault="00FB0788" w:rsidP="00360107">
      <w:pPr>
        <w:pStyle w:val="FootnoteText"/>
      </w:pPr>
      <w:r w:rsidRPr="00EE5148">
        <w:rPr>
          <w:rStyle w:val="FootnoteReference"/>
        </w:rPr>
        <w:footnoteRef/>
      </w:r>
      <w:r w:rsidRPr="00EE5148">
        <w:t xml:space="preserve"> cf. </w:t>
      </w:r>
      <w:r w:rsidRPr="00277670">
        <w:rPr>
          <w:rFonts w:ascii="Bwhebb" w:hAnsi="Bwhebb" w:cs="Bwhebb"/>
          <w:color w:val="auto"/>
          <w:szCs w:val="36"/>
          <w:lang w:eastAsia="en-GB" w:bidi="he-IL"/>
        </w:rPr>
        <w:t>~</w:t>
      </w:r>
      <w:proofErr w:type="spellStart"/>
      <w:r w:rsidRPr="00277670">
        <w:rPr>
          <w:rFonts w:ascii="Bwhebb" w:hAnsi="Bwhebb" w:cs="Bwhebb"/>
          <w:color w:val="auto"/>
          <w:szCs w:val="36"/>
          <w:lang w:eastAsia="en-GB" w:bidi="he-IL"/>
        </w:rPr>
        <w:t>wr</w:t>
      </w:r>
      <w:proofErr w:type="spellEnd"/>
      <w:r w:rsidRPr="00277670">
        <w:rPr>
          <w:sz w:val="20"/>
        </w:rPr>
        <w:t xml:space="preserve"> </w:t>
      </w:r>
      <w:proofErr w:type="spellStart"/>
      <w:r w:rsidRPr="00EE5148">
        <w:rPr>
          <w:i/>
        </w:rPr>
        <w:t>ruwm</w:t>
      </w:r>
      <w:proofErr w:type="spellEnd"/>
      <w:r w:rsidRPr="00EE5148">
        <w:rPr>
          <w:i/>
        </w:rPr>
        <w:t xml:space="preserve"> </w:t>
      </w:r>
      <w:r>
        <w:t>“</w:t>
      </w:r>
      <w:r w:rsidRPr="00EE5148">
        <w:t>taken away</w:t>
      </w:r>
      <w:r>
        <w:t>”</w:t>
      </w:r>
      <w:r w:rsidRPr="00EE5148">
        <w:t xml:space="preserve"> (Dan 8:11); </w:t>
      </w:r>
      <w:proofErr w:type="spellStart"/>
      <w:r w:rsidRPr="00277670">
        <w:rPr>
          <w:rFonts w:ascii="Bwhebb" w:hAnsi="Bwhebb" w:cs="Bwhebb"/>
          <w:color w:val="auto"/>
          <w:szCs w:val="36"/>
          <w:lang w:eastAsia="en-GB" w:bidi="he-IL"/>
        </w:rPr>
        <w:t>rws</w:t>
      </w:r>
      <w:proofErr w:type="spellEnd"/>
      <w:r w:rsidRPr="00EE5148">
        <w:t xml:space="preserve"> </w:t>
      </w:r>
      <w:proofErr w:type="spellStart"/>
      <w:r w:rsidRPr="00EE5148">
        <w:rPr>
          <w:i/>
        </w:rPr>
        <w:t>cuwr</w:t>
      </w:r>
      <w:proofErr w:type="spellEnd"/>
      <w:r w:rsidRPr="00EE5148">
        <w:t xml:space="preserve"> </w:t>
      </w:r>
      <w:r>
        <w:t>“</w:t>
      </w:r>
      <w:r w:rsidRPr="00EE5148">
        <w:t>taken away</w:t>
      </w:r>
      <w:r>
        <w:t>”</w:t>
      </w:r>
      <w:r w:rsidRPr="00EE5148">
        <w:t xml:space="preserve"> (Dan 12:11); </w:t>
      </w:r>
    </w:p>
  </w:footnote>
  <w:footnote w:id="34">
    <w:p w:rsidR="00FB0788" w:rsidRPr="00EE5148" w:rsidRDefault="00FB0788" w:rsidP="00360107">
      <w:pPr>
        <w:pStyle w:val="FootnoteText"/>
      </w:pPr>
      <w:r w:rsidRPr="00EE5148">
        <w:rPr>
          <w:rStyle w:val="FootnoteReference"/>
        </w:rPr>
        <w:footnoteRef/>
      </w:r>
      <w:r w:rsidRPr="00EE5148">
        <w:t xml:space="preserve"> For instance, it has been suggested that </w:t>
      </w:r>
      <w:r>
        <w:t>“</w:t>
      </w:r>
      <w:r w:rsidRPr="00EE5148">
        <w:t>wing</w:t>
      </w:r>
      <w:r>
        <w:t>”</w:t>
      </w:r>
      <w:r w:rsidRPr="00EE5148">
        <w:t xml:space="preserve"> refers to the eagle-standards of the Roman legions (H. P. Mansfield &amp; G. E. Mansfield, </w:t>
      </w:r>
      <w:r w:rsidRPr="00EE5148">
        <w:rPr>
          <w:i/>
        </w:rPr>
        <w:t xml:space="preserve">The Book of Daniel: A Verse-by-Verse Exposition </w:t>
      </w:r>
      <w:r w:rsidRPr="00EE5148">
        <w:rPr>
          <w:iCs/>
        </w:rPr>
        <w:t>(</w:t>
      </w:r>
      <w:r w:rsidRPr="00EE5148">
        <w:t>Findon: Logos Publications, 1992)</w:t>
      </w:r>
      <w:r>
        <w:t>,</w:t>
      </w:r>
      <w:r w:rsidRPr="00EE5148">
        <w:t xml:space="preserve"> 260-1). </w:t>
      </w:r>
    </w:p>
  </w:footnote>
  <w:footnote w:id="35">
    <w:p w:rsidR="00FB0788" w:rsidRPr="00EE5148" w:rsidRDefault="00FB0788" w:rsidP="00360107">
      <w:pPr>
        <w:pStyle w:val="FootnoteText"/>
      </w:pPr>
      <w:r w:rsidRPr="00EE5148">
        <w:rPr>
          <w:rStyle w:val="FootnoteReference"/>
        </w:rPr>
        <w:footnoteRef/>
      </w:r>
      <w:r w:rsidRPr="00EE5148">
        <w:t xml:space="preserve"> </w:t>
      </w:r>
      <w:r>
        <w:t>S</w:t>
      </w:r>
      <w:r w:rsidRPr="00EE5148">
        <w:t xml:space="preserve">ee Montgomery, </w:t>
      </w:r>
      <w:r w:rsidRPr="00EE5148">
        <w:rPr>
          <w:i/>
          <w:iCs/>
        </w:rPr>
        <w:t xml:space="preserve">Daniel, </w:t>
      </w:r>
      <w:r w:rsidRPr="00EE5148">
        <w:t>387; cf. Mark 13:14</w:t>
      </w:r>
      <w:r>
        <w:t>.</w:t>
      </w:r>
    </w:p>
  </w:footnote>
  <w:footnote w:id="36">
    <w:p w:rsidR="00FB0788" w:rsidRPr="00EE5148" w:rsidRDefault="00FB0788" w:rsidP="00360107">
      <w:pPr>
        <w:pStyle w:val="FootnoteText"/>
      </w:pPr>
      <w:r w:rsidRPr="00EE5148">
        <w:rPr>
          <w:rStyle w:val="FootnoteReference"/>
        </w:rPr>
        <w:footnoteRef/>
      </w:r>
      <w:r w:rsidRPr="00EE5148">
        <w:t xml:space="preserve"> W. H. Shea, </w:t>
      </w:r>
      <w:r>
        <w:t>“</w:t>
      </w:r>
      <w:r w:rsidRPr="00EE5148">
        <w:rPr>
          <w:iCs/>
        </w:rPr>
        <w:t>The Prophecy of Daniel 9:24-27</w:t>
      </w:r>
      <w:r>
        <w:rPr>
          <w:iCs/>
        </w:rPr>
        <w:t>”</w:t>
      </w:r>
      <w:r w:rsidRPr="00EE5148">
        <w:rPr>
          <w:i/>
        </w:rPr>
        <w:t xml:space="preserve">, </w:t>
      </w:r>
      <w:r w:rsidRPr="00EE5148">
        <w:t xml:space="preserve">in F. D. Holbrook (ed.), </w:t>
      </w:r>
      <w:proofErr w:type="gramStart"/>
      <w:r w:rsidRPr="00EE5148">
        <w:rPr>
          <w:i/>
        </w:rPr>
        <w:t>The</w:t>
      </w:r>
      <w:proofErr w:type="gramEnd"/>
      <w:r w:rsidRPr="00EE5148">
        <w:rPr>
          <w:i/>
        </w:rPr>
        <w:t xml:space="preserve"> Seventy Weeks, Leviti</w:t>
      </w:r>
      <w:r>
        <w:rPr>
          <w:i/>
        </w:rPr>
        <w:t>cus, and the Nature of Prophecy</w:t>
      </w:r>
      <w:r w:rsidRPr="00EE5148">
        <w:rPr>
          <w:i/>
        </w:rPr>
        <w:t xml:space="preserve"> </w:t>
      </w:r>
      <w:r w:rsidRPr="00EE5148">
        <w:rPr>
          <w:iCs/>
        </w:rPr>
        <w:t>(</w:t>
      </w:r>
      <w:r w:rsidRPr="00EE5148">
        <w:t>Washington: Review and Herald, 1986)</w:t>
      </w:r>
      <w:r>
        <w:t>,</w:t>
      </w:r>
      <w:r w:rsidRPr="00EE5148">
        <w:t xml:space="preserve"> 97.</w:t>
      </w:r>
    </w:p>
  </w:footnote>
  <w:footnote w:id="37">
    <w:p w:rsidR="00FB0788" w:rsidRPr="00EE5148" w:rsidRDefault="00FB0788" w:rsidP="00360107">
      <w:pPr>
        <w:pStyle w:val="FootnoteText"/>
      </w:pPr>
      <w:r w:rsidRPr="00EE5148">
        <w:rPr>
          <w:rStyle w:val="FootnoteReference"/>
        </w:rPr>
        <w:footnoteRef/>
      </w:r>
      <w:r w:rsidRPr="00EE5148">
        <w:t xml:space="preserve"> P. J. Ray Jr., </w:t>
      </w:r>
      <w:r>
        <w:t>“</w:t>
      </w:r>
      <w:r w:rsidRPr="00EE5148">
        <w:rPr>
          <w:iCs/>
        </w:rPr>
        <w:t>The Abomination of Desolation in Daniel 9:27 and Related Tests: Theology of Retributive Judgment</w:t>
      </w:r>
      <w:r>
        <w:rPr>
          <w:iCs/>
        </w:rPr>
        <w:t>”</w:t>
      </w:r>
      <w:r w:rsidRPr="00EE5148">
        <w:rPr>
          <w:i/>
        </w:rPr>
        <w:t xml:space="preserve">, </w:t>
      </w:r>
      <w:r w:rsidRPr="00EE5148">
        <w:t xml:space="preserve">in D. Merling (ed.), </w:t>
      </w:r>
      <w:r w:rsidRPr="00EE5148">
        <w:rPr>
          <w:i/>
        </w:rPr>
        <w:t>To Understand the Scriptures: Ess</w:t>
      </w:r>
      <w:r>
        <w:rPr>
          <w:i/>
        </w:rPr>
        <w:t xml:space="preserve">ays in </w:t>
      </w:r>
      <w:proofErr w:type="spellStart"/>
      <w:r>
        <w:rPr>
          <w:i/>
        </w:rPr>
        <w:t>Honor</w:t>
      </w:r>
      <w:proofErr w:type="spellEnd"/>
      <w:r>
        <w:rPr>
          <w:i/>
        </w:rPr>
        <w:t xml:space="preserve"> of William H. Shea</w:t>
      </w:r>
      <w:r w:rsidRPr="00EE5148">
        <w:rPr>
          <w:i/>
        </w:rPr>
        <w:t xml:space="preserve"> </w:t>
      </w:r>
      <w:r w:rsidRPr="00EE5148">
        <w:rPr>
          <w:iCs/>
        </w:rPr>
        <w:t>(</w:t>
      </w:r>
      <w:r w:rsidRPr="00EE5148">
        <w:t>Berrien Springs: Andrews University Press, 1997)</w:t>
      </w:r>
      <w:r>
        <w:t>,</w:t>
      </w:r>
      <w:r w:rsidRPr="00EE5148">
        <w:t xml:space="preserve"> 205-213.</w:t>
      </w:r>
    </w:p>
  </w:footnote>
  <w:footnote w:id="38">
    <w:p w:rsidR="00FB0788" w:rsidRPr="00EE5148" w:rsidRDefault="00FB0788" w:rsidP="00360107">
      <w:pPr>
        <w:pStyle w:val="FootnoteText"/>
      </w:pPr>
      <w:r w:rsidRPr="00EE5148">
        <w:rPr>
          <w:rStyle w:val="FootnoteReference"/>
        </w:rPr>
        <w:footnoteRef/>
      </w:r>
      <w:r w:rsidRPr="00EE5148">
        <w:t xml:space="preserve"> Both LXX and θ</w:t>
      </w:r>
      <w:r>
        <w:t>’</w:t>
      </w:r>
      <w:r w:rsidRPr="00EE5148">
        <w:t xml:space="preserve"> give </w:t>
      </w:r>
      <w:r>
        <w:t>“</w:t>
      </w:r>
      <w:r w:rsidRPr="00EE5148">
        <w:t>abomination of desolations</w:t>
      </w:r>
      <w:r>
        <w:t>”</w:t>
      </w:r>
      <w:r w:rsidRPr="00EE5148">
        <w:t xml:space="preserve"> in 9:27; also see Montgomery, </w:t>
      </w:r>
      <w:r w:rsidRPr="00EE5148">
        <w:rPr>
          <w:i/>
          <w:iCs/>
        </w:rPr>
        <w:t xml:space="preserve">Daniel, </w:t>
      </w:r>
      <w:r w:rsidRPr="00EE5148">
        <w:t>388</w:t>
      </w:r>
      <w:r>
        <w:t>.</w:t>
      </w:r>
    </w:p>
  </w:footnote>
  <w:footnote w:id="39">
    <w:p w:rsidR="00FB0788" w:rsidRPr="0001765C" w:rsidRDefault="00FB0788" w:rsidP="00360107">
      <w:pPr>
        <w:pStyle w:val="FootnoteText"/>
      </w:pPr>
      <w:r w:rsidRPr="0001765C">
        <w:rPr>
          <w:rStyle w:val="FootnoteReference"/>
        </w:rPr>
        <w:footnoteRef/>
      </w:r>
      <w:r w:rsidRPr="0001765C">
        <w:t xml:space="preserve"> Ephesians is directed to Gentile and Jewish readers, but Hebrews specifically targets Jewish believers at Ephesus. The Fourth Gospel, Hebrews and Ephesians were all written to the church at Ephesus See, P. Wyns, </w:t>
      </w:r>
      <w:r>
        <w:t>“</w:t>
      </w:r>
      <w:r w:rsidRPr="0001765C">
        <w:t>The Fourth Gospel and Hebrews</w:t>
      </w:r>
      <w:r>
        <w:t>”</w:t>
      </w:r>
      <w:r w:rsidRPr="0001765C">
        <w:t xml:space="preserve"> in </w:t>
      </w:r>
      <w:r w:rsidRPr="0001765C">
        <w:rPr>
          <w:i/>
        </w:rPr>
        <w:t>Christadelphian EJournal of Biblical Interpretation:</w:t>
      </w:r>
      <w:r>
        <w:rPr>
          <w:i/>
        </w:rPr>
        <w:t xml:space="preserve"> </w:t>
      </w:r>
      <w:r w:rsidRPr="0001765C">
        <w:rPr>
          <w:i/>
        </w:rPr>
        <w:t>2009</w:t>
      </w:r>
      <w:r>
        <w:rPr>
          <w:i/>
        </w:rPr>
        <w:t xml:space="preserve"> </w:t>
      </w:r>
      <w:r w:rsidRPr="0001765C">
        <w:rPr>
          <w:i/>
        </w:rPr>
        <w:t>Annual</w:t>
      </w:r>
      <w:r w:rsidRPr="0001765C">
        <w:t xml:space="preserve"> (eds. A. Perry, P. Wyns, T. Gaston</w:t>
      </w:r>
      <w:r>
        <w:t>;</w:t>
      </w:r>
      <w:r w:rsidRPr="0001765C">
        <w:t xml:space="preserve"> </w:t>
      </w:r>
      <w:r>
        <w:t xml:space="preserve">Sunderland: </w:t>
      </w:r>
      <w:r w:rsidRPr="0001765C">
        <w:t>Willow Publications, 2009),</w:t>
      </w:r>
      <w:r>
        <w:t xml:space="preserve"> </w:t>
      </w:r>
      <w:r w:rsidRPr="0001765C">
        <w:t>154-163</w:t>
      </w:r>
      <w:r>
        <w:t>.</w:t>
      </w:r>
    </w:p>
  </w:footnote>
  <w:footnote w:id="40">
    <w:p w:rsidR="00FB0788" w:rsidRPr="003E0F2A" w:rsidRDefault="00FB0788" w:rsidP="00360107">
      <w:pPr>
        <w:pStyle w:val="FootnoteText"/>
      </w:pPr>
      <w:r w:rsidRPr="003E0F2A">
        <w:rPr>
          <w:rStyle w:val="FootnoteReference"/>
          <w:sz w:val="28"/>
        </w:rPr>
        <w:footnoteRef/>
      </w:r>
      <w:r w:rsidRPr="003E0F2A">
        <w:t xml:space="preserve"> Egypt is called the </w:t>
      </w:r>
      <w:r>
        <w:t>“</w:t>
      </w:r>
      <w:r w:rsidRPr="003E0F2A">
        <w:t>house of bondage</w:t>
      </w:r>
      <w:r>
        <w:t>”</w:t>
      </w:r>
      <w:r w:rsidRPr="003E0F2A">
        <w:t xml:space="preserve"> thirteen times in Exodus.</w:t>
      </w:r>
    </w:p>
  </w:footnote>
  <w:footnote w:id="41">
    <w:p w:rsidR="00FB0788" w:rsidRPr="003E0F2A" w:rsidRDefault="00FB0788" w:rsidP="00360107">
      <w:pPr>
        <w:pStyle w:val="FootnoteText"/>
      </w:pPr>
      <w:r w:rsidRPr="003E0F2A">
        <w:rPr>
          <w:rStyle w:val="FootnoteReference"/>
          <w:sz w:val="28"/>
        </w:rPr>
        <w:footnoteRef/>
      </w:r>
      <w:r w:rsidRPr="003E0F2A">
        <w:t xml:space="preserve"> See</w:t>
      </w:r>
      <w:r>
        <w:t xml:space="preserve"> the chapters,</w:t>
      </w:r>
      <w:r w:rsidRPr="003E0F2A">
        <w:t xml:space="preserve"> </w:t>
      </w:r>
      <w:r>
        <w:t>“</w:t>
      </w:r>
      <w:r w:rsidRPr="003E0F2A">
        <w:t>Israel</w:t>
      </w:r>
      <w:r>
        <w:t>’</w:t>
      </w:r>
      <w:r w:rsidRPr="003E0F2A">
        <w:t xml:space="preserve">s </w:t>
      </w:r>
      <w:r>
        <w:t>A</w:t>
      </w:r>
      <w:r w:rsidRPr="003E0F2A">
        <w:t xml:space="preserve">ncient Passover </w:t>
      </w:r>
      <w:r>
        <w:t>E</w:t>
      </w:r>
      <w:r w:rsidRPr="003E0F2A">
        <w:t>xperience</w:t>
      </w:r>
      <w:r>
        <w:t>”</w:t>
      </w:r>
      <w:r w:rsidRPr="003E0F2A">
        <w:t xml:space="preserve"> and </w:t>
      </w:r>
      <w:r>
        <w:t>“</w:t>
      </w:r>
      <w:r w:rsidRPr="003E0F2A">
        <w:t xml:space="preserve">Jerusalem </w:t>
      </w:r>
      <w:r>
        <w:t>D</w:t>
      </w:r>
      <w:r w:rsidRPr="003E0F2A">
        <w:t>elivered at Passover</w:t>
      </w:r>
      <w:r>
        <w:t>”</w:t>
      </w:r>
      <w:r w:rsidRPr="003E0F2A">
        <w:t xml:space="preserve"> in H.</w:t>
      </w:r>
      <w:r>
        <w:t xml:space="preserve"> </w:t>
      </w:r>
      <w:r w:rsidRPr="003E0F2A">
        <w:t>A. Whittaker,</w:t>
      </w:r>
      <w:r>
        <w:t xml:space="preserve"> </w:t>
      </w:r>
      <w:r w:rsidRPr="00F949EA">
        <w:rPr>
          <w:i/>
        </w:rPr>
        <w:t>Isaiah</w:t>
      </w:r>
      <w:r>
        <w:t xml:space="preserve"> </w:t>
      </w:r>
      <w:r w:rsidRPr="003E0F2A">
        <w:t>(</w:t>
      </w:r>
      <w:r>
        <w:t xml:space="preserve">Cannock: </w:t>
      </w:r>
      <w:r w:rsidRPr="003E0F2A">
        <w:t>Biblia, reprint 2000),</w:t>
      </w:r>
      <w:r>
        <w:t xml:space="preserve"> </w:t>
      </w:r>
      <w:r w:rsidRPr="003E0F2A">
        <w:t>50-53</w:t>
      </w:r>
      <w:r>
        <w:t xml:space="preserve">. See also the defence and then criticism of this proposal in P. Wyns, “Passover Deliverance in 701” </w:t>
      </w:r>
      <w:r w:rsidRPr="007F77F1">
        <w:rPr>
          <w:i/>
        </w:rPr>
        <w:t>CeJBI</w:t>
      </w:r>
      <w:r>
        <w:t xml:space="preserve"> (Jan 2011): 50-61; A. Perry, “Dating the Deliverance of Jerusalem” </w:t>
      </w:r>
      <w:r w:rsidRPr="007F77F1">
        <w:rPr>
          <w:i/>
        </w:rPr>
        <w:t>CeJBI</w:t>
      </w:r>
      <w:r>
        <w:t xml:space="preserve"> (Jan 2011): 62-71.</w:t>
      </w:r>
    </w:p>
  </w:footnote>
  <w:footnote w:id="42">
    <w:p w:rsidR="00FB0788" w:rsidRPr="00121029" w:rsidRDefault="00FB0788" w:rsidP="00D2145C">
      <w:pPr>
        <w:rPr>
          <w:rFonts w:ascii="Arial" w:hAnsi="Arial"/>
          <w:sz w:val="22"/>
          <w:lang w:val="en-AU"/>
        </w:rPr>
      </w:pPr>
      <w:r w:rsidRPr="00121029">
        <w:rPr>
          <w:rStyle w:val="FootnoteReference"/>
          <w:szCs w:val="28"/>
        </w:rPr>
        <w:footnoteRef/>
      </w:r>
      <w:r w:rsidRPr="00121029">
        <w:rPr>
          <w:szCs w:val="28"/>
        </w:rPr>
        <w:t xml:space="preserve"> These messengers have charge over the dispensation of death and evil. They are not evil for they are God</w:t>
      </w:r>
      <w:r>
        <w:rPr>
          <w:szCs w:val="28"/>
        </w:rPr>
        <w:t>’</w:t>
      </w:r>
      <w:r w:rsidRPr="00121029">
        <w:rPr>
          <w:szCs w:val="28"/>
        </w:rPr>
        <w:t>s messengers.</w:t>
      </w:r>
    </w:p>
  </w:footnote>
  <w:footnote w:id="43">
    <w:p w:rsidR="00FB0788" w:rsidRPr="00121029" w:rsidRDefault="00FB0788" w:rsidP="00D2145C">
      <w:pPr>
        <w:rPr>
          <w:szCs w:val="28"/>
          <w:lang w:val="en-AU"/>
        </w:rPr>
      </w:pPr>
      <w:r w:rsidRPr="00121029">
        <w:rPr>
          <w:rStyle w:val="FootnoteReference"/>
          <w:szCs w:val="28"/>
        </w:rPr>
        <w:footnoteRef/>
      </w:r>
      <w:r w:rsidRPr="00121029">
        <w:rPr>
          <w:szCs w:val="28"/>
        </w:rPr>
        <w:t xml:space="preserve"> </w:t>
      </w:r>
      <w:r w:rsidRPr="00121029">
        <w:rPr>
          <w:iCs/>
          <w:szCs w:val="28"/>
          <w:lang w:val="en-AU"/>
        </w:rPr>
        <w:t xml:space="preserve">R. Feldmeier, </w:t>
      </w:r>
      <w:r>
        <w:rPr>
          <w:iCs/>
          <w:szCs w:val="28"/>
          <w:lang w:val="en-AU"/>
        </w:rPr>
        <w:t>“</w:t>
      </w:r>
      <w:r w:rsidRPr="00121029">
        <w:rPr>
          <w:iCs/>
          <w:szCs w:val="28"/>
          <w:lang w:val="en-AU"/>
        </w:rPr>
        <w:t>Kosmokrator</w:t>
      </w:r>
      <w:r>
        <w:rPr>
          <w:iCs/>
          <w:szCs w:val="28"/>
          <w:lang w:val="en-AU"/>
        </w:rPr>
        <w:t>”</w:t>
      </w:r>
      <w:r w:rsidRPr="00121029">
        <w:rPr>
          <w:iCs/>
          <w:szCs w:val="28"/>
          <w:lang w:val="en-AU"/>
        </w:rPr>
        <w:t xml:space="preserve">, </w:t>
      </w:r>
      <w:r w:rsidRPr="00121029">
        <w:rPr>
          <w:i/>
          <w:iCs/>
          <w:szCs w:val="28"/>
          <w:lang w:val="en-AU"/>
        </w:rPr>
        <w:t>Dictionary of Deities and Demons in the Bible</w:t>
      </w:r>
      <w:r w:rsidRPr="00121029">
        <w:rPr>
          <w:iCs/>
          <w:szCs w:val="28"/>
          <w:lang w:val="en-AU"/>
        </w:rPr>
        <w:t xml:space="preserve"> (eds. K. van der Toorn, Bob Becki</w:t>
      </w:r>
      <w:r>
        <w:rPr>
          <w:iCs/>
          <w:szCs w:val="28"/>
          <w:lang w:val="en-AU"/>
        </w:rPr>
        <w:t>ng, Pieter Willem van der Horst;</w:t>
      </w:r>
      <w:r w:rsidRPr="00121029">
        <w:rPr>
          <w:szCs w:val="28"/>
        </w:rPr>
        <w:t xml:space="preserve"> </w:t>
      </w:r>
      <w:r>
        <w:rPr>
          <w:szCs w:val="28"/>
        </w:rPr>
        <w:t xml:space="preserve">Grand Rapids: </w:t>
      </w:r>
      <w:r w:rsidRPr="00121029">
        <w:rPr>
          <w:szCs w:val="28"/>
        </w:rPr>
        <w:t>Eerdmans</w:t>
      </w:r>
      <w:r>
        <w:rPr>
          <w:szCs w:val="28"/>
        </w:rPr>
        <w:t>,</w:t>
      </w:r>
      <w:r w:rsidRPr="00121029">
        <w:rPr>
          <w:szCs w:val="28"/>
        </w:rPr>
        <w:t xml:space="preserve"> 1999)</w:t>
      </w:r>
      <w:r w:rsidRPr="00121029">
        <w:rPr>
          <w:iCs/>
          <w:szCs w:val="28"/>
          <w:lang w:val="en-AU"/>
        </w:rPr>
        <w:t>, 908-9</w:t>
      </w:r>
      <w:r>
        <w:rPr>
          <w:iCs/>
          <w:szCs w:val="28"/>
          <w:lang w:val="en-AU"/>
        </w:rPr>
        <w:t>.</w:t>
      </w:r>
    </w:p>
    <w:p w:rsidR="00FB0788" w:rsidRPr="00DC197A" w:rsidRDefault="00FB0788" w:rsidP="00360107">
      <w:pPr>
        <w:pStyle w:val="FootnoteText"/>
      </w:pPr>
    </w:p>
  </w:footnote>
  <w:footnote w:id="44">
    <w:p w:rsidR="00FB0788" w:rsidRPr="008718D1" w:rsidRDefault="00FB0788" w:rsidP="00D2145C">
      <w:pPr>
        <w:rPr>
          <w:szCs w:val="28"/>
          <w:lang w:val="en-AU"/>
        </w:rPr>
      </w:pPr>
      <w:r w:rsidRPr="008718D1">
        <w:rPr>
          <w:rStyle w:val="FootnoteReference"/>
          <w:szCs w:val="28"/>
        </w:rPr>
        <w:footnoteRef/>
      </w:r>
      <w:r w:rsidRPr="008718D1">
        <w:rPr>
          <w:szCs w:val="28"/>
        </w:rPr>
        <w:t xml:space="preserve"> </w:t>
      </w:r>
      <w:r w:rsidRPr="008718D1">
        <w:rPr>
          <w:szCs w:val="28"/>
          <w:lang w:val="en-AU"/>
        </w:rPr>
        <w:t>This is no doubt a midrash on Nebuchadnezzar</w:t>
      </w:r>
      <w:r>
        <w:rPr>
          <w:szCs w:val="28"/>
          <w:lang w:val="en-AU"/>
        </w:rPr>
        <w:t>’</w:t>
      </w:r>
      <w:r w:rsidRPr="008718D1">
        <w:rPr>
          <w:szCs w:val="28"/>
          <w:lang w:val="en-AU"/>
        </w:rPr>
        <w:t>s dream in Daniel 4:</w:t>
      </w:r>
      <w:r w:rsidRPr="008718D1">
        <w:rPr>
          <w:b/>
          <w:bCs/>
          <w:szCs w:val="28"/>
        </w:rPr>
        <w:t xml:space="preserve"> </w:t>
      </w:r>
      <w:r w:rsidRPr="008718D1">
        <w:rPr>
          <w:szCs w:val="28"/>
          <w:lang w:val="en-AU"/>
        </w:rPr>
        <w:t xml:space="preserve"> </w:t>
      </w:r>
      <w:r>
        <w:rPr>
          <w:szCs w:val="28"/>
          <w:lang w:val="en-AU"/>
        </w:rPr>
        <w:t>“</w:t>
      </w:r>
      <w:r w:rsidRPr="008718D1">
        <w:rPr>
          <w:szCs w:val="28"/>
          <w:lang w:val="en-AU"/>
        </w:rPr>
        <w:t xml:space="preserve">The tree grew and became strong; its height reached to the heavens, </w:t>
      </w:r>
      <w:r>
        <w:rPr>
          <w:szCs w:val="28"/>
          <w:lang w:val="en-AU"/>
        </w:rPr>
        <w:t>a</w:t>
      </w:r>
      <w:r w:rsidRPr="008718D1">
        <w:rPr>
          <w:szCs w:val="28"/>
          <w:lang w:val="en-AU"/>
        </w:rPr>
        <w:t>nd it could be seen to the ends of all the earth</w:t>
      </w:r>
      <w:r>
        <w:rPr>
          <w:szCs w:val="28"/>
          <w:lang w:val="en-AU"/>
        </w:rPr>
        <w:t>”</w:t>
      </w:r>
      <w:r w:rsidRPr="008718D1">
        <w:rPr>
          <w:szCs w:val="28"/>
          <w:lang w:val="en-AU"/>
        </w:rPr>
        <w:t xml:space="preserve">. God gave Nebuchadnezzar power over </w:t>
      </w:r>
      <w:r>
        <w:rPr>
          <w:szCs w:val="28"/>
          <w:lang w:val="en-AU"/>
        </w:rPr>
        <w:t>“</w:t>
      </w:r>
      <w:r w:rsidRPr="008718D1">
        <w:rPr>
          <w:szCs w:val="28"/>
          <w:lang w:val="en-AU"/>
        </w:rPr>
        <w:t>all the earth</w:t>
      </w:r>
      <w:r>
        <w:rPr>
          <w:szCs w:val="28"/>
          <w:lang w:val="en-AU"/>
        </w:rPr>
        <w:t>”</w:t>
      </w:r>
      <w:r w:rsidRPr="008718D1">
        <w:rPr>
          <w:szCs w:val="28"/>
          <w:lang w:val="en-AU"/>
        </w:rPr>
        <w:t>.</w:t>
      </w:r>
    </w:p>
    <w:p w:rsidR="00FB0788" w:rsidRPr="00B445CB" w:rsidRDefault="00FB0788" w:rsidP="00360107">
      <w:pPr>
        <w:pStyle w:val="FootnoteText"/>
      </w:pPr>
    </w:p>
  </w:footnote>
  <w:footnote w:id="45">
    <w:p w:rsidR="00FB0788" w:rsidRPr="009614F3" w:rsidRDefault="00FB0788" w:rsidP="00360107">
      <w:pPr>
        <w:pStyle w:val="FootnoteText"/>
      </w:pPr>
      <w:r w:rsidRPr="009614F3">
        <w:rPr>
          <w:rStyle w:val="FootnoteReference"/>
          <w:sz w:val="28"/>
        </w:rPr>
        <w:footnoteRef/>
      </w:r>
      <w:r>
        <w:t xml:space="preserve"> See</w:t>
      </w:r>
      <w:r w:rsidRPr="009614F3">
        <w:t xml:space="preserve"> P. Wyns, </w:t>
      </w:r>
      <w:r>
        <w:t>“</w:t>
      </w:r>
      <w:r w:rsidRPr="009614F3">
        <w:t>Jacobs New Name</w:t>
      </w:r>
      <w:r>
        <w:t>”</w:t>
      </w:r>
      <w:r w:rsidRPr="009614F3">
        <w:t xml:space="preserve"> </w:t>
      </w:r>
      <w:r>
        <w:t xml:space="preserve">in </w:t>
      </w:r>
      <w:r w:rsidRPr="009614F3">
        <w:t xml:space="preserve">the </w:t>
      </w:r>
      <w:r w:rsidRPr="008718D1">
        <w:rPr>
          <w:i/>
        </w:rPr>
        <w:t>Christadelphian EJournal of Biblical Interpretation: 2008 Annual</w:t>
      </w:r>
      <w:r w:rsidRPr="009614F3">
        <w:t xml:space="preserve"> (eds. A. Perry, P. Wyns</w:t>
      </w:r>
      <w:r>
        <w:t>;</w:t>
      </w:r>
      <w:r w:rsidRPr="009614F3">
        <w:t xml:space="preserve"> </w:t>
      </w:r>
      <w:r>
        <w:t xml:space="preserve">Sunderland: </w:t>
      </w:r>
      <w:r w:rsidRPr="009614F3">
        <w:t>Willow Publications, 200</w:t>
      </w:r>
      <w:r>
        <w:t>8</w:t>
      </w:r>
      <w:r w:rsidRPr="009614F3">
        <w:t>),</w:t>
      </w:r>
      <w:r>
        <w:t xml:space="preserve"> 95-100.</w:t>
      </w:r>
    </w:p>
    <w:p w:rsidR="00FB0788" w:rsidRPr="00B445CB" w:rsidRDefault="00FB0788" w:rsidP="00360107">
      <w:pPr>
        <w:pStyle w:val="FootnoteText"/>
      </w:pPr>
    </w:p>
  </w:footnote>
  <w:footnote w:id="46">
    <w:p w:rsidR="00FB0788" w:rsidRPr="009302A1" w:rsidRDefault="00FB0788" w:rsidP="00360107">
      <w:pPr>
        <w:pStyle w:val="FootnoteText"/>
        <w:rPr>
          <w:lang w:val="en-AU"/>
        </w:rPr>
      </w:pPr>
      <w:r w:rsidRPr="009302A1">
        <w:rPr>
          <w:rStyle w:val="FootnoteReference"/>
          <w:szCs w:val="24"/>
        </w:rPr>
        <w:footnoteRef/>
      </w:r>
      <w:r w:rsidRPr="009302A1">
        <w:t xml:space="preserve"> See, P. Wyns, </w:t>
      </w:r>
      <w:r>
        <w:t>“</w:t>
      </w:r>
      <w:r w:rsidRPr="009302A1">
        <w:t>El Shadday</w:t>
      </w:r>
      <w:r>
        <w:t>”</w:t>
      </w:r>
      <w:r w:rsidRPr="009302A1">
        <w:t xml:space="preserve"> in </w:t>
      </w:r>
      <w:proofErr w:type="gramStart"/>
      <w:r w:rsidRPr="009302A1">
        <w:rPr>
          <w:i/>
        </w:rPr>
        <w:t>The</w:t>
      </w:r>
      <w:proofErr w:type="gramEnd"/>
      <w:r w:rsidRPr="009302A1">
        <w:rPr>
          <w:i/>
        </w:rPr>
        <w:t xml:space="preserve"> Christadelphian EJournal of Biblical Interpretation</w:t>
      </w:r>
      <w:r>
        <w:rPr>
          <w:i/>
        </w:rPr>
        <w:t>: Annual 2010</w:t>
      </w:r>
      <w:r w:rsidRPr="009302A1">
        <w:t xml:space="preserve"> (eds. A. Perry, P. Wyns &amp; T. Gaston,</w:t>
      </w:r>
      <w:r>
        <w:t xml:space="preserve"> J. Adey; Sunderland: Willow Publications</w:t>
      </w:r>
      <w:r w:rsidRPr="009302A1">
        <w:t xml:space="preserve"> 2010)</w:t>
      </w:r>
      <w:r>
        <w:t>, 85-96.</w:t>
      </w:r>
    </w:p>
  </w:footnote>
  <w:footnote w:id="47">
    <w:p w:rsidR="005E0D2B" w:rsidRPr="00801CF8" w:rsidRDefault="005E0D2B" w:rsidP="005E0D2B">
      <w:pPr>
        <w:pStyle w:val="FootnoteText"/>
      </w:pPr>
      <w:r w:rsidRPr="00801CF8">
        <w:rPr>
          <w:rStyle w:val="FootnoteReference"/>
          <w:szCs w:val="24"/>
        </w:rPr>
        <w:footnoteRef/>
      </w:r>
      <w:r w:rsidRPr="00801CF8">
        <w:t xml:space="preserve"> The documentary hypothesis </w:t>
      </w:r>
      <w:r>
        <w:t xml:space="preserve">is a source theory about the Pentateuch that achieved </w:t>
      </w:r>
      <w:r w:rsidRPr="00801CF8">
        <w:t xml:space="preserve">its </w:t>
      </w:r>
      <w:r>
        <w:t xml:space="preserve">mature formulation in the work of </w:t>
      </w:r>
      <w:r w:rsidRPr="00801CF8">
        <w:t>J</w:t>
      </w:r>
      <w:r>
        <w:t>.</w:t>
      </w:r>
      <w:r w:rsidRPr="00801CF8">
        <w:t xml:space="preserve"> Wellhausen</w:t>
      </w:r>
      <w:r>
        <w:t xml:space="preserve"> (d. </w:t>
      </w:r>
      <w:r w:rsidRPr="00801CF8">
        <w:t>1918</w:t>
      </w:r>
      <w:r>
        <w:t>)</w:t>
      </w:r>
      <w:r w:rsidRPr="00801CF8">
        <w:t xml:space="preserve">. This </w:t>
      </w:r>
      <w:r>
        <w:t xml:space="preserve">theory proposed that the Pentateuch had </w:t>
      </w:r>
      <w:r w:rsidRPr="00801CF8">
        <w:t>basically four source documents:  (J) Yahwist</w:t>
      </w:r>
      <w:r>
        <w:t xml:space="preserve"> source</w:t>
      </w:r>
      <w:r w:rsidRPr="00801CF8">
        <w:t>, presumed to have been written about 850 B.C., (E) or Elohist</w:t>
      </w:r>
      <w:r>
        <w:t xml:space="preserve"> source</w:t>
      </w:r>
      <w:r w:rsidRPr="00801CF8">
        <w:t>, about 750 B.C., (D) or</w:t>
      </w:r>
      <w:r>
        <w:t xml:space="preserve"> </w:t>
      </w:r>
      <w:r w:rsidRPr="00801CF8">
        <w:t>Deuteronom</w:t>
      </w:r>
      <w:r>
        <w:t>istic source</w:t>
      </w:r>
      <w:r w:rsidRPr="00801CF8">
        <w:t xml:space="preserve"> about 620 B.C. and </w:t>
      </w:r>
      <w:r>
        <w:t xml:space="preserve">the priestly source </w:t>
      </w:r>
      <w:r w:rsidRPr="00801CF8">
        <w:t>(P) in the completed Pentateuch about 500 B.C.</w:t>
      </w:r>
      <w:r>
        <w:t xml:space="preserve"> Exod 6:3 is often employed as a “proof-text” for the documentary hypothesis. According to this theory the author of this verse was unaware that the Patriarchs employed the Yahweh name, and presumably the final editor of Exodus failed to correct the discrepancy. According to this theory this is evidence that the Pentateuch is a document compiled from different “sources”, some of them contradictory.    </w:t>
      </w:r>
    </w:p>
  </w:footnote>
  <w:footnote w:id="48">
    <w:p w:rsidR="00FB0788" w:rsidRPr="00E94F46" w:rsidRDefault="00FB0788" w:rsidP="00360107">
      <w:pPr>
        <w:pStyle w:val="FootnoteText"/>
        <w:rPr>
          <w:lang w:val="en-AU"/>
        </w:rPr>
      </w:pPr>
      <w:r w:rsidRPr="00161B53">
        <w:rPr>
          <w:rStyle w:val="FootnoteReference"/>
          <w:szCs w:val="24"/>
        </w:rPr>
        <w:footnoteRef/>
      </w:r>
      <w:r w:rsidRPr="00161B53">
        <w:t xml:space="preserve"> N</w:t>
      </w:r>
      <w:r>
        <w:t>.</w:t>
      </w:r>
      <w:r w:rsidRPr="00161B53">
        <w:t xml:space="preserve"> </w:t>
      </w:r>
      <w:r>
        <w:t xml:space="preserve">M. </w:t>
      </w:r>
      <w:r w:rsidRPr="00161B53">
        <w:t xml:space="preserve">Sarna, </w:t>
      </w:r>
      <w:r w:rsidRPr="00391EA7">
        <w:rPr>
          <w:i/>
        </w:rPr>
        <w:t>Exodus: The Traditional Hebrew Text with the New JPS Translation</w:t>
      </w:r>
      <w:r>
        <w:t xml:space="preserve"> (JP</w:t>
      </w:r>
      <w:r w:rsidRPr="00161B53">
        <w:t>S Torah</w:t>
      </w:r>
      <w:r>
        <w:t xml:space="preserve"> </w:t>
      </w:r>
      <w:r w:rsidRPr="00D2145C">
        <w:t>Commentary; Philadelphia: The Jewish Publication Society,</w:t>
      </w:r>
      <w:r>
        <w:t xml:space="preserve"> </w:t>
      </w:r>
      <w:r w:rsidRPr="00161B53">
        <w:t>1991),</w:t>
      </w:r>
      <w:r>
        <w:t xml:space="preserve"> </w:t>
      </w:r>
      <w:r w:rsidRPr="00161B53">
        <w:t>5</w:t>
      </w:r>
      <w:r>
        <w:t>.</w:t>
      </w:r>
    </w:p>
  </w:footnote>
  <w:footnote w:id="49">
    <w:p w:rsidR="00FB0788" w:rsidRPr="00D2145C" w:rsidRDefault="00FB0788" w:rsidP="00770446">
      <w:pPr>
        <w:pStyle w:val="Heading1"/>
        <w:spacing w:before="0"/>
        <w:rPr>
          <w:b w:val="0"/>
          <w:sz w:val="24"/>
          <w:lang w:val="en-AU"/>
        </w:rPr>
      </w:pPr>
      <w:r w:rsidRPr="00D2145C">
        <w:rPr>
          <w:rStyle w:val="FootnoteReference"/>
          <w:b w:val="0"/>
          <w:sz w:val="24"/>
        </w:rPr>
        <w:footnoteRef/>
      </w:r>
      <w:r w:rsidRPr="00D2145C">
        <w:rPr>
          <w:b w:val="0"/>
          <w:sz w:val="24"/>
        </w:rPr>
        <w:t xml:space="preserve"> </w:t>
      </w:r>
      <w:r w:rsidRPr="00D2145C">
        <w:rPr>
          <w:b w:val="0"/>
          <w:sz w:val="24"/>
          <w:lang w:val="en-AU" w:eastAsia="en-AU"/>
        </w:rPr>
        <w:t>T</w:t>
      </w:r>
      <w:r>
        <w:rPr>
          <w:b w:val="0"/>
          <w:sz w:val="24"/>
          <w:lang w:val="en-AU" w:eastAsia="en-AU"/>
        </w:rPr>
        <w:t>.</w:t>
      </w:r>
      <w:r w:rsidRPr="00D2145C">
        <w:rPr>
          <w:b w:val="0"/>
          <w:sz w:val="24"/>
          <w:lang w:val="en-AU" w:eastAsia="en-AU"/>
        </w:rPr>
        <w:t xml:space="preserve"> E. Fretheim, </w:t>
      </w:r>
      <w:r>
        <w:rPr>
          <w:b w:val="0"/>
          <w:sz w:val="24"/>
          <w:lang w:val="en-AU" w:eastAsia="en-AU"/>
        </w:rPr>
        <w:t>“</w:t>
      </w:r>
      <w:r w:rsidRPr="00025899">
        <w:rPr>
          <w:rFonts w:ascii="Bwhebb" w:hAnsi="Bwhebb" w:cs="Bwhebb"/>
          <w:b w:val="0"/>
          <w:color w:val="auto"/>
          <w:sz w:val="28"/>
          <w:szCs w:val="36"/>
          <w:lang w:eastAsia="en-GB" w:bidi="he-IL"/>
        </w:rPr>
        <w:t>[</w:t>
      </w:r>
      <w:proofErr w:type="spellStart"/>
      <w:r w:rsidRPr="00025899">
        <w:rPr>
          <w:rFonts w:ascii="Bwhebb" w:hAnsi="Bwhebb" w:cs="Bwhebb"/>
          <w:b w:val="0"/>
          <w:color w:val="auto"/>
          <w:sz w:val="28"/>
          <w:szCs w:val="36"/>
          <w:lang w:eastAsia="en-GB" w:bidi="he-IL"/>
        </w:rPr>
        <w:t>dy</w:t>
      </w:r>
      <w:proofErr w:type="spellEnd"/>
      <w:r>
        <w:rPr>
          <w:b w:val="0"/>
          <w:sz w:val="24"/>
          <w:lang w:val="en-AU" w:eastAsia="en-AU"/>
        </w:rPr>
        <w:t xml:space="preserve">” in the </w:t>
      </w:r>
      <w:r w:rsidRPr="00025899">
        <w:rPr>
          <w:b w:val="0"/>
          <w:i/>
          <w:sz w:val="24"/>
        </w:rPr>
        <w:t>New International Dictionary of Old Testament Theology and Exegesis</w:t>
      </w:r>
      <w:r w:rsidRPr="00D2145C">
        <w:rPr>
          <w:b w:val="0"/>
          <w:sz w:val="24"/>
        </w:rPr>
        <w:t>,</w:t>
      </w:r>
      <w:r>
        <w:rPr>
          <w:b w:val="0"/>
          <w:sz w:val="24"/>
          <w:lang w:eastAsia="en-AU"/>
        </w:rPr>
        <w:t xml:space="preserve"> </w:t>
      </w:r>
      <w:r w:rsidRPr="00D2145C">
        <w:rPr>
          <w:b w:val="0"/>
          <w:sz w:val="24"/>
          <w:lang w:val="en-AU" w:eastAsia="en-AU"/>
        </w:rPr>
        <w:t>(5 Vols</w:t>
      </w:r>
      <w:r>
        <w:rPr>
          <w:b w:val="0"/>
          <w:sz w:val="24"/>
          <w:lang w:val="en-AU" w:eastAsia="en-AU"/>
        </w:rPr>
        <w:t>;</w:t>
      </w:r>
      <w:r w:rsidRPr="00D2145C">
        <w:rPr>
          <w:b w:val="0"/>
          <w:sz w:val="24"/>
          <w:lang w:val="en-AU" w:eastAsia="en-AU"/>
        </w:rPr>
        <w:t xml:space="preserve"> ed., W</w:t>
      </w:r>
      <w:r>
        <w:rPr>
          <w:b w:val="0"/>
          <w:sz w:val="24"/>
          <w:lang w:val="en-AU" w:eastAsia="en-AU"/>
        </w:rPr>
        <w:t xml:space="preserve">. </w:t>
      </w:r>
      <w:r w:rsidRPr="00D2145C">
        <w:rPr>
          <w:b w:val="0"/>
          <w:sz w:val="24"/>
          <w:lang w:val="en-AU" w:eastAsia="en-AU"/>
        </w:rPr>
        <w:t>A. VanGemeren</w:t>
      </w:r>
      <w:r>
        <w:rPr>
          <w:b w:val="0"/>
          <w:sz w:val="24"/>
          <w:lang w:val="en-AU" w:eastAsia="en-AU"/>
        </w:rPr>
        <w:t xml:space="preserve">; Carlisle: Paternoster, </w:t>
      </w:r>
      <w:r w:rsidRPr="00D2145C">
        <w:rPr>
          <w:b w:val="0"/>
          <w:sz w:val="24"/>
        </w:rPr>
        <w:t>1997</w:t>
      </w:r>
      <w:r>
        <w:rPr>
          <w:b w:val="0"/>
          <w:sz w:val="24"/>
        </w:rPr>
        <w:t xml:space="preserve">), </w:t>
      </w:r>
      <w:r w:rsidRPr="00D2145C">
        <w:rPr>
          <w:b w:val="0"/>
          <w:sz w:val="24"/>
        </w:rPr>
        <w:t>2:</w:t>
      </w:r>
      <w:r>
        <w:rPr>
          <w:b w:val="0"/>
          <w:sz w:val="24"/>
          <w:lang w:val="en-AU" w:eastAsia="en-AU"/>
        </w:rPr>
        <w:t>409-414</w:t>
      </w:r>
      <w:r w:rsidRPr="00D2145C">
        <w:rPr>
          <w:b w:val="0"/>
          <w:sz w:val="24"/>
          <w:lang w:val="en-AU" w:eastAsia="en-AU"/>
        </w:rPr>
        <w:t>,</w:t>
      </w:r>
      <w:r>
        <w:rPr>
          <w:b w:val="0"/>
          <w:sz w:val="24"/>
          <w:lang w:val="en-AU" w:eastAsia="en-AU"/>
        </w:rPr>
        <w:t xml:space="preserve"> (</w:t>
      </w:r>
      <w:r w:rsidRPr="00D2145C">
        <w:rPr>
          <w:b w:val="0"/>
          <w:sz w:val="24"/>
          <w:lang w:val="en-AU" w:eastAsia="en-AU"/>
        </w:rPr>
        <w:t>410</w:t>
      </w:r>
      <w:r>
        <w:rPr>
          <w:b w:val="0"/>
          <w:sz w:val="24"/>
          <w:lang w:val="en-AU" w:eastAsia="en-AU"/>
        </w:rPr>
        <w:t>).</w:t>
      </w:r>
    </w:p>
  </w:footnote>
  <w:footnote w:id="50">
    <w:p w:rsidR="00FB0788" w:rsidRPr="00282DF7" w:rsidRDefault="00FB0788" w:rsidP="00360107">
      <w:pPr>
        <w:pStyle w:val="FootnoteText"/>
      </w:pPr>
      <w:r w:rsidRPr="00282DF7">
        <w:rPr>
          <w:rStyle w:val="FootnoteReference"/>
          <w:szCs w:val="24"/>
        </w:rPr>
        <w:footnoteRef/>
      </w:r>
      <w:r w:rsidRPr="00282DF7">
        <w:t xml:space="preserve"> R</w:t>
      </w:r>
      <w:r>
        <w:t xml:space="preserve">. Rendtorff, </w:t>
      </w:r>
      <w:proofErr w:type="gramStart"/>
      <w:r w:rsidRPr="0027648A">
        <w:rPr>
          <w:i/>
        </w:rPr>
        <w:t>The</w:t>
      </w:r>
      <w:proofErr w:type="gramEnd"/>
      <w:r w:rsidRPr="0027648A">
        <w:rPr>
          <w:i/>
        </w:rPr>
        <w:t xml:space="preserve"> Covenant Formula: an Exegetical and Theological Investigation</w:t>
      </w:r>
      <w:r>
        <w:rPr>
          <w:i/>
        </w:rPr>
        <w:t xml:space="preserve"> </w:t>
      </w:r>
      <w:r w:rsidRPr="00282DF7">
        <w:t>(</w:t>
      </w:r>
      <w:r>
        <w:t>Edinburgh: T &amp; T Clark, 1998)</w:t>
      </w:r>
      <w:r w:rsidRPr="00282DF7">
        <w:t>,</w:t>
      </w:r>
      <w:r>
        <w:t xml:space="preserve"> </w:t>
      </w:r>
      <w:r w:rsidRPr="00282DF7">
        <w:t>15-17</w:t>
      </w:r>
      <w:r>
        <w:t xml:space="preserve">. </w:t>
      </w:r>
      <w:r w:rsidRPr="00282DF7">
        <w:t>I have summarise</w:t>
      </w:r>
      <w:r>
        <w:t>d</w:t>
      </w:r>
      <w:r w:rsidRPr="00282DF7">
        <w:t xml:space="preserve"> the analysis that he presents on pages 15-17 </w:t>
      </w:r>
      <w:r>
        <w:t xml:space="preserve">in the form of </w:t>
      </w:r>
      <w:r w:rsidRPr="00282DF7">
        <w:t xml:space="preserve">a table. </w:t>
      </w:r>
    </w:p>
  </w:footnote>
  <w:footnote w:id="51">
    <w:p w:rsidR="00FB0788" w:rsidRPr="00C02899" w:rsidRDefault="00FB0788" w:rsidP="00360107">
      <w:pPr>
        <w:pStyle w:val="FootnoteText"/>
      </w:pPr>
      <w:r w:rsidRPr="00C46E9B">
        <w:rPr>
          <w:rStyle w:val="FootnoteReference"/>
          <w:szCs w:val="24"/>
        </w:rPr>
        <w:footnoteRef/>
      </w:r>
      <w:r w:rsidRPr="00C46E9B">
        <w:t xml:space="preserve"> See Elmer A. Martens, </w:t>
      </w:r>
      <w:r>
        <w:t>“Tackling Old Testament Theology”</w:t>
      </w:r>
      <w:r w:rsidRPr="00C46E9B">
        <w:t xml:space="preserve"> </w:t>
      </w:r>
      <w:r w:rsidRPr="0027648A">
        <w:rPr>
          <w:i/>
        </w:rPr>
        <w:t>JETS</w:t>
      </w:r>
      <w:r w:rsidRPr="00C46E9B">
        <w:t xml:space="preserve"> 20 (1977):</w:t>
      </w:r>
      <w:r>
        <w:t xml:space="preserve"> </w:t>
      </w:r>
      <w:r w:rsidRPr="00C46E9B">
        <w:t>123-132,</w:t>
      </w:r>
      <w:r>
        <w:t xml:space="preserve"> who views the pericope of Exod</w:t>
      </w:r>
      <w:r w:rsidRPr="00C46E9B">
        <w:t xml:space="preserve"> 5:22-6:8 and the identity of Yahweh as the unifying theme of Old Testament theology. </w:t>
      </w:r>
    </w:p>
  </w:footnote>
  <w:footnote w:id="52">
    <w:p w:rsidR="00FB0788" w:rsidRPr="006C3A00" w:rsidRDefault="00FB0788" w:rsidP="00360107">
      <w:pPr>
        <w:pStyle w:val="FootnoteText"/>
      </w:pPr>
      <w:r w:rsidRPr="006C3A00">
        <w:rPr>
          <w:rStyle w:val="FootnoteReference"/>
          <w:szCs w:val="24"/>
        </w:rPr>
        <w:footnoteRef/>
      </w:r>
      <w:r w:rsidRPr="006C3A00">
        <w:t xml:space="preserve"> According to </w:t>
      </w:r>
      <w:r>
        <w:t xml:space="preserve">S. D. </w:t>
      </w:r>
      <w:r w:rsidRPr="006C3A00">
        <w:t xml:space="preserve">Glisson the preposition </w:t>
      </w:r>
      <w:r w:rsidRPr="006C3A00">
        <w:rPr>
          <w:i/>
        </w:rPr>
        <w:t>b</w:t>
      </w:r>
      <w:r w:rsidRPr="006C3A00">
        <w:t xml:space="preserve"> in the phrase </w:t>
      </w:r>
      <w:r w:rsidRPr="006C3A00">
        <w:rPr>
          <w:i/>
        </w:rPr>
        <w:t xml:space="preserve">be </w:t>
      </w:r>
      <w:r>
        <w:rPr>
          <w:i/>
        </w:rPr>
        <w:t>‘</w:t>
      </w:r>
      <w:r w:rsidRPr="006C3A00">
        <w:rPr>
          <w:i/>
        </w:rPr>
        <w:t xml:space="preserve">el </w:t>
      </w:r>
      <w:proofErr w:type="spellStart"/>
      <w:r w:rsidRPr="006C3A00">
        <w:rPr>
          <w:i/>
        </w:rPr>
        <w:t>shaddai</w:t>
      </w:r>
      <w:proofErr w:type="spellEnd"/>
      <w:r>
        <w:t xml:space="preserve">, </w:t>
      </w:r>
      <w:r w:rsidRPr="006C3A00">
        <w:t xml:space="preserve">which can mean </w:t>
      </w:r>
      <w:r>
        <w:t>“</w:t>
      </w:r>
      <w:r w:rsidRPr="006C3A00">
        <w:t>in the capacity of</w:t>
      </w:r>
      <w:r>
        <w:t>”</w:t>
      </w:r>
      <w:r w:rsidRPr="006C3A00">
        <w:t xml:space="preserve">, acts as a governing preposition for both nouns. The reading is achieved when this is placed alongside </w:t>
      </w:r>
      <w:proofErr w:type="spellStart"/>
      <w:r w:rsidRPr="006C3A00">
        <w:rPr>
          <w:i/>
        </w:rPr>
        <w:t>shemi</w:t>
      </w:r>
      <w:proofErr w:type="spellEnd"/>
      <w:r w:rsidRPr="006C3A00">
        <w:t xml:space="preserve"> (name) in the sense of </w:t>
      </w:r>
      <w:r>
        <w:t>“</w:t>
      </w:r>
      <w:r w:rsidRPr="006C3A00">
        <w:t>my reputation, fame, or character.</w:t>
      </w:r>
      <w:r>
        <w:t>”</w:t>
      </w:r>
      <w:r w:rsidRPr="006C3A00">
        <w:t xml:space="preserve"> S</w:t>
      </w:r>
      <w:r>
        <w:t>.</w:t>
      </w:r>
      <w:r w:rsidRPr="006C3A00">
        <w:t xml:space="preserve"> D. Glisson, </w:t>
      </w:r>
      <w:r>
        <w:t>“</w:t>
      </w:r>
      <w:r w:rsidRPr="006C3A00">
        <w:t>Exodus 6:3 in Pentateuchal Criticism</w:t>
      </w:r>
      <w:r>
        <w:t xml:space="preserve">” </w:t>
      </w:r>
      <w:r w:rsidRPr="00E41A3C">
        <w:rPr>
          <w:i/>
        </w:rPr>
        <w:t>Restoration Quarterly</w:t>
      </w:r>
      <w:r w:rsidRPr="006C3A00">
        <w:t xml:space="preserve"> 28.3,</w:t>
      </w:r>
      <w:r>
        <w:t xml:space="preserve"> (</w:t>
      </w:r>
      <w:r w:rsidRPr="006C3A00">
        <w:t>1985/86</w:t>
      </w:r>
      <w:r>
        <w:t xml:space="preserve">): </w:t>
      </w:r>
      <w:r w:rsidRPr="006C3A00">
        <w:t>135-43,</w:t>
      </w:r>
      <w:r>
        <w:t xml:space="preserve"> (</w:t>
      </w:r>
      <w:r w:rsidRPr="006C3A00">
        <w:t>141</w:t>
      </w:r>
      <w:r>
        <w:t>).</w:t>
      </w:r>
    </w:p>
  </w:footnote>
  <w:footnote w:id="53">
    <w:p w:rsidR="00FB0788" w:rsidRPr="00EE00ED" w:rsidRDefault="00FB0788" w:rsidP="00360107">
      <w:pPr>
        <w:pStyle w:val="FootnoteText"/>
      </w:pPr>
      <w:r w:rsidRPr="00EE00ED">
        <w:rPr>
          <w:rStyle w:val="FootnoteReference"/>
          <w:szCs w:val="24"/>
        </w:rPr>
        <w:footnoteRef/>
      </w:r>
      <w:r w:rsidRPr="00EE00ED">
        <w:t xml:space="preserve"> See H</w:t>
      </w:r>
      <w:r>
        <w:t>.</w:t>
      </w:r>
      <w:r w:rsidRPr="00EE00ED">
        <w:t xml:space="preserve"> G</w:t>
      </w:r>
      <w:r>
        <w:t>.</w:t>
      </w:r>
      <w:r w:rsidRPr="00EE00ED">
        <w:t xml:space="preserve"> Mitchell, </w:t>
      </w:r>
      <w:r>
        <w:t>“</w:t>
      </w:r>
      <w:r w:rsidRPr="00EE00ED">
        <w:t>The Omission of the Interrogative Particle,</w:t>
      </w:r>
      <w:r>
        <w:t>”</w:t>
      </w:r>
      <w:r w:rsidRPr="00EE00ED">
        <w:t xml:space="preserve"> in </w:t>
      </w:r>
      <w:r w:rsidRPr="00E41A3C">
        <w:rPr>
          <w:i/>
        </w:rPr>
        <w:t>Old Testament and Semitic Studies in Memory of William Rainey Harper</w:t>
      </w:r>
      <w:r w:rsidRPr="00EE00ED">
        <w:t xml:space="preserve">, </w:t>
      </w:r>
      <w:r>
        <w:t xml:space="preserve">(2 vols; </w:t>
      </w:r>
      <w:r w:rsidRPr="00EE00ED">
        <w:t>ed. R</w:t>
      </w:r>
      <w:r>
        <w:t xml:space="preserve">. </w:t>
      </w:r>
      <w:r w:rsidRPr="00EE00ED">
        <w:t>F</w:t>
      </w:r>
      <w:r>
        <w:t xml:space="preserve">. </w:t>
      </w:r>
      <w:r w:rsidRPr="00EE00ED">
        <w:t>Harper, F</w:t>
      </w:r>
      <w:r>
        <w:t>.</w:t>
      </w:r>
      <w:r w:rsidRPr="00EE00ED">
        <w:t xml:space="preserve"> Brown, and G</w:t>
      </w:r>
      <w:r>
        <w:t>.</w:t>
      </w:r>
      <w:r w:rsidRPr="00EE00ED">
        <w:t xml:space="preserve"> F</w:t>
      </w:r>
      <w:r>
        <w:t>.</w:t>
      </w:r>
      <w:r w:rsidRPr="00EE00ED">
        <w:t xml:space="preserve"> Moore</w:t>
      </w:r>
      <w:r>
        <w:t xml:space="preserve">; </w:t>
      </w:r>
      <w:r w:rsidRPr="00EE00ED">
        <w:t>Chicago: University of Chicago Press, 1908),</w:t>
      </w:r>
      <w:r>
        <w:t xml:space="preserve"> 1:</w:t>
      </w:r>
      <w:r w:rsidRPr="00EE00ED">
        <w:t>115-129, who restricts the number of occurrences in the Old Testament to 39, of which he attributes 12 or 17 to a corruption of the text. L. A</w:t>
      </w:r>
      <w:r>
        <w:t>.</w:t>
      </w:r>
      <w:r w:rsidRPr="00EE00ED">
        <w:t xml:space="preserve"> Heerboth, </w:t>
      </w:r>
      <w:r>
        <w:t>“</w:t>
      </w:r>
      <w:r w:rsidRPr="00EE00ED">
        <w:t>Was God Known to the Patriarchs as Jehovah?</w:t>
      </w:r>
      <w:r>
        <w:t>”</w:t>
      </w:r>
      <w:r w:rsidRPr="00EE00ED">
        <w:t xml:space="preserve"> </w:t>
      </w:r>
      <w:r w:rsidRPr="001C4F4E">
        <w:rPr>
          <w:i/>
        </w:rPr>
        <w:t>Concordia Theological Monthly</w:t>
      </w:r>
      <w:r w:rsidRPr="00EE00ED">
        <w:t xml:space="preserve"> 4 (1933):</w:t>
      </w:r>
      <w:r>
        <w:t xml:space="preserve"> </w:t>
      </w:r>
      <w:r w:rsidRPr="00EE00ED">
        <w:t>345-349</w:t>
      </w:r>
      <w:r>
        <w:t>.</w:t>
      </w:r>
    </w:p>
  </w:footnote>
  <w:footnote w:id="54">
    <w:p w:rsidR="00FB0788" w:rsidRPr="004F4126" w:rsidRDefault="00FB0788" w:rsidP="00360107">
      <w:pPr>
        <w:pStyle w:val="FootnoteText"/>
      </w:pPr>
      <w:r w:rsidRPr="004F4126">
        <w:rPr>
          <w:rStyle w:val="FootnoteReference"/>
          <w:szCs w:val="24"/>
        </w:rPr>
        <w:footnoteRef/>
      </w:r>
      <w:r w:rsidRPr="004F4126">
        <w:t xml:space="preserve"> Jesus Christ was the descendant of Abraham who did as Abraham charged</w:t>
      </w:r>
      <w:r>
        <w:t>.</w:t>
      </w:r>
      <w:r w:rsidRPr="004F4126">
        <w:t xml:space="preserve"> Contrast </w:t>
      </w:r>
      <w:r w:rsidRPr="004F4126">
        <w:rPr>
          <w:rFonts w:eastAsiaTheme="minorHAnsi"/>
          <w:bCs/>
        </w:rPr>
        <w:t>John 8:39:</w:t>
      </w:r>
      <w:r w:rsidRPr="004F4126">
        <w:t xml:space="preserve"> </w:t>
      </w:r>
      <w:r>
        <w:t>“</w:t>
      </w:r>
      <w:r w:rsidRPr="004F4126">
        <w:rPr>
          <w:rFonts w:eastAsiaTheme="minorHAnsi"/>
        </w:rPr>
        <w:t>If you were Abraham</w:t>
      </w:r>
      <w:r>
        <w:rPr>
          <w:rFonts w:eastAsiaTheme="minorHAnsi"/>
        </w:rPr>
        <w:t>’</w:t>
      </w:r>
      <w:r w:rsidRPr="004F4126">
        <w:rPr>
          <w:rFonts w:eastAsiaTheme="minorHAnsi"/>
        </w:rPr>
        <w:t>s children, you would do the works of Abraham</w:t>
      </w:r>
      <w:r>
        <w:rPr>
          <w:rFonts w:eastAsiaTheme="minorHAnsi"/>
        </w:rPr>
        <w:t>”.</w:t>
      </w:r>
    </w:p>
  </w:footnote>
  <w:footnote w:id="55">
    <w:p w:rsidR="00FB0788" w:rsidRPr="00783C01" w:rsidRDefault="00FB0788" w:rsidP="00360107">
      <w:pPr>
        <w:pStyle w:val="FootnoteText"/>
      </w:pPr>
      <w:r w:rsidRPr="00783C01">
        <w:rPr>
          <w:rStyle w:val="FootnoteReference"/>
          <w:szCs w:val="24"/>
        </w:rPr>
        <w:footnoteRef/>
      </w:r>
      <w:r w:rsidRPr="00783C01">
        <w:t xml:space="preserve"> The themes of </w:t>
      </w:r>
      <w:r>
        <w:t>“</w:t>
      </w:r>
      <w:r w:rsidRPr="00783C01">
        <w:t>seeing</w:t>
      </w:r>
      <w:r>
        <w:t>”</w:t>
      </w:r>
      <w:r w:rsidRPr="00783C01">
        <w:t xml:space="preserve"> and </w:t>
      </w:r>
      <w:r>
        <w:t>“</w:t>
      </w:r>
      <w:r w:rsidRPr="00783C01">
        <w:t>knowing</w:t>
      </w:r>
      <w:r>
        <w:t>”</w:t>
      </w:r>
      <w:r w:rsidRPr="00783C01">
        <w:t xml:space="preserve"> are </w:t>
      </w:r>
      <w:r>
        <w:t>twin</w:t>
      </w:r>
      <w:r w:rsidRPr="003D1E34">
        <w:t>n</w:t>
      </w:r>
      <w:r>
        <w:t>ed and are often synonymous</w:t>
      </w:r>
      <w:r w:rsidRPr="00783C01">
        <w:t>.</w:t>
      </w:r>
    </w:p>
  </w:footnote>
  <w:footnote w:id="56">
    <w:p w:rsidR="00FB0788" w:rsidRPr="006E7526" w:rsidRDefault="00FB0788" w:rsidP="00360107">
      <w:pPr>
        <w:pStyle w:val="FootnoteText"/>
      </w:pPr>
      <w:r w:rsidRPr="006E7526">
        <w:rPr>
          <w:rStyle w:val="FootnoteReference"/>
          <w:szCs w:val="24"/>
        </w:rPr>
        <w:footnoteRef/>
      </w:r>
      <w:r w:rsidRPr="006E7526">
        <w:t xml:space="preserve"> The form of the verb </w:t>
      </w:r>
      <w:proofErr w:type="spellStart"/>
      <w:r w:rsidRPr="006E7526">
        <w:rPr>
          <w:i/>
        </w:rPr>
        <w:t>ginōskō</w:t>
      </w:r>
      <w:proofErr w:type="spellEnd"/>
      <w:r w:rsidRPr="006E7526">
        <w:t xml:space="preserve"> employed here is the indicative perfect active 2nd person singular.</w:t>
      </w:r>
    </w:p>
  </w:footnote>
  <w:footnote w:id="57">
    <w:p w:rsidR="00FB0788" w:rsidRPr="00BC1C23" w:rsidRDefault="00FB0788" w:rsidP="00D2145C">
      <w:pPr>
        <w:rPr>
          <w:lang w:val="en-AU"/>
        </w:rPr>
      </w:pPr>
      <w:r w:rsidRPr="006E7526">
        <w:rPr>
          <w:rStyle w:val="FootnoteReference"/>
        </w:rPr>
        <w:footnoteRef/>
      </w:r>
      <w:r w:rsidRPr="006E7526">
        <w:t xml:space="preserve"> </w:t>
      </w:r>
      <w:r>
        <w:t>“</w:t>
      </w:r>
      <w:r w:rsidRPr="006E7526">
        <w:t>T</w:t>
      </w:r>
      <w:r w:rsidRPr="006E7526">
        <w:rPr>
          <w:rFonts w:eastAsiaTheme="minorHAnsi"/>
          <w:lang w:val="en-AU"/>
        </w:rPr>
        <w:t xml:space="preserve">he Spirit of truth, whom the world cannot receive, because it neither </w:t>
      </w:r>
      <w:r w:rsidRPr="006E7526">
        <w:rPr>
          <w:rFonts w:eastAsiaTheme="minorHAnsi"/>
          <w:u w:val="single"/>
          <w:lang w:val="en-AU"/>
        </w:rPr>
        <w:t>sees Him nor knows Him</w:t>
      </w:r>
      <w:r w:rsidRPr="006E7526">
        <w:rPr>
          <w:rFonts w:eastAsiaTheme="minorHAnsi"/>
          <w:lang w:val="en-AU"/>
        </w:rPr>
        <w:t>; but you know Him, for He dwells with you and will be in you</w:t>
      </w:r>
      <w:r>
        <w:rPr>
          <w:rFonts w:eastAsiaTheme="minorHAnsi"/>
          <w:lang w:val="en-AU"/>
        </w:rPr>
        <w:t>”</w:t>
      </w:r>
      <w:r w:rsidRPr="006E7526">
        <w:rPr>
          <w:rFonts w:eastAsiaTheme="minorHAnsi"/>
          <w:lang w:val="en-AU"/>
        </w:rPr>
        <w:t xml:space="preserve">. </w:t>
      </w:r>
    </w:p>
  </w:footnote>
  <w:footnote w:id="58">
    <w:p w:rsidR="00FB0788" w:rsidRPr="00480575" w:rsidRDefault="00FB0788" w:rsidP="00D2145C">
      <w:pPr>
        <w:pStyle w:val="CommentText"/>
        <w:rPr>
          <w:lang w:val="en-AU"/>
        </w:rPr>
      </w:pPr>
      <w:r w:rsidRPr="00480575">
        <w:rPr>
          <w:rStyle w:val="FootnoteReference"/>
          <w:szCs w:val="24"/>
        </w:rPr>
        <w:footnoteRef/>
      </w:r>
      <w:r w:rsidRPr="00480575">
        <w:rPr>
          <w:rFonts w:ascii="Garamond" w:hAnsi="Garamond"/>
          <w:sz w:val="24"/>
          <w:szCs w:val="24"/>
        </w:rPr>
        <w:t xml:space="preserve"> Hebrew </w:t>
      </w:r>
      <w:r>
        <w:rPr>
          <w:rFonts w:ascii="Garamond" w:hAnsi="Garamond"/>
          <w:sz w:val="24"/>
          <w:szCs w:val="24"/>
        </w:rPr>
        <w:t>“</w:t>
      </w:r>
      <w:r w:rsidRPr="00480575">
        <w:rPr>
          <w:rFonts w:ascii="Garamond" w:hAnsi="Garamond"/>
          <w:sz w:val="24"/>
          <w:szCs w:val="24"/>
        </w:rPr>
        <w:t>cause me to know</w:t>
      </w:r>
      <w:r>
        <w:rPr>
          <w:rFonts w:ascii="Garamond" w:hAnsi="Garamond"/>
          <w:sz w:val="24"/>
          <w:szCs w:val="24"/>
        </w:rPr>
        <w:t>”</w:t>
      </w:r>
      <w:r w:rsidRPr="00480575">
        <w:rPr>
          <w:rFonts w:ascii="Garamond" w:hAnsi="Garamond"/>
          <w:sz w:val="24"/>
          <w:szCs w:val="24"/>
        </w:rPr>
        <w:t xml:space="preserve"> [Hiphil imperative of </w:t>
      </w:r>
      <w:proofErr w:type="spellStart"/>
      <w:r w:rsidRPr="00480575">
        <w:rPr>
          <w:rFonts w:ascii="Garamond" w:hAnsi="Garamond"/>
          <w:i/>
          <w:sz w:val="24"/>
          <w:szCs w:val="24"/>
        </w:rPr>
        <w:t>yada</w:t>
      </w:r>
      <w:proofErr w:type="spellEnd"/>
      <w:r w:rsidRPr="00480575">
        <w:rPr>
          <w:rFonts w:ascii="Garamond" w:hAnsi="Garamond"/>
          <w:i/>
          <w:sz w:val="24"/>
          <w:szCs w:val="24"/>
        </w:rPr>
        <w:t>`</w:t>
      </w:r>
      <w:r w:rsidRPr="00480575">
        <w:rPr>
          <w:rFonts w:ascii="Garamond" w:hAnsi="Garamond"/>
          <w:sz w:val="24"/>
          <w:szCs w:val="24"/>
        </w:rPr>
        <w:t>]</w:t>
      </w:r>
      <w:r>
        <w:rPr>
          <w:rFonts w:ascii="Garamond" w:hAnsi="Garamond"/>
          <w:sz w:val="24"/>
          <w:szCs w:val="24"/>
        </w:rPr>
        <w:t>.</w:t>
      </w:r>
    </w:p>
  </w:footnote>
  <w:footnote w:id="59">
    <w:p w:rsidR="00FB0788" w:rsidRPr="00595FE7" w:rsidRDefault="00FB0788" w:rsidP="00360107">
      <w:pPr>
        <w:pStyle w:val="FootnoteText"/>
      </w:pPr>
      <w:r w:rsidRPr="00E07B30">
        <w:rPr>
          <w:rStyle w:val="FootnoteReference"/>
          <w:szCs w:val="24"/>
        </w:rPr>
        <w:footnoteRef/>
      </w:r>
      <w:r w:rsidRPr="00E07B30">
        <w:t xml:space="preserve"> </w:t>
      </w:r>
      <w:r w:rsidRPr="00E07B30">
        <w:rPr>
          <w:rFonts w:eastAsiaTheme="minorHAnsi"/>
        </w:rPr>
        <w:t>In the mount of the L</w:t>
      </w:r>
      <w:r>
        <w:rPr>
          <w:rFonts w:eastAsiaTheme="minorHAnsi"/>
        </w:rPr>
        <w:t>ord</w:t>
      </w:r>
      <w:r w:rsidRPr="00E07B30">
        <w:rPr>
          <w:rFonts w:eastAsiaTheme="minorHAnsi"/>
        </w:rPr>
        <w:t xml:space="preserve"> it shall be seen (KJV). [Ed. JWA]: This is both a parabolic and a personal testing moment and the neuter </w:t>
      </w:r>
      <w:r>
        <w:rPr>
          <w:rFonts w:eastAsiaTheme="minorHAnsi"/>
        </w:rPr>
        <w:t>‘</w:t>
      </w:r>
      <w:r w:rsidRPr="00E07B30">
        <w:rPr>
          <w:rFonts w:eastAsiaTheme="minorHAnsi"/>
        </w:rPr>
        <w:t>it</w:t>
      </w:r>
      <w:r>
        <w:rPr>
          <w:rFonts w:eastAsiaTheme="minorHAnsi"/>
        </w:rPr>
        <w:t>’</w:t>
      </w:r>
      <w:r w:rsidRPr="00E07B30">
        <w:rPr>
          <w:rFonts w:eastAsiaTheme="minorHAnsi"/>
        </w:rPr>
        <w:t xml:space="preserve"> of KJV is not neutral but insensitive to the spirit of Christ associated with this. Also, in Hebrew there is no neuter to be the pronoun </w:t>
      </w:r>
      <w:r>
        <w:rPr>
          <w:rFonts w:eastAsiaTheme="minorHAnsi"/>
        </w:rPr>
        <w:t>‘</w:t>
      </w:r>
      <w:r w:rsidRPr="00E07B30">
        <w:rPr>
          <w:rFonts w:eastAsiaTheme="minorHAnsi"/>
        </w:rPr>
        <w:t>it</w:t>
      </w:r>
      <w:r>
        <w:rPr>
          <w:rFonts w:eastAsiaTheme="minorHAnsi"/>
        </w:rPr>
        <w:t>’</w:t>
      </w:r>
      <w:r w:rsidRPr="00E07B30">
        <w:rPr>
          <w:rFonts w:eastAsiaTheme="minorHAnsi"/>
        </w:rPr>
        <w:t xml:space="preserve">, but for the English sense (or sensibility!), literally reproducing </w:t>
      </w:r>
      <w:r>
        <w:rPr>
          <w:rFonts w:eastAsiaTheme="minorHAnsi"/>
        </w:rPr>
        <w:t>‘</w:t>
      </w:r>
      <w:r w:rsidRPr="00E07B30">
        <w:rPr>
          <w:rFonts w:eastAsiaTheme="minorHAnsi"/>
        </w:rPr>
        <w:t>he</w:t>
      </w:r>
      <w:r>
        <w:rPr>
          <w:rFonts w:eastAsiaTheme="minorHAnsi"/>
        </w:rPr>
        <w:t>’</w:t>
      </w:r>
      <w:r w:rsidRPr="00E07B30">
        <w:rPr>
          <w:rFonts w:eastAsiaTheme="minorHAnsi"/>
        </w:rPr>
        <w:t xml:space="preserve"> or </w:t>
      </w:r>
      <w:r>
        <w:rPr>
          <w:rFonts w:eastAsiaTheme="minorHAnsi"/>
        </w:rPr>
        <w:t>‘</w:t>
      </w:r>
      <w:r w:rsidRPr="00E07B30">
        <w:rPr>
          <w:rFonts w:eastAsiaTheme="minorHAnsi"/>
        </w:rPr>
        <w:t>she</w:t>
      </w:r>
      <w:r>
        <w:rPr>
          <w:rFonts w:eastAsiaTheme="minorHAnsi"/>
        </w:rPr>
        <w:t>’</w:t>
      </w:r>
      <w:r w:rsidRPr="00E07B30">
        <w:rPr>
          <w:rFonts w:eastAsiaTheme="minorHAnsi"/>
        </w:rPr>
        <w:t xml:space="preserve"> often does not seem appropriate. Sometimes, however, as in this Gen</w:t>
      </w:r>
      <w:r>
        <w:rPr>
          <w:rFonts w:eastAsiaTheme="minorHAnsi"/>
        </w:rPr>
        <w:t>esis</w:t>
      </w:r>
      <w:r w:rsidRPr="00E07B30">
        <w:rPr>
          <w:rFonts w:eastAsiaTheme="minorHAnsi"/>
        </w:rPr>
        <w:t xml:space="preserve"> 22 instance, featuring the gender of a term in translation connects with the non-linguistic identity whose gender is, on one reading, the male seed of Abraham. This being </w:t>
      </w:r>
      <w:r w:rsidRPr="00E07B30">
        <w:rPr>
          <w:rFonts w:eastAsiaTheme="minorHAnsi"/>
          <w:i/>
        </w:rPr>
        <w:t xml:space="preserve">he </w:t>
      </w:r>
      <w:r w:rsidRPr="00E07B30">
        <w:rPr>
          <w:rFonts w:eastAsiaTheme="minorHAnsi"/>
        </w:rPr>
        <w:t>whose day Abraham saw and rejoiced (Jo</w:t>
      </w:r>
      <w:r>
        <w:rPr>
          <w:rFonts w:eastAsiaTheme="minorHAnsi"/>
        </w:rPr>
        <w:t>hn</w:t>
      </w:r>
      <w:r w:rsidRPr="00E07B30">
        <w:rPr>
          <w:rFonts w:eastAsiaTheme="minorHAnsi"/>
        </w:rPr>
        <w:t xml:space="preserve"> 8:56).</w:t>
      </w:r>
    </w:p>
  </w:footnote>
  <w:footnote w:id="60">
    <w:p w:rsidR="00FB0788" w:rsidRPr="00BA074C" w:rsidRDefault="00FB0788" w:rsidP="002315A8">
      <w:pPr>
        <w:autoSpaceDE w:val="0"/>
        <w:autoSpaceDN w:val="0"/>
        <w:adjustRightInd w:val="0"/>
      </w:pPr>
      <w:r w:rsidRPr="00BA074C">
        <w:rPr>
          <w:rStyle w:val="FootnoteReference"/>
        </w:rPr>
        <w:footnoteRef/>
      </w:r>
      <w:r w:rsidRPr="00BA074C">
        <w:t xml:space="preserve"> </w:t>
      </w:r>
      <w:r w:rsidRPr="00BA074C">
        <w:rPr>
          <w:rFonts w:cs="Times-Roman"/>
          <w:lang w:val="en-GB" w:eastAsia="en-GB"/>
        </w:rPr>
        <w:t>For the historical setting of Psalm 72 and the significance of Solomon being the prophet through whom it was revealed see: P</w:t>
      </w:r>
      <w:r>
        <w:rPr>
          <w:rFonts w:cs="Times-Roman"/>
          <w:lang w:val="en-GB" w:eastAsia="en-GB"/>
        </w:rPr>
        <w:t>.</w:t>
      </w:r>
      <w:r w:rsidRPr="00BA074C">
        <w:rPr>
          <w:rFonts w:cs="Times-Roman"/>
          <w:lang w:val="en-GB" w:eastAsia="en-GB"/>
        </w:rPr>
        <w:t xml:space="preserve"> Heavyside, </w:t>
      </w:r>
      <w:r>
        <w:rPr>
          <w:rFonts w:cs="Times-Roman"/>
          <w:lang w:val="en-GB" w:eastAsia="en-GB"/>
        </w:rPr>
        <w:t>“</w:t>
      </w:r>
      <w:r w:rsidRPr="00BA074C">
        <w:rPr>
          <w:rFonts w:cs="Times-Italic"/>
          <w:iCs/>
          <w:lang w:val="en-GB" w:eastAsia="en-GB"/>
        </w:rPr>
        <w:t>Psalm 72: Prayer, Promise and Prophecy</w:t>
      </w:r>
      <w:r>
        <w:rPr>
          <w:rFonts w:cs="Times-Italic"/>
          <w:iCs/>
          <w:lang w:val="en-GB" w:eastAsia="en-GB"/>
        </w:rPr>
        <w:t>”</w:t>
      </w:r>
      <w:r w:rsidRPr="00BA074C">
        <w:rPr>
          <w:rFonts w:cs="Times-Roman"/>
          <w:lang w:val="en-GB" w:eastAsia="en-GB"/>
        </w:rPr>
        <w:t xml:space="preserve">, to be available at </w:t>
      </w:r>
      <w:r w:rsidRPr="00BA074C">
        <w:rPr>
          <w:rFonts w:cs="Times-Roman"/>
          <w:color w:val="auto"/>
          <w:u w:val="single"/>
          <w:lang w:val="en-GB" w:eastAsia="en-GB"/>
        </w:rPr>
        <w:t>www.globalorient.com</w:t>
      </w:r>
      <w:r w:rsidRPr="00BA074C">
        <w:rPr>
          <w:rFonts w:cs="Times-Roman"/>
          <w:color w:val="auto"/>
          <w:lang w:val="en-GB" w:eastAsia="en-GB"/>
        </w:rPr>
        <w:t>.</w:t>
      </w:r>
    </w:p>
  </w:footnote>
  <w:footnote w:id="61">
    <w:p w:rsidR="00FB0788" w:rsidRPr="00BA074C" w:rsidRDefault="00FB0788" w:rsidP="00BA074C">
      <w:pPr>
        <w:autoSpaceDE w:val="0"/>
        <w:autoSpaceDN w:val="0"/>
        <w:adjustRightInd w:val="0"/>
      </w:pPr>
      <w:r w:rsidRPr="00BA074C">
        <w:rPr>
          <w:rStyle w:val="FootnoteReference"/>
        </w:rPr>
        <w:footnoteRef/>
      </w:r>
      <w:r w:rsidRPr="00BA074C">
        <w:t xml:space="preserve"> </w:t>
      </w:r>
      <w:r w:rsidRPr="00BA074C">
        <w:rPr>
          <w:rFonts w:cs="Times-Roman"/>
          <w:color w:val="auto"/>
          <w:lang w:val="en-GB" w:eastAsia="en-GB"/>
        </w:rPr>
        <w:t xml:space="preserve">By </w:t>
      </w:r>
      <w:r>
        <w:rPr>
          <w:rFonts w:cs="Times-Roman"/>
          <w:color w:val="auto"/>
          <w:lang w:val="en-GB" w:eastAsia="en-GB"/>
        </w:rPr>
        <w:t>“</w:t>
      </w:r>
      <w:r w:rsidRPr="00BA074C">
        <w:rPr>
          <w:rFonts w:cs="Times-Roman"/>
          <w:color w:val="auto"/>
          <w:lang w:val="en-GB" w:eastAsia="en-GB"/>
        </w:rPr>
        <w:t>self-eviden</w:t>
      </w:r>
      <w:r>
        <w:rPr>
          <w:rFonts w:cs="Times-Roman"/>
          <w:color w:val="auto"/>
          <w:lang w:val="en-GB" w:eastAsia="en-GB"/>
        </w:rPr>
        <w:t>tly” I mean a reference to Ps</w:t>
      </w:r>
      <w:r w:rsidRPr="00BA074C">
        <w:rPr>
          <w:rFonts w:cs="Times-Roman"/>
          <w:color w:val="auto"/>
          <w:lang w:val="en-GB" w:eastAsia="en-GB"/>
        </w:rPr>
        <w:t xml:space="preserve"> 72:20 as proof that David is the writer of this psalm without any examination of the meaning of this verse.</w:t>
      </w:r>
    </w:p>
  </w:footnote>
  <w:footnote w:id="62">
    <w:p w:rsidR="00FB0788" w:rsidRDefault="00FB0788" w:rsidP="00A03ADA">
      <w:pPr>
        <w:rPr>
          <w:rFonts w:cs="Times-Roman"/>
          <w:lang w:val="en-GB" w:eastAsia="en-GB"/>
        </w:rPr>
      </w:pPr>
      <w:r w:rsidRPr="00A03ADA">
        <w:rPr>
          <w:rStyle w:val="FootnoteReference"/>
        </w:rPr>
        <w:footnoteRef/>
      </w:r>
      <w:r w:rsidRPr="00A03ADA">
        <w:t xml:space="preserve"> </w:t>
      </w:r>
      <w:r w:rsidRPr="00A03ADA">
        <w:rPr>
          <w:rFonts w:cs="Times-Roman"/>
          <w:lang w:val="en-GB" w:eastAsia="en-GB"/>
        </w:rPr>
        <w:t>I am not suggesting that time-dependency is the only aspect that bears upon these two distinct spellings of David</w:t>
      </w:r>
      <w:r>
        <w:rPr>
          <w:rFonts w:cs="Times-Roman"/>
          <w:lang w:val="en-GB" w:eastAsia="en-GB"/>
        </w:rPr>
        <w:t>’</w:t>
      </w:r>
      <w:r w:rsidRPr="00A03ADA">
        <w:rPr>
          <w:rFonts w:cs="Times-Roman"/>
          <w:lang w:val="en-GB" w:eastAsia="en-GB"/>
        </w:rPr>
        <w:t xml:space="preserve">s name; exposition will seek to identify the teaching that arises from them. It should be noted that this </w:t>
      </w:r>
      <w:r>
        <w:rPr>
          <w:rFonts w:cs="Times-Roman"/>
          <w:lang w:val="en-GB" w:eastAsia="en-GB"/>
        </w:rPr>
        <w:t>“</w:t>
      </w:r>
      <w:r w:rsidRPr="00A03ADA">
        <w:rPr>
          <w:rFonts w:cs="Times-Roman"/>
          <w:lang w:val="en-GB" w:eastAsia="en-GB"/>
        </w:rPr>
        <w:t>earlier</w:t>
      </w:r>
      <w:r>
        <w:rPr>
          <w:rFonts w:cs="Times-Roman"/>
          <w:lang w:val="en-GB" w:eastAsia="en-GB"/>
        </w:rPr>
        <w:t>”</w:t>
      </w:r>
      <w:r w:rsidRPr="00A03ADA">
        <w:rPr>
          <w:rFonts w:cs="Times-Roman"/>
          <w:lang w:val="en-GB" w:eastAsia="en-GB"/>
        </w:rPr>
        <w:t xml:space="preserve"> spelling is adopted by later prophets such as Isaiah, Jeremiah and Ezekiel, though never in the expression </w:t>
      </w:r>
      <w:r>
        <w:rPr>
          <w:rFonts w:cs="Times-Roman"/>
          <w:lang w:val="en-GB" w:eastAsia="en-GB"/>
        </w:rPr>
        <w:t>“</w:t>
      </w:r>
      <w:r w:rsidRPr="00A03ADA">
        <w:rPr>
          <w:rFonts w:cs="Times-Roman"/>
          <w:lang w:val="en-GB" w:eastAsia="en-GB"/>
        </w:rPr>
        <w:t>David the son of Jesse</w:t>
      </w:r>
      <w:r>
        <w:rPr>
          <w:rFonts w:cs="Times-Roman"/>
          <w:lang w:val="en-GB" w:eastAsia="en-GB"/>
        </w:rPr>
        <w:t>”</w:t>
      </w:r>
      <w:r w:rsidRPr="00A03ADA">
        <w:rPr>
          <w:rFonts w:cs="Times-Roman"/>
          <w:lang w:val="en-GB" w:eastAsia="en-GB"/>
        </w:rPr>
        <w:t xml:space="preserve">. For the exposition that needs to be undertaken, it is plain that the instances of </w:t>
      </w:r>
      <w:proofErr w:type="spellStart"/>
      <w:r w:rsidRPr="00A03ADA">
        <w:rPr>
          <w:rFonts w:cs="Times-Italic"/>
          <w:i/>
          <w:iCs/>
          <w:lang w:val="en-GB" w:eastAsia="en-GB"/>
        </w:rPr>
        <w:t>dwyd</w:t>
      </w:r>
      <w:proofErr w:type="spellEnd"/>
      <w:r w:rsidRPr="00A03ADA">
        <w:rPr>
          <w:rFonts w:cs="Times-Italic"/>
          <w:i/>
          <w:iCs/>
          <w:lang w:val="en-GB" w:eastAsia="en-GB"/>
        </w:rPr>
        <w:t xml:space="preserve"> </w:t>
      </w:r>
      <w:r w:rsidRPr="00A03ADA">
        <w:rPr>
          <w:rFonts w:cs="Times-Roman"/>
          <w:lang w:val="en-GB" w:eastAsia="en-GB"/>
        </w:rPr>
        <w:t xml:space="preserve">in Chronicles and elsewhere refer to the unique use of </w:t>
      </w:r>
      <w:proofErr w:type="spellStart"/>
      <w:r w:rsidRPr="00A03ADA">
        <w:rPr>
          <w:rFonts w:cs="Times-Italic"/>
          <w:i/>
          <w:iCs/>
          <w:lang w:val="en-GB" w:eastAsia="en-GB"/>
        </w:rPr>
        <w:t>dwyd</w:t>
      </w:r>
      <w:proofErr w:type="spellEnd"/>
      <w:r w:rsidRPr="00A03ADA">
        <w:rPr>
          <w:rFonts w:cs="Times-Italic"/>
          <w:i/>
          <w:iCs/>
          <w:lang w:val="en-GB" w:eastAsia="en-GB"/>
        </w:rPr>
        <w:t xml:space="preserve"> </w:t>
      </w:r>
      <w:r w:rsidRPr="00A03ADA">
        <w:rPr>
          <w:rFonts w:cs="Times-Roman"/>
          <w:lang w:val="en-GB" w:eastAsia="en-GB"/>
        </w:rPr>
        <w:t>during David</w:t>
      </w:r>
      <w:r>
        <w:rPr>
          <w:rFonts w:cs="Times-Roman"/>
          <w:lang w:val="en-GB" w:eastAsia="en-GB"/>
        </w:rPr>
        <w:t>’</w:t>
      </w:r>
      <w:r w:rsidRPr="00A03ADA">
        <w:rPr>
          <w:rFonts w:cs="Times-Roman"/>
          <w:lang w:val="en-GB" w:eastAsia="en-GB"/>
        </w:rPr>
        <w:t xml:space="preserve">s lifetime in Psalm 122 whereas the instances of </w:t>
      </w:r>
      <w:proofErr w:type="spellStart"/>
      <w:r w:rsidRPr="00A03ADA">
        <w:rPr>
          <w:rFonts w:cs="Times-Italic"/>
          <w:i/>
          <w:iCs/>
          <w:lang w:val="en-GB" w:eastAsia="en-GB"/>
        </w:rPr>
        <w:t>dwd</w:t>
      </w:r>
      <w:proofErr w:type="spellEnd"/>
      <w:r w:rsidRPr="00A03ADA">
        <w:rPr>
          <w:rFonts w:cs="Times-Italic"/>
          <w:i/>
          <w:iCs/>
          <w:lang w:val="en-GB" w:eastAsia="en-GB"/>
        </w:rPr>
        <w:t xml:space="preserve"> </w:t>
      </w:r>
      <w:r w:rsidRPr="00A03ADA">
        <w:rPr>
          <w:rFonts w:cs="Times-Roman"/>
          <w:lang w:val="en-GB" w:eastAsia="en-GB"/>
        </w:rPr>
        <w:t xml:space="preserve">in, for example, Isaiah refer to earlier portrayals of David and his teaching where </w:t>
      </w:r>
      <w:proofErr w:type="spellStart"/>
      <w:r w:rsidRPr="00A03ADA">
        <w:rPr>
          <w:rFonts w:cs="Times-Italic"/>
          <w:i/>
          <w:iCs/>
          <w:lang w:val="en-GB" w:eastAsia="en-GB"/>
        </w:rPr>
        <w:t>dwd</w:t>
      </w:r>
      <w:proofErr w:type="spellEnd"/>
      <w:r w:rsidRPr="00A03ADA">
        <w:rPr>
          <w:rFonts w:cs="Times-Italic"/>
          <w:i/>
          <w:iCs/>
          <w:lang w:val="en-GB" w:eastAsia="en-GB"/>
        </w:rPr>
        <w:t xml:space="preserve"> </w:t>
      </w:r>
      <w:r w:rsidRPr="00A03ADA">
        <w:rPr>
          <w:rFonts w:cs="Times-Roman"/>
          <w:lang w:val="en-GB" w:eastAsia="en-GB"/>
        </w:rPr>
        <w:t>is used.</w:t>
      </w:r>
    </w:p>
    <w:p w:rsidR="00FB0788" w:rsidRPr="00A03ADA" w:rsidRDefault="00FB0788" w:rsidP="00A03ADA">
      <w:r>
        <w:rPr>
          <w:rFonts w:cs="Times-Roman"/>
          <w:lang w:val="en-GB" w:eastAsia="en-GB"/>
        </w:rPr>
        <w:t xml:space="preserve">[Ed: JWA]: See (i), F.I. Andersen and R.S. Hess, </w:t>
      </w:r>
      <w:r>
        <w:rPr>
          <w:rFonts w:cs="Times-Roman"/>
          <w:i/>
          <w:lang w:val="en-GB" w:eastAsia="en-GB"/>
        </w:rPr>
        <w:t>Names in the Study of Biblical History: David, YHWH Names, and the Role of Personal Names</w:t>
      </w:r>
      <w:r>
        <w:rPr>
          <w:rFonts w:cs="Times-Roman"/>
          <w:lang w:val="en-GB" w:eastAsia="en-GB"/>
        </w:rPr>
        <w:t xml:space="preserve">, Buried History Monograph #2 (Australian Institute of Archaeology, Melbourne, 2007); (ii) my review of this monograph in </w:t>
      </w:r>
      <w:r>
        <w:rPr>
          <w:rFonts w:cs="Times-Roman"/>
          <w:i/>
          <w:lang w:val="en-GB" w:eastAsia="en-GB"/>
        </w:rPr>
        <w:t xml:space="preserve">Vetus Testamentum </w:t>
      </w:r>
      <w:r>
        <w:rPr>
          <w:rFonts w:cs="Times-Roman"/>
          <w:lang w:val="en-GB" w:eastAsia="en-GB"/>
        </w:rPr>
        <w:t>60 (2010): 292-293.</w:t>
      </w:r>
    </w:p>
  </w:footnote>
  <w:footnote w:id="63">
    <w:p w:rsidR="00FB0788" w:rsidRPr="00351FA7" w:rsidRDefault="00FB0788" w:rsidP="00351FA7">
      <w:pPr>
        <w:rPr>
          <w:color w:val="auto"/>
        </w:rPr>
      </w:pPr>
      <w:r w:rsidRPr="00351FA7">
        <w:rPr>
          <w:rStyle w:val="FootnoteReference"/>
          <w:color w:val="auto"/>
        </w:rPr>
        <w:footnoteRef/>
      </w:r>
      <w:r w:rsidRPr="00351FA7">
        <w:rPr>
          <w:color w:val="auto"/>
        </w:rPr>
        <w:t xml:space="preserve"> </w:t>
      </w:r>
      <w:r w:rsidRPr="00351FA7">
        <w:rPr>
          <w:rFonts w:cs="Times-Roman"/>
          <w:color w:val="auto"/>
          <w:lang w:val="en-GB" w:eastAsia="en-GB"/>
        </w:rPr>
        <w:t xml:space="preserve">P. Heavyside, </w:t>
      </w:r>
      <w:r>
        <w:rPr>
          <w:rFonts w:cs="Times-Roman"/>
          <w:color w:val="auto"/>
          <w:lang w:val="en-GB" w:eastAsia="en-GB"/>
        </w:rPr>
        <w:t>“</w:t>
      </w:r>
      <w:r w:rsidRPr="00351FA7">
        <w:rPr>
          <w:rFonts w:cs="Times-Italic"/>
          <w:iCs/>
          <w:color w:val="auto"/>
          <w:lang w:val="en-GB" w:eastAsia="en-GB"/>
        </w:rPr>
        <w:t>Psalm 72: Prayer, Promise and Prophecy</w:t>
      </w:r>
      <w:r>
        <w:rPr>
          <w:rFonts w:cs="Times-Roman"/>
          <w:color w:val="auto"/>
          <w:lang w:val="en-GB" w:eastAsia="en-GB"/>
        </w:rPr>
        <w:t>”</w:t>
      </w:r>
      <w:r w:rsidRPr="00351FA7">
        <w:rPr>
          <w:rFonts w:cs="Times-Roman"/>
          <w:color w:val="auto"/>
          <w:lang w:val="en-GB" w:eastAsia="en-GB"/>
        </w:rPr>
        <w:t xml:space="preserve">, to be available at </w:t>
      </w:r>
      <w:r w:rsidRPr="00351FA7">
        <w:rPr>
          <w:rFonts w:cs="Times-Roman"/>
          <w:color w:val="auto"/>
          <w:u w:val="single"/>
          <w:lang w:val="en-GB" w:eastAsia="en-GB"/>
        </w:rPr>
        <w:t>www.globalorient.com</w:t>
      </w:r>
      <w:r w:rsidRPr="00351FA7">
        <w:rPr>
          <w:rFonts w:cs="Times-Roman"/>
          <w:color w:val="auto"/>
          <w:lang w:eastAsia="en-GB"/>
        </w:rPr>
        <w:t>.</w:t>
      </w:r>
    </w:p>
  </w:footnote>
  <w:footnote w:id="64">
    <w:p w:rsidR="00FB0788" w:rsidRDefault="00FB0788" w:rsidP="00351FA7">
      <w:r>
        <w:rPr>
          <w:rStyle w:val="FootnoteReference"/>
        </w:rPr>
        <w:footnoteRef/>
      </w:r>
      <w:r>
        <w:t xml:space="preserve"> </w:t>
      </w:r>
      <w:r>
        <w:rPr>
          <w:rFonts w:cs="Times-Roman"/>
          <w:lang w:val="en-GB" w:eastAsia="en-GB"/>
        </w:rPr>
        <w:t>David’s statement, “now also when I am old and grey-headed” (Ps 71:18), by its inclusion in the second book of psalms, also requires that this book was compiled at the earliest during the last months of David’s life. David’s statement in Ps 37:25, “I have been young, and now am old”, likewise dates the compilation of the first book of psalms to, at the earliest, the later period of David’s life.</w:t>
      </w:r>
    </w:p>
  </w:footnote>
  <w:footnote w:id="65">
    <w:p w:rsidR="00FB0788" w:rsidRDefault="00FB0788" w:rsidP="00351FA7">
      <w:r>
        <w:rPr>
          <w:rStyle w:val="FootnoteReference"/>
        </w:rPr>
        <w:footnoteRef/>
      </w:r>
      <w:r>
        <w:t xml:space="preserve"> </w:t>
      </w:r>
      <w:r>
        <w:rPr>
          <w:rFonts w:cs="Times-Roman"/>
          <w:lang w:val="en-GB" w:eastAsia="en-GB"/>
        </w:rPr>
        <w:t>There is also a feature in the psalms that argues for a compilation of book 2 earlier than book 5. A number of psalms of David (Pss 138-145) are ordered alongside a Babylonian exile psalm (Psalm 137); this indicates this book can only have been completed in the order that it has at the time of the exile at the earliest. Also, one of David’s psalms included in book 5 is said to be a prayer of David (Ps 142</w:t>
      </w:r>
      <w:proofErr w:type="gramStart"/>
      <w:r>
        <w:rPr>
          <w:rFonts w:cs="Times-Roman"/>
          <w:lang w:val="en-GB" w:eastAsia="en-GB"/>
        </w:rPr>
        <w:t>:t</w:t>
      </w:r>
      <w:proofErr w:type="gramEnd"/>
      <w:r>
        <w:rPr>
          <w:rFonts w:cs="Times-Roman"/>
          <w:lang w:val="en-GB" w:eastAsia="en-GB"/>
        </w:rPr>
        <w:t>);</w:t>
      </w:r>
      <w:r>
        <w:rPr>
          <w:rFonts w:cs="Times-Roman"/>
          <w:lang w:eastAsia="en-GB"/>
        </w:rPr>
        <w:t xml:space="preserve"> </w:t>
      </w:r>
      <w:r>
        <w:rPr>
          <w:rFonts w:cs="Times-Roman"/>
          <w:lang w:val="en-GB" w:eastAsia="en-GB"/>
        </w:rPr>
        <w:t>the inclusion of this prayer in book 5 really only makes sense if the statement in Ps 72:20 predates the later compilation.</w:t>
      </w:r>
    </w:p>
  </w:footnote>
  <w:footnote w:id="66">
    <w:p w:rsidR="00FB0788" w:rsidRPr="0059352C" w:rsidRDefault="00FB0788" w:rsidP="0059352C">
      <w:pPr>
        <w:rPr>
          <w:rFonts w:cs="Times-Roman"/>
          <w:lang w:val="en-GB" w:eastAsia="en-GB"/>
        </w:rPr>
      </w:pPr>
      <w:r w:rsidRPr="0059352C">
        <w:rPr>
          <w:rStyle w:val="FootnoteReference"/>
        </w:rPr>
        <w:footnoteRef/>
      </w:r>
      <w:r w:rsidRPr="0059352C">
        <w:t xml:space="preserve"> </w:t>
      </w:r>
      <w:r w:rsidRPr="0059352C">
        <w:rPr>
          <w:rFonts w:cs="Times-Roman"/>
          <w:lang w:val="en-GB" w:eastAsia="en-GB"/>
        </w:rPr>
        <w:t xml:space="preserve">This is consistent with how Balaam the prophet used such an expression in his prophetic utterances and David, speaking by the holy spirit, clearly strikes an association with these earlier prophecies; the reasons for this require exposition. </w:t>
      </w:r>
      <w:r>
        <w:rPr>
          <w:rFonts w:cs="Times-Roman"/>
          <w:lang w:val="en-GB" w:eastAsia="en-GB"/>
        </w:rPr>
        <w:t>“</w:t>
      </w:r>
      <w:r w:rsidRPr="0059352C">
        <w:rPr>
          <w:rFonts w:cs="Times-Roman"/>
          <w:lang w:val="en-GB" w:eastAsia="en-GB"/>
        </w:rPr>
        <w:t>David the son of Jesse said (</w:t>
      </w:r>
      <w:proofErr w:type="spellStart"/>
      <w:r w:rsidRPr="0059352C">
        <w:rPr>
          <w:rFonts w:cs="Times-Italic"/>
          <w:i/>
          <w:iCs/>
          <w:lang w:val="en-GB" w:eastAsia="en-GB"/>
        </w:rPr>
        <w:t>n</w:t>
      </w:r>
      <w:r>
        <w:rPr>
          <w:rFonts w:cs="Times-Italic"/>
          <w:i/>
          <w:iCs/>
          <w:lang w:val="en-GB" w:eastAsia="en-GB"/>
        </w:rPr>
        <w:t>’</w:t>
      </w:r>
      <w:r w:rsidRPr="0059352C">
        <w:rPr>
          <w:rFonts w:cs="Times-Italic"/>
          <w:i/>
          <w:iCs/>
          <w:lang w:val="en-GB" w:eastAsia="en-GB"/>
        </w:rPr>
        <w:t>m</w:t>
      </w:r>
      <w:proofErr w:type="spellEnd"/>
      <w:r w:rsidRPr="0059352C">
        <w:rPr>
          <w:rFonts w:cs="Times-Italic"/>
          <w:i/>
          <w:iCs/>
          <w:lang w:val="en-GB" w:eastAsia="en-GB"/>
        </w:rPr>
        <w:t xml:space="preserve"> </w:t>
      </w:r>
      <w:proofErr w:type="spellStart"/>
      <w:r w:rsidRPr="0059352C">
        <w:rPr>
          <w:rFonts w:cs="Times-Italic"/>
          <w:i/>
          <w:iCs/>
          <w:lang w:val="en-GB" w:eastAsia="en-GB"/>
        </w:rPr>
        <w:t>dwd</w:t>
      </w:r>
      <w:proofErr w:type="spellEnd"/>
      <w:r w:rsidRPr="0059352C">
        <w:rPr>
          <w:rFonts w:cs="Times-Italic"/>
          <w:i/>
          <w:iCs/>
          <w:lang w:val="en-GB" w:eastAsia="en-GB"/>
        </w:rPr>
        <w:t xml:space="preserve"> </w:t>
      </w:r>
      <w:proofErr w:type="spellStart"/>
      <w:r w:rsidRPr="0059352C">
        <w:rPr>
          <w:rFonts w:cs="Times-Italic"/>
          <w:i/>
          <w:iCs/>
          <w:lang w:val="en-GB" w:eastAsia="en-GB"/>
        </w:rPr>
        <w:t>bn</w:t>
      </w:r>
      <w:proofErr w:type="spellEnd"/>
      <w:r w:rsidRPr="0059352C">
        <w:rPr>
          <w:rFonts w:cs="Times-Italic"/>
          <w:i/>
          <w:iCs/>
          <w:lang w:val="en-GB" w:eastAsia="en-GB"/>
        </w:rPr>
        <w:t xml:space="preserve"> </w:t>
      </w:r>
      <w:proofErr w:type="spellStart"/>
      <w:r w:rsidRPr="0059352C">
        <w:rPr>
          <w:rFonts w:cs="Times-Italic"/>
          <w:i/>
          <w:iCs/>
          <w:lang w:val="en-GB" w:eastAsia="en-GB"/>
        </w:rPr>
        <w:t>yšy</w:t>
      </w:r>
      <w:proofErr w:type="spellEnd"/>
      <w:r w:rsidRPr="0059352C">
        <w:rPr>
          <w:rFonts w:cs="Times-Roman"/>
          <w:lang w:val="en-GB" w:eastAsia="en-GB"/>
        </w:rPr>
        <w:t>)</w:t>
      </w:r>
      <w:r>
        <w:rPr>
          <w:rFonts w:cs="Times-Roman"/>
          <w:lang w:val="en-GB" w:eastAsia="en-GB"/>
        </w:rPr>
        <w:t>”</w:t>
      </w:r>
      <w:r w:rsidRPr="0059352C">
        <w:rPr>
          <w:rFonts w:cs="Times-Roman"/>
          <w:lang w:val="en-GB" w:eastAsia="en-GB"/>
        </w:rPr>
        <w:t xml:space="preserve"> should be compared with the following prophecies in which the prophet uses the same form of expression about himself: </w:t>
      </w:r>
      <w:r>
        <w:rPr>
          <w:rFonts w:cs="Times-Roman"/>
          <w:lang w:val="en-GB" w:eastAsia="en-GB"/>
        </w:rPr>
        <w:t>“</w:t>
      </w:r>
      <w:r w:rsidRPr="0059352C">
        <w:rPr>
          <w:rFonts w:cs="Times-Roman"/>
          <w:lang w:val="en-GB" w:eastAsia="en-GB"/>
        </w:rPr>
        <w:t>he took up his parable, and said, Balaam the son of Beor has said (</w:t>
      </w:r>
      <w:proofErr w:type="spellStart"/>
      <w:r w:rsidRPr="0059352C">
        <w:rPr>
          <w:rFonts w:cs="Times-Italic"/>
          <w:i/>
          <w:iCs/>
          <w:lang w:val="en-GB" w:eastAsia="en-GB"/>
        </w:rPr>
        <w:t>n</w:t>
      </w:r>
      <w:r>
        <w:rPr>
          <w:rFonts w:cs="Times-Italic"/>
          <w:i/>
          <w:iCs/>
          <w:lang w:val="en-GB" w:eastAsia="en-GB"/>
        </w:rPr>
        <w:t>’</w:t>
      </w:r>
      <w:r w:rsidRPr="0059352C">
        <w:rPr>
          <w:rFonts w:cs="Times-Italic"/>
          <w:i/>
          <w:iCs/>
          <w:lang w:val="en-GB" w:eastAsia="en-GB"/>
        </w:rPr>
        <w:t>m</w:t>
      </w:r>
      <w:proofErr w:type="spellEnd"/>
      <w:r w:rsidRPr="0059352C">
        <w:rPr>
          <w:rFonts w:cs="Times-Italic"/>
          <w:i/>
          <w:iCs/>
          <w:lang w:val="en-GB" w:eastAsia="en-GB"/>
        </w:rPr>
        <w:t xml:space="preserve"> </w:t>
      </w:r>
      <w:proofErr w:type="spellStart"/>
      <w:r w:rsidRPr="0059352C">
        <w:rPr>
          <w:rFonts w:cs="Times-Italic"/>
          <w:i/>
          <w:iCs/>
          <w:lang w:val="en-GB" w:eastAsia="en-GB"/>
        </w:rPr>
        <w:t>bl</w:t>
      </w:r>
      <w:r w:rsidRPr="0059352C">
        <w:rPr>
          <w:rFonts w:eastAsia="TimesNewRoman,Italic" w:cs="TimesNewRoman,Italic"/>
          <w:i/>
          <w:iCs/>
          <w:lang w:val="en-GB" w:eastAsia="en-GB"/>
        </w:rPr>
        <w:t>‛</w:t>
      </w:r>
      <w:r w:rsidRPr="0059352C">
        <w:rPr>
          <w:rFonts w:cs="Times-Italic"/>
          <w:i/>
          <w:iCs/>
          <w:lang w:val="en-GB" w:eastAsia="en-GB"/>
        </w:rPr>
        <w:t>m</w:t>
      </w:r>
      <w:proofErr w:type="spellEnd"/>
      <w:r w:rsidRPr="0059352C">
        <w:rPr>
          <w:rFonts w:cs="Times-Italic"/>
          <w:i/>
          <w:iCs/>
          <w:lang w:val="en-GB" w:eastAsia="en-GB"/>
        </w:rPr>
        <w:t xml:space="preserve"> </w:t>
      </w:r>
      <w:proofErr w:type="spellStart"/>
      <w:r w:rsidRPr="0059352C">
        <w:rPr>
          <w:rFonts w:cs="Times-Italic"/>
          <w:i/>
          <w:iCs/>
          <w:lang w:val="en-GB" w:eastAsia="en-GB"/>
        </w:rPr>
        <w:t>bnw</w:t>
      </w:r>
      <w:proofErr w:type="spellEnd"/>
      <w:r w:rsidRPr="0059352C">
        <w:rPr>
          <w:rFonts w:cs="Times-Italic"/>
          <w:i/>
          <w:iCs/>
          <w:lang w:val="en-GB" w:eastAsia="en-GB"/>
        </w:rPr>
        <w:t xml:space="preserve"> </w:t>
      </w:r>
      <w:proofErr w:type="spellStart"/>
      <w:r w:rsidRPr="0059352C">
        <w:rPr>
          <w:rFonts w:cs="Times-Italic"/>
          <w:i/>
          <w:iCs/>
          <w:lang w:val="en-GB" w:eastAsia="en-GB"/>
        </w:rPr>
        <w:t>b</w:t>
      </w:r>
      <w:r w:rsidRPr="0059352C">
        <w:rPr>
          <w:rFonts w:eastAsia="TimesNewRoman,Italic" w:cs="TimesNewRoman,Italic"/>
          <w:i/>
          <w:iCs/>
          <w:lang w:val="en-GB" w:eastAsia="en-GB"/>
        </w:rPr>
        <w:t>‛</w:t>
      </w:r>
      <w:r w:rsidRPr="0059352C">
        <w:rPr>
          <w:rFonts w:cs="Times-Italic"/>
          <w:i/>
          <w:iCs/>
          <w:lang w:val="en-GB" w:eastAsia="en-GB"/>
        </w:rPr>
        <w:t>r</w:t>
      </w:r>
      <w:proofErr w:type="spellEnd"/>
      <w:r w:rsidRPr="0059352C">
        <w:rPr>
          <w:rFonts w:cs="Times-Roman"/>
          <w:lang w:val="en-GB" w:eastAsia="en-GB"/>
        </w:rPr>
        <w:t>)</w:t>
      </w:r>
      <w:r>
        <w:rPr>
          <w:rFonts w:cs="Times-Roman"/>
          <w:lang w:val="en-GB" w:eastAsia="en-GB"/>
        </w:rPr>
        <w:t>”</w:t>
      </w:r>
      <w:r w:rsidRPr="0059352C">
        <w:rPr>
          <w:rFonts w:cs="Times-Roman"/>
          <w:lang w:val="en-GB" w:eastAsia="en-GB"/>
        </w:rPr>
        <w:t xml:space="preserve"> (Num 24:3); and  </w:t>
      </w:r>
      <w:r>
        <w:rPr>
          <w:rFonts w:cs="Times-Roman"/>
          <w:lang w:val="en-GB" w:eastAsia="en-GB"/>
        </w:rPr>
        <w:t>“</w:t>
      </w:r>
      <w:r w:rsidRPr="0059352C">
        <w:rPr>
          <w:rFonts w:cs="Times-Roman"/>
          <w:lang w:val="en-GB" w:eastAsia="en-GB"/>
        </w:rPr>
        <w:t>he took up his parable, and said, Balaam the son of Beor has said (</w:t>
      </w:r>
      <w:proofErr w:type="spellStart"/>
      <w:r w:rsidRPr="0059352C">
        <w:rPr>
          <w:rFonts w:cs="Times-Italic"/>
          <w:i/>
          <w:iCs/>
          <w:lang w:val="en-GB" w:eastAsia="en-GB"/>
        </w:rPr>
        <w:t>n</w:t>
      </w:r>
      <w:r>
        <w:rPr>
          <w:rFonts w:cs="Times-Italic"/>
          <w:i/>
          <w:iCs/>
          <w:lang w:val="en-GB" w:eastAsia="en-GB"/>
        </w:rPr>
        <w:t>’</w:t>
      </w:r>
      <w:r w:rsidRPr="0059352C">
        <w:rPr>
          <w:rFonts w:cs="Times-Italic"/>
          <w:i/>
          <w:iCs/>
          <w:lang w:val="en-GB" w:eastAsia="en-GB"/>
        </w:rPr>
        <w:t>m</w:t>
      </w:r>
      <w:proofErr w:type="spellEnd"/>
      <w:r w:rsidRPr="0059352C">
        <w:rPr>
          <w:rFonts w:cs="Times-Italic"/>
          <w:i/>
          <w:iCs/>
          <w:lang w:val="en-GB" w:eastAsia="en-GB"/>
        </w:rPr>
        <w:t xml:space="preserve"> </w:t>
      </w:r>
      <w:proofErr w:type="spellStart"/>
      <w:r w:rsidRPr="0059352C">
        <w:rPr>
          <w:rFonts w:cs="Times-Italic"/>
          <w:i/>
          <w:iCs/>
          <w:lang w:val="en-GB" w:eastAsia="en-GB"/>
        </w:rPr>
        <w:t>bl</w:t>
      </w:r>
      <w:r w:rsidRPr="0059352C">
        <w:rPr>
          <w:rFonts w:eastAsia="TimesNewRoman,Italic" w:cs="TimesNewRoman,Italic"/>
          <w:i/>
          <w:iCs/>
          <w:lang w:val="en-GB" w:eastAsia="en-GB"/>
        </w:rPr>
        <w:t>‛</w:t>
      </w:r>
      <w:r w:rsidRPr="0059352C">
        <w:rPr>
          <w:rFonts w:cs="Times-Italic"/>
          <w:i/>
          <w:iCs/>
          <w:lang w:val="en-GB" w:eastAsia="en-GB"/>
        </w:rPr>
        <w:t>m</w:t>
      </w:r>
      <w:proofErr w:type="spellEnd"/>
      <w:r w:rsidRPr="0059352C">
        <w:rPr>
          <w:rFonts w:cs="Times-Italic"/>
          <w:i/>
          <w:iCs/>
          <w:lang w:val="en-GB" w:eastAsia="en-GB"/>
        </w:rPr>
        <w:t xml:space="preserve"> </w:t>
      </w:r>
      <w:proofErr w:type="spellStart"/>
      <w:r w:rsidRPr="0059352C">
        <w:rPr>
          <w:rFonts w:cs="Times-Italic"/>
          <w:i/>
          <w:iCs/>
          <w:lang w:val="en-GB" w:eastAsia="en-GB"/>
        </w:rPr>
        <w:t>bnw</w:t>
      </w:r>
      <w:proofErr w:type="spellEnd"/>
      <w:r w:rsidRPr="0059352C">
        <w:rPr>
          <w:rFonts w:cs="Times-Italic"/>
          <w:i/>
          <w:iCs/>
          <w:lang w:val="en-GB" w:eastAsia="en-GB"/>
        </w:rPr>
        <w:t xml:space="preserve"> </w:t>
      </w:r>
      <w:proofErr w:type="spellStart"/>
      <w:r w:rsidRPr="0059352C">
        <w:rPr>
          <w:rFonts w:cs="Times-Italic"/>
          <w:i/>
          <w:iCs/>
          <w:lang w:val="en-GB" w:eastAsia="en-GB"/>
        </w:rPr>
        <w:t>b</w:t>
      </w:r>
      <w:r w:rsidRPr="0059352C">
        <w:rPr>
          <w:rFonts w:eastAsia="TimesNewRoman,Italic" w:cs="TimesNewRoman,Italic"/>
          <w:i/>
          <w:iCs/>
          <w:lang w:val="en-GB" w:eastAsia="en-GB"/>
        </w:rPr>
        <w:t>‛</w:t>
      </w:r>
      <w:r w:rsidRPr="0059352C">
        <w:rPr>
          <w:rFonts w:cs="Times-Italic"/>
          <w:i/>
          <w:iCs/>
          <w:lang w:val="en-GB" w:eastAsia="en-GB"/>
        </w:rPr>
        <w:t>r</w:t>
      </w:r>
      <w:proofErr w:type="spellEnd"/>
      <w:r w:rsidRPr="0059352C">
        <w:rPr>
          <w:rFonts w:cs="Times-Roman"/>
          <w:lang w:val="en-GB" w:eastAsia="en-GB"/>
        </w:rPr>
        <w:t>)</w:t>
      </w:r>
      <w:r>
        <w:rPr>
          <w:rFonts w:cs="Times-Roman"/>
          <w:lang w:val="en-GB" w:eastAsia="en-GB"/>
        </w:rPr>
        <w:t>”</w:t>
      </w:r>
      <w:r w:rsidRPr="0059352C">
        <w:rPr>
          <w:rFonts w:cs="Times-Roman"/>
          <w:lang w:val="en-GB" w:eastAsia="en-GB"/>
        </w:rPr>
        <w:t xml:space="preserve"> (Num 24:15).</w:t>
      </w:r>
    </w:p>
  </w:footnote>
  <w:footnote w:id="67">
    <w:p w:rsidR="00FB0788" w:rsidRPr="00135D43" w:rsidRDefault="00FB0788" w:rsidP="00360107">
      <w:pPr>
        <w:pStyle w:val="FootnoteText"/>
        <w:rPr>
          <w:rFonts w:asciiTheme="minorHAnsi" w:eastAsiaTheme="minorHAnsi" w:hAnsiTheme="minorHAnsi" w:cstheme="minorBidi"/>
          <w:sz w:val="20"/>
          <w:szCs w:val="20"/>
        </w:rPr>
      </w:pPr>
      <w:r>
        <w:rPr>
          <w:rStyle w:val="FootnoteReference"/>
        </w:rPr>
        <w:t xml:space="preserve">1 </w:t>
      </w:r>
      <w:r w:rsidRPr="00F958F7">
        <w:t>Dialogue of Origen with Heraclides and his Fellow Bishops on the Father, the Son, and the Soul</w:t>
      </w:r>
      <w:r>
        <w:t xml:space="preserve">; </w:t>
      </w:r>
      <w:r w:rsidRPr="00A462BD">
        <w:rPr>
          <w:u w:val="single"/>
        </w:rPr>
        <w:t>books.google.co.uk</w:t>
      </w:r>
      <w:r>
        <w:t xml:space="preserve">. </w:t>
      </w:r>
    </w:p>
  </w:footnote>
  <w:footnote w:id="68">
    <w:p w:rsidR="00FB0788" w:rsidRDefault="00FB0788" w:rsidP="00360107">
      <w:pPr>
        <w:pStyle w:val="FootnoteText"/>
      </w:pPr>
      <w:r>
        <w:rPr>
          <w:rStyle w:val="FootnoteReference"/>
        </w:rPr>
        <w:footnoteRef/>
      </w:r>
      <w:r>
        <w:t xml:space="preserve"> </w:t>
      </w:r>
      <w:r>
        <w:rPr>
          <w:i/>
        </w:rPr>
        <w:t>Contra Celsum</w:t>
      </w:r>
      <w:r>
        <w:t xml:space="preserve">, 5:39; </w:t>
      </w:r>
      <w:r w:rsidRPr="00F958F7">
        <w:rPr>
          <w:lang w:eastAsia="en-GB"/>
        </w:rPr>
        <w:t>www.ccel.org/ccel/schaff/anf04.vi.ix.v.xxxix.html</w:t>
      </w:r>
      <w:r w:rsidRPr="00135D43">
        <w:rPr>
          <w:lang w:eastAsia="en-GB"/>
        </w:rPr>
        <w:t>.</w:t>
      </w:r>
    </w:p>
  </w:footnote>
  <w:footnote w:id="69">
    <w:p w:rsidR="00FB0788" w:rsidRDefault="00FB0788" w:rsidP="00360107">
      <w:pPr>
        <w:pStyle w:val="FootnoteText"/>
      </w:pPr>
      <w:r>
        <w:rPr>
          <w:rStyle w:val="FootnoteReference"/>
        </w:rPr>
        <w:footnoteRef/>
      </w:r>
      <w:r>
        <w:t xml:space="preserve"> </w:t>
      </w:r>
      <w:r>
        <w:rPr>
          <w:i/>
        </w:rPr>
        <w:t>De Principiis</w:t>
      </w:r>
      <w:r>
        <w:t xml:space="preserve">, 1.2.6; </w:t>
      </w:r>
      <w:r w:rsidRPr="00F958F7">
        <w:rPr>
          <w:lang w:eastAsia="en-GB"/>
        </w:rPr>
        <w:t>www.ccel.org/ccel/schaff/anf04.vi.v.ii.ii.html</w:t>
      </w:r>
      <w:r w:rsidRPr="00135D43">
        <w:rPr>
          <w:lang w:eastAsia="en-GB"/>
        </w:rPr>
        <w:t>.</w:t>
      </w:r>
    </w:p>
  </w:footnote>
  <w:footnote w:id="70">
    <w:p w:rsidR="00FB0788" w:rsidRPr="00F958F7" w:rsidRDefault="00FB0788" w:rsidP="00360107">
      <w:pPr>
        <w:pStyle w:val="FootnoteText"/>
      </w:pPr>
      <w:r w:rsidRPr="00F958F7">
        <w:rPr>
          <w:rStyle w:val="FootnoteReference"/>
        </w:rPr>
        <w:footnoteRef/>
      </w:r>
      <w:r w:rsidRPr="00F958F7">
        <w:t xml:space="preserve"> M. Schmaus, </w:t>
      </w:r>
      <w:r w:rsidRPr="00F958F7">
        <w:rPr>
          <w:i/>
          <w:iCs/>
          <w:lang w:eastAsia="en-GB"/>
        </w:rPr>
        <w:t>Dogma</w:t>
      </w:r>
      <w:r w:rsidRPr="00F958F7">
        <w:rPr>
          <w:lang w:eastAsia="en-GB"/>
        </w:rPr>
        <w:t xml:space="preserve"> (6 vols; Sheed and Ward, London, 1971), 3:216.</w:t>
      </w:r>
    </w:p>
  </w:footnote>
  <w:footnote w:id="71">
    <w:p w:rsidR="00FB0788" w:rsidRDefault="00FB0788" w:rsidP="00360107">
      <w:pPr>
        <w:pStyle w:val="FootnoteText"/>
      </w:pPr>
      <w:r>
        <w:rPr>
          <w:rStyle w:val="FootnoteReference"/>
        </w:rPr>
        <w:footnoteRef/>
      </w:r>
      <w:r>
        <w:t xml:space="preserve"> Peter’s escape at this time only served to delay the inevitable, for he was beheaded in AD 311 during the closing months of a second persecution.</w:t>
      </w:r>
    </w:p>
  </w:footnote>
  <w:footnote w:id="72">
    <w:p w:rsidR="00FB0788" w:rsidRDefault="00FB0788" w:rsidP="00360107">
      <w:pPr>
        <w:pStyle w:val="FootnoteText"/>
      </w:pPr>
      <w:r>
        <w:rPr>
          <w:rStyle w:val="FootnoteReference"/>
        </w:rPr>
        <w:footnoteRef/>
      </w:r>
      <w:r>
        <w:t xml:space="preserve"> Such criticism was not slow in coming, and Alexander’s humiliation was acute. </w:t>
      </w:r>
    </w:p>
  </w:footnote>
  <w:footnote w:id="73">
    <w:p w:rsidR="00FB0788" w:rsidRDefault="00FB0788" w:rsidP="00360107">
      <w:pPr>
        <w:pStyle w:val="FootnoteText"/>
      </w:pPr>
      <w:r>
        <w:rPr>
          <w:rStyle w:val="FootnoteReference"/>
        </w:rPr>
        <w:footnoteRef/>
      </w:r>
      <w:r>
        <w:t xml:space="preserve"> </w:t>
      </w:r>
      <w:proofErr w:type="gramStart"/>
      <w:r>
        <w:rPr>
          <w:i/>
        </w:rPr>
        <w:t>Thalia</w:t>
      </w:r>
      <w:r>
        <w:t xml:space="preserve">; </w:t>
      </w:r>
      <w:r w:rsidRPr="00F958F7">
        <w:t>en.wikisource.org</w:t>
      </w:r>
      <w:r>
        <w:t>.</w:t>
      </w:r>
      <w:proofErr w:type="gramEnd"/>
    </w:p>
  </w:footnote>
  <w:footnote w:id="74">
    <w:p w:rsidR="00FB0788" w:rsidRDefault="00FB0788" w:rsidP="00360107">
      <w:pPr>
        <w:pStyle w:val="FootnoteText"/>
      </w:pPr>
      <w:r>
        <w:rPr>
          <w:rStyle w:val="FootnoteReference"/>
        </w:rPr>
        <w:footnoteRef/>
      </w:r>
      <w:r>
        <w:t xml:space="preserve"> H. A. Whittaker, </w:t>
      </w:r>
      <w:r w:rsidRPr="00BB4AA2">
        <w:rPr>
          <w:i/>
        </w:rPr>
        <w:t>Isaiah</w:t>
      </w:r>
      <w:r>
        <w:t xml:space="preserve"> (Cannock: Biblia, 1988), 148.</w:t>
      </w:r>
    </w:p>
  </w:footnote>
  <w:footnote w:id="75">
    <w:p w:rsidR="00FB0788" w:rsidRDefault="00FB0788" w:rsidP="00360107">
      <w:pPr>
        <w:pStyle w:val="FootnoteText"/>
      </w:pPr>
      <w:r>
        <w:rPr>
          <w:rStyle w:val="FootnoteReference"/>
        </w:rPr>
        <w:footnoteRef/>
      </w:r>
      <w:r>
        <w:t xml:space="preserve"> C. C. Walker and R. Roberts, </w:t>
      </w:r>
      <w:r w:rsidRPr="00135D43">
        <w:rPr>
          <w:i/>
        </w:rPr>
        <w:t>The Ministry of the Prophets: Isaiah</w:t>
      </w:r>
      <w:r>
        <w:t xml:space="preserve"> (2</w:t>
      </w:r>
      <w:r w:rsidRPr="00BB4AA2">
        <w:rPr>
          <w:vertAlign w:val="superscript"/>
        </w:rPr>
        <w:t>nd</w:t>
      </w:r>
      <w:r>
        <w:t xml:space="preserve"> ed.; Birmingham: Published by C. C. Walker, 1923), 100.</w:t>
      </w:r>
    </w:p>
  </w:footnote>
  <w:footnote w:id="76">
    <w:p w:rsidR="00FB0788" w:rsidRDefault="00FB0788" w:rsidP="00360107">
      <w:pPr>
        <w:pStyle w:val="FootnoteText"/>
      </w:pPr>
      <w:r>
        <w:rPr>
          <w:rStyle w:val="FootnoteReference"/>
        </w:rPr>
        <w:footnoteRef/>
      </w:r>
      <w:r>
        <w:t xml:space="preserve"> Whittaker, </w:t>
      </w:r>
      <w:r w:rsidRPr="00BB4AA2">
        <w:rPr>
          <w:i/>
        </w:rPr>
        <w:t>Isaiah</w:t>
      </w:r>
      <w:r>
        <w:t>, 149.</w:t>
      </w:r>
    </w:p>
  </w:footnote>
  <w:footnote w:id="77">
    <w:p w:rsidR="00FB0788" w:rsidRDefault="00FB0788" w:rsidP="00360107">
      <w:pPr>
        <w:pStyle w:val="FootnoteText"/>
      </w:pPr>
      <w:r>
        <w:rPr>
          <w:rStyle w:val="FootnoteReference"/>
        </w:rPr>
        <w:footnoteRef/>
      </w:r>
      <w:r>
        <w:t xml:space="preserve"> [Ed: JWA]: What epigraphic evidence is there for this? Using Hebrew alphabetic letters for numerals would be unusual in contemporary or pre-exilic paleo-Hebrew inscriptions. From inscriptions of the time hieratic (Egyptian) numerical symbols were much employed, not just on weights and measures, but also in lists or messages among Hebrew words in texts. However, a troop list might be headed with the Hebrew number-word ‘ten’ and not a number-sign; or a stretch of text might include the hieratic ‘10’ sign followed by the Hebrew </w:t>
      </w:r>
      <w:r w:rsidRPr="00E47CC8">
        <w:rPr>
          <w:rFonts w:ascii="Bwtransh" w:hAnsi="Bwtransh" w:cs="Bwtransh"/>
          <w:i/>
          <w:sz w:val="22"/>
          <w:lang w:val="en-US"/>
        </w:rPr>
        <w:t>´</w:t>
      </w:r>
      <w:proofErr w:type="spellStart"/>
      <w:r w:rsidRPr="00E47CC8">
        <w:rPr>
          <w:rFonts w:ascii="Bwtransh" w:hAnsi="Bwtransh" w:cs="Bwtransh"/>
          <w:i/>
          <w:sz w:val="22"/>
          <w:lang w:val="en-US"/>
        </w:rPr>
        <w:t>lPym</w:t>
      </w:r>
      <w:proofErr w:type="spellEnd"/>
      <w:r w:rsidRPr="00E47CC8">
        <w:rPr>
          <w:rFonts w:ascii="Bwtransh" w:hAnsi="Bwtransh" w:cs="Bwtransh"/>
          <w:sz w:val="22"/>
          <w:lang w:val="en-US"/>
        </w:rPr>
        <w:t xml:space="preserve"> </w:t>
      </w:r>
      <w:r>
        <w:t>‘thousands’ to represent ’10,000’. So, neither these various everyday applications, nor even the use of contemporary hieratic number signs, can be assumed to apply to the Bible’s different purposes or genre in the pre-exilic era.</w:t>
      </w:r>
    </w:p>
  </w:footnote>
  <w:footnote w:id="78">
    <w:p w:rsidR="00FB0788" w:rsidRPr="00360107" w:rsidRDefault="00FB0788" w:rsidP="00360107">
      <w:pPr>
        <w:pStyle w:val="FootnoteText"/>
      </w:pPr>
      <w:r w:rsidRPr="00360107">
        <w:rPr>
          <w:rStyle w:val="FootnoteReference"/>
        </w:rPr>
        <w:footnoteRef/>
      </w:r>
      <w:r w:rsidRPr="00360107">
        <w:t xml:space="preserve"> Amaziah, Jotham, Hezekiah, Jehoiakim</w:t>
      </w:r>
      <w:r>
        <w:t xml:space="preserve"> are all said to be twenty-five on accession and there may be an age-related explanation for this pattern.</w:t>
      </w:r>
    </w:p>
  </w:footnote>
  <w:footnote w:id="79">
    <w:p w:rsidR="00FB0788" w:rsidRPr="00FC635E" w:rsidRDefault="00FB0788" w:rsidP="00360107">
      <w:pPr>
        <w:pStyle w:val="FootnoteText"/>
      </w:pPr>
      <w:r w:rsidRPr="00FC635E">
        <w:rPr>
          <w:rStyle w:val="FootnoteReference"/>
        </w:rPr>
        <w:footnoteRef/>
      </w:r>
      <w:r w:rsidRPr="00FC635E">
        <w:t xml:space="preserve"> Co-regency is also indicated by Isaiah’s language in Isaiah 7: he refers to Ahaz’ father</w:t>
      </w:r>
      <w:r>
        <w:t xml:space="preserve"> separately from Ahaz</w:t>
      </w:r>
      <w:r w:rsidRPr="00FC635E">
        <w:t>, “</w:t>
      </w:r>
      <w:r>
        <w:rPr>
          <w:lang w:eastAsia="en-GB" w:bidi="he-IL"/>
        </w:rPr>
        <w:t>The Lord</w:t>
      </w:r>
      <w:r w:rsidRPr="00FC635E">
        <w:rPr>
          <w:lang w:eastAsia="en-GB" w:bidi="he-IL"/>
        </w:rPr>
        <w:t xml:space="preserve"> shall bring upon thee, and upon thy people, and upon thy father's house, days that have not come, from the day that Ephraim departed from Judah; </w:t>
      </w:r>
      <w:r w:rsidRPr="00FC635E">
        <w:rPr>
          <w:i/>
          <w:iCs/>
          <w:lang w:eastAsia="en-GB" w:bidi="he-IL"/>
        </w:rPr>
        <w:t xml:space="preserve">even </w:t>
      </w:r>
      <w:r w:rsidRPr="00FC635E">
        <w:rPr>
          <w:lang w:eastAsia="en-GB" w:bidi="he-IL"/>
        </w:rPr>
        <w:t>the king of Assyria” (v. 17).</w:t>
      </w:r>
    </w:p>
  </w:footnote>
  <w:footnote w:id="80">
    <w:p w:rsidR="00FB0788" w:rsidRDefault="00FB0788" w:rsidP="00360107">
      <w:pPr>
        <w:pStyle w:val="FootnoteText"/>
      </w:pPr>
      <w:r>
        <w:rPr>
          <w:rStyle w:val="FootnoteReference"/>
        </w:rPr>
        <w:footnoteRef/>
      </w:r>
      <w:r>
        <w:t xml:space="preserve"> For general histories see J. Bright, </w:t>
      </w:r>
      <w:r w:rsidRPr="009218BA">
        <w:rPr>
          <w:i/>
        </w:rPr>
        <w:t>A History of Israel</w:t>
      </w:r>
      <w:r w:rsidRPr="009218BA">
        <w:t xml:space="preserve"> (OTL; Revised Edition; London: SCM Press, 1972)</w:t>
      </w:r>
      <w:r>
        <w:t xml:space="preserve"> and J. Maxwell Miller and J. H. Hayes, </w:t>
      </w:r>
      <w:r w:rsidRPr="002F0F96">
        <w:rPr>
          <w:i/>
        </w:rPr>
        <w:t>A History of Ancient Israel and Judah</w:t>
      </w:r>
      <w:r>
        <w:t xml:space="preserve"> (London: SCM Press, 1986).</w:t>
      </w:r>
    </w:p>
  </w:footnote>
  <w:footnote w:id="81">
    <w:p w:rsidR="00FB0788" w:rsidRDefault="00FB0788" w:rsidP="00360107">
      <w:pPr>
        <w:pStyle w:val="FootnoteText"/>
      </w:pPr>
      <w:r>
        <w:rPr>
          <w:rStyle w:val="FootnoteReference"/>
        </w:rPr>
        <w:footnoteRef/>
      </w:r>
      <w:r>
        <w:t xml:space="preserve"> The Hebrew can mean “young woman” or “virgin”. Following NT interpretation, and reading ‘virgin’, a Maher-shalal-hash-baz fulfilment requires that Isaiah is taking a new wife in “the prophetess” (perhaps his first wife died in childbirth). This is indicated by the </w:t>
      </w:r>
      <w:r w:rsidRPr="00E17946">
        <w:rPr>
          <w:i/>
        </w:rPr>
        <w:t>form</w:t>
      </w:r>
      <w:r>
        <w:t xml:space="preserve"> of the verb Isaiah uses (Isa 8:3 “went unto”), which occurs once elsewhere in the </w:t>
      </w:r>
      <w:r w:rsidR="00D3153C">
        <w:t>L</w:t>
      </w:r>
      <w:r>
        <w:t xml:space="preserve">aw relating to </w:t>
      </w:r>
      <w:r w:rsidRPr="009E76E2">
        <w:rPr>
          <w:b/>
        </w:rPr>
        <w:t>taking a wife</w:t>
      </w:r>
      <w:r>
        <w:t xml:space="preserve"> and entering her chamber (Deut 22:13-14).</w:t>
      </w:r>
    </w:p>
  </w:footnote>
  <w:footnote w:id="82">
    <w:p w:rsidR="00FB0788" w:rsidRDefault="00FB0788" w:rsidP="00135D43">
      <w:pPr>
        <w:autoSpaceDE w:val="0"/>
        <w:autoSpaceDN w:val="0"/>
        <w:adjustRightInd w:val="0"/>
      </w:pPr>
      <w:r>
        <w:rPr>
          <w:rStyle w:val="FootnoteReference"/>
        </w:rPr>
        <w:footnoteRef/>
      </w:r>
      <w:r>
        <w:t xml:space="preserve"> [Ed: JWA]: The Hebrew verbs are past passive forms: “For a child </w:t>
      </w:r>
      <w:r>
        <w:rPr>
          <w:b/>
        </w:rPr>
        <w:t xml:space="preserve">was born </w:t>
      </w:r>
      <w:r>
        <w:t xml:space="preserve">to us, a son </w:t>
      </w:r>
      <w:r>
        <w:rPr>
          <w:b/>
        </w:rPr>
        <w:t>was given</w:t>
      </w:r>
      <w:r>
        <w:t xml:space="preserve"> to us...” (cf., KJV </w:t>
      </w:r>
      <w:r>
        <w:rPr>
          <w:szCs w:val="28"/>
        </w:rPr>
        <w:t>Ps 87:4, 5, 6</w:t>
      </w:r>
      <w:r>
        <w:t xml:space="preserve">. In these verses for the same Hebrew passive ‘was born’ LXX, as in Isa 9:6, is consistent with Greek passive forms of </w:t>
      </w:r>
      <w:proofErr w:type="spellStart"/>
      <w:r w:rsidRPr="008724A0">
        <w:rPr>
          <w:rFonts w:ascii="Bwgrkl" w:hAnsi="Bwgrkl" w:cs="Bwgrkl"/>
          <w:bCs/>
          <w:color w:val="auto"/>
          <w:sz w:val="20"/>
          <w:lang w:eastAsia="en-GB" w:bidi="he-IL"/>
        </w:rPr>
        <w:t>gi</w:t>
      </w:r>
      <w:proofErr w:type="gramStart"/>
      <w:r w:rsidRPr="008724A0">
        <w:rPr>
          <w:rFonts w:ascii="Bwgrkl" w:hAnsi="Bwgrkl" w:cs="Bwgrkl"/>
          <w:bCs/>
          <w:color w:val="auto"/>
          <w:sz w:val="20"/>
          <w:lang w:eastAsia="en-GB" w:bidi="he-IL"/>
        </w:rPr>
        <w:t>,nomai</w:t>
      </w:r>
      <w:proofErr w:type="spellEnd"/>
      <w:proofErr w:type="gramEnd"/>
      <w:r>
        <w:t xml:space="preserve">. LXX Ps </w:t>
      </w:r>
      <w:r>
        <w:rPr>
          <w:szCs w:val="28"/>
        </w:rPr>
        <w:t>86:4,</w:t>
      </w:r>
      <w:r>
        <w:t xml:space="preserve"> 5, 6</w:t>
      </w:r>
      <w:r>
        <w:rPr>
          <w:szCs w:val="28"/>
        </w:rPr>
        <w:t>).</w:t>
      </w:r>
    </w:p>
  </w:footnote>
  <w:footnote w:id="83">
    <w:p w:rsidR="00FB0788" w:rsidRDefault="00FB0788" w:rsidP="00360107">
      <w:pPr>
        <w:pStyle w:val="FootnoteText"/>
      </w:pPr>
      <w:r>
        <w:rPr>
          <w:rStyle w:val="FootnoteReference"/>
        </w:rPr>
        <w:footnoteRef/>
      </w:r>
      <w:r>
        <w:t xml:space="preserve"> O. Kaiser, </w:t>
      </w:r>
      <w:r w:rsidRPr="001D4B67">
        <w:rPr>
          <w:i/>
        </w:rPr>
        <w:t>Isaiah 1-12</w:t>
      </w:r>
      <w:r>
        <w:t xml:space="preserve"> (2</w:t>
      </w:r>
      <w:r w:rsidRPr="008D25BD">
        <w:rPr>
          <w:vertAlign w:val="superscript"/>
        </w:rPr>
        <w:t>nd</w:t>
      </w:r>
      <w:r>
        <w:t xml:space="preserve"> ed.; London: SCM Press, 1983), 210-217; R. E. Clements, </w:t>
      </w:r>
      <w:r w:rsidRPr="001D4B67">
        <w:rPr>
          <w:i/>
        </w:rPr>
        <w:t>Isaiah 1-39</w:t>
      </w:r>
      <w:r>
        <w:t xml:space="preserve"> (NCB; London: Marshall Morgan &amp; Scott, 1980), 107-109. </w:t>
      </w:r>
    </w:p>
  </w:footnote>
  <w:footnote w:id="84">
    <w:p w:rsidR="00FB0788" w:rsidRDefault="00FB0788" w:rsidP="00360107">
      <w:pPr>
        <w:pStyle w:val="FootnoteText"/>
      </w:pPr>
      <w:r>
        <w:rPr>
          <w:rStyle w:val="FootnoteReference"/>
        </w:rPr>
        <w:footnoteRef/>
      </w:r>
      <w:r>
        <w:t xml:space="preserve"> </w:t>
      </w:r>
      <w:r w:rsidRPr="00F35718">
        <w:t>The RSV and NASB have “</w:t>
      </w:r>
      <w:r w:rsidRPr="00F35718">
        <w:rPr>
          <w:lang w:eastAsia="en-GB" w:bidi="he-IL"/>
        </w:rPr>
        <w:t>for he will come like a rushing stream, which the wind of the L</w:t>
      </w:r>
      <w:r>
        <w:rPr>
          <w:lang w:eastAsia="en-GB" w:bidi="he-IL"/>
        </w:rPr>
        <w:t>ord</w:t>
      </w:r>
      <w:r w:rsidRPr="00F35718">
        <w:rPr>
          <w:lang w:eastAsia="en-GB" w:bidi="he-IL"/>
        </w:rPr>
        <w:t xml:space="preserve"> drives”</w:t>
      </w:r>
      <w:r>
        <w:rPr>
          <w:lang w:eastAsia="en-GB" w:bidi="he-IL"/>
        </w:rPr>
        <w:t xml:space="preserve"> but we would argue that the KJV is correct.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45"/>
    <w:multiLevelType w:val="hybridMultilevel"/>
    <w:tmpl w:val="A9DA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F2945"/>
    <w:multiLevelType w:val="hybridMultilevel"/>
    <w:tmpl w:val="D61A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0A5B59"/>
    <w:multiLevelType w:val="hybridMultilevel"/>
    <w:tmpl w:val="7CFE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CE4C38"/>
    <w:multiLevelType w:val="hybridMultilevel"/>
    <w:tmpl w:val="9F5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950FC"/>
    <w:multiLevelType w:val="hybridMultilevel"/>
    <w:tmpl w:val="3F46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F536F"/>
    <w:multiLevelType w:val="hybridMultilevel"/>
    <w:tmpl w:val="49140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E12B3"/>
    <w:multiLevelType w:val="hybridMultilevel"/>
    <w:tmpl w:val="2536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236CCD"/>
    <w:multiLevelType w:val="hybridMultilevel"/>
    <w:tmpl w:val="9DD0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4F67D5"/>
    <w:multiLevelType w:val="hybridMultilevel"/>
    <w:tmpl w:val="4D50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031EC"/>
    <w:multiLevelType w:val="hybridMultilevel"/>
    <w:tmpl w:val="CA6E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3235E6"/>
    <w:multiLevelType w:val="hybridMultilevel"/>
    <w:tmpl w:val="C85AB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221CC5"/>
    <w:multiLevelType w:val="hybridMultilevel"/>
    <w:tmpl w:val="F316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5"/>
  </w:num>
  <w:num w:numId="6">
    <w:abstractNumId w:val="0"/>
  </w:num>
  <w:num w:numId="7">
    <w:abstractNumId w:val="4"/>
  </w:num>
  <w:num w:numId="8">
    <w:abstractNumId w:val="10"/>
  </w:num>
  <w:num w:numId="9">
    <w:abstractNumId w:val="1"/>
  </w:num>
  <w:num w:numId="10">
    <w:abstractNumId w:val="7"/>
  </w:num>
  <w:num w:numId="11">
    <w:abstractNumId w:val="8"/>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f" fillcolor="white" stroke="f" strokecolor="blue">
      <v:fill color="white" on="f"/>
      <v:stroke color="blu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1407"/>
    <w:rsid w:val="00001A70"/>
    <w:rsid w:val="00002870"/>
    <w:rsid w:val="000047FE"/>
    <w:rsid w:val="000052C2"/>
    <w:rsid w:val="00005770"/>
    <w:rsid w:val="000060D2"/>
    <w:rsid w:val="00006585"/>
    <w:rsid w:val="000067C3"/>
    <w:rsid w:val="00006C36"/>
    <w:rsid w:val="00006C54"/>
    <w:rsid w:val="00007CDC"/>
    <w:rsid w:val="00010EA7"/>
    <w:rsid w:val="00011C98"/>
    <w:rsid w:val="00011F60"/>
    <w:rsid w:val="00012AC9"/>
    <w:rsid w:val="00013C8C"/>
    <w:rsid w:val="00013E17"/>
    <w:rsid w:val="00016DF4"/>
    <w:rsid w:val="0001765C"/>
    <w:rsid w:val="00020491"/>
    <w:rsid w:val="00023D99"/>
    <w:rsid w:val="00023E15"/>
    <w:rsid w:val="000242C6"/>
    <w:rsid w:val="000244BA"/>
    <w:rsid w:val="00025899"/>
    <w:rsid w:val="00025E6A"/>
    <w:rsid w:val="00027FC8"/>
    <w:rsid w:val="000301FB"/>
    <w:rsid w:val="0003151D"/>
    <w:rsid w:val="00032AF0"/>
    <w:rsid w:val="00033516"/>
    <w:rsid w:val="0003353A"/>
    <w:rsid w:val="000339AD"/>
    <w:rsid w:val="00033FD5"/>
    <w:rsid w:val="0003414E"/>
    <w:rsid w:val="00034FE0"/>
    <w:rsid w:val="000352A8"/>
    <w:rsid w:val="000357EB"/>
    <w:rsid w:val="00036891"/>
    <w:rsid w:val="00041884"/>
    <w:rsid w:val="00044B54"/>
    <w:rsid w:val="00045108"/>
    <w:rsid w:val="00045AF1"/>
    <w:rsid w:val="00045CDD"/>
    <w:rsid w:val="0004757A"/>
    <w:rsid w:val="000475E6"/>
    <w:rsid w:val="00047EA3"/>
    <w:rsid w:val="00050A60"/>
    <w:rsid w:val="00050E51"/>
    <w:rsid w:val="00051984"/>
    <w:rsid w:val="00051ADB"/>
    <w:rsid w:val="00052E1E"/>
    <w:rsid w:val="00052EE8"/>
    <w:rsid w:val="000535F2"/>
    <w:rsid w:val="0005371E"/>
    <w:rsid w:val="00054997"/>
    <w:rsid w:val="000550AF"/>
    <w:rsid w:val="00055CFC"/>
    <w:rsid w:val="00056218"/>
    <w:rsid w:val="000606B9"/>
    <w:rsid w:val="000607AE"/>
    <w:rsid w:val="00061083"/>
    <w:rsid w:val="00061738"/>
    <w:rsid w:val="000621FE"/>
    <w:rsid w:val="0006260A"/>
    <w:rsid w:val="000626CF"/>
    <w:rsid w:val="00062F6B"/>
    <w:rsid w:val="0006494B"/>
    <w:rsid w:val="0006577B"/>
    <w:rsid w:val="00066193"/>
    <w:rsid w:val="00066E93"/>
    <w:rsid w:val="00067025"/>
    <w:rsid w:val="000675CC"/>
    <w:rsid w:val="00067C20"/>
    <w:rsid w:val="00067CBA"/>
    <w:rsid w:val="00070396"/>
    <w:rsid w:val="00070B72"/>
    <w:rsid w:val="00071351"/>
    <w:rsid w:val="00071F41"/>
    <w:rsid w:val="00072131"/>
    <w:rsid w:val="0007247A"/>
    <w:rsid w:val="000727B9"/>
    <w:rsid w:val="000734D2"/>
    <w:rsid w:val="00073A51"/>
    <w:rsid w:val="000740BB"/>
    <w:rsid w:val="00074F17"/>
    <w:rsid w:val="000750A3"/>
    <w:rsid w:val="00075BD7"/>
    <w:rsid w:val="00080197"/>
    <w:rsid w:val="00080E38"/>
    <w:rsid w:val="00080EFD"/>
    <w:rsid w:val="0008220F"/>
    <w:rsid w:val="000828A4"/>
    <w:rsid w:val="000832B0"/>
    <w:rsid w:val="0008470F"/>
    <w:rsid w:val="000864CC"/>
    <w:rsid w:val="000907BF"/>
    <w:rsid w:val="00092334"/>
    <w:rsid w:val="00092DFC"/>
    <w:rsid w:val="000949C7"/>
    <w:rsid w:val="00094BC7"/>
    <w:rsid w:val="00096746"/>
    <w:rsid w:val="000A157A"/>
    <w:rsid w:val="000A2FAA"/>
    <w:rsid w:val="000A325F"/>
    <w:rsid w:val="000A36C4"/>
    <w:rsid w:val="000A3EE4"/>
    <w:rsid w:val="000A3F8F"/>
    <w:rsid w:val="000A4ACB"/>
    <w:rsid w:val="000A4CEC"/>
    <w:rsid w:val="000A5C06"/>
    <w:rsid w:val="000A5E4C"/>
    <w:rsid w:val="000A5F63"/>
    <w:rsid w:val="000A6B24"/>
    <w:rsid w:val="000A6E64"/>
    <w:rsid w:val="000B0D8D"/>
    <w:rsid w:val="000B1197"/>
    <w:rsid w:val="000B1792"/>
    <w:rsid w:val="000B4218"/>
    <w:rsid w:val="000B472C"/>
    <w:rsid w:val="000B4C8B"/>
    <w:rsid w:val="000B4D91"/>
    <w:rsid w:val="000B5A00"/>
    <w:rsid w:val="000B5EBD"/>
    <w:rsid w:val="000B6755"/>
    <w:rsid w:val="000B69D4"/>
    <w:rsid w:val="000B734D"/>
    <w:rsid w:val="000C0830"/>
    <w:rsid w:val="000C23E8"/>
    <w:rsid w:val="000C3984"/>
    <w:rsid w:val="000C3F9E"/>
    <w:rsid w:val="000C49E0"/>
    <w:rsid w:val="000C5981"/>
    <w:rsid w:val="000C5D64"/>
    <w:rsid w:val="000C6C83"/>
    <w:rsid w:val="000D03A9"/>
    <w:rsid w:val="000D1212"/>
    <w:rsid w:val="000D1DC8"/>
    <w:rsid w:val="000D642B"/>
    <w:rsid w:val="000D67BC"/>
    <w:rsid w:val="000D6C6A"/>
    <w:rsid w:val="000D7257"/>
    <w:rsid w:val="000D7693"/>
    <w:rsid w:val="000E03C7"/>
    <w:rsid w:val="000E08DC"/>
    <w:rsid w:val="000E0970"/>
    <w:rsid w:val="000E1DEA"/>
    <w:rsid w:val="000E293E"/>
    <w:rsid w:val="000E2B5A"/>
    <w:rsid w:val="000E2CE6"/>
    <w:rsid w:val="000E2E72"/>
    <w:rsid w:val="000E4136"/>
    <w:rsid w:val="000E4996"/>
    <w:rsid w:val="000E4CF1"/>
    <w:rsid w:val="000E6102"/>
    <w:rsid w:val="000E677F"/>
    <w:rsid w:val="000E6CB6"/>
    <w:rsid w:val="000F02C1"/>
    <w:rsid w:val="000F0B35"/>
    <w:rsid w:val="000F1348"/>
    <w:rsid w:val="000F1965"/>
    <w:rsid w:val="000F2117"/>
    <w:rsid w:val="000F2449"/>
    <w:rsid w:val="000F2538"/>
    <w:rsid w:val="000F480A"/>
    <w:rsid w:val="000F4865"/>
    <w:rsid w:val="000F5CF4"/>
    <w:rsid w:val="000F6C54"/>
    <w:rsid w:val="000F742B"/>
    <w:rsid w:val="000F7DCE"/>
    <w:rsid w:val="001004A6"/>
    <w:rsid w:val="00100783"/>
    <w:rsid w:val="001016E8"/>
    <w:rsid w:val="001033E5"/>
    <w:rsid w:val="001033F2"/>
    <w:rsid w:val="001051F8"/>
    <w:rsid w:val="001053A9"/>
    <w:rsid w:val="001072AB"/>
    <w:rsid w:val="00107305"/>
    <w:rsid w:val="0010798E"/>
    <w:rsid w:val="00107D37"/>
    <w:rsid w:val="0011017A"/>
    <w:rsid w:val="001101A6"/>
    <w:rsid w:val="001111A5"/>
    <w:rsid w:val="001115B3"/>
    <w:rsid w:val="001132C8"/>
    <w:rsid w:val="001136C7"/>
    <w:rsid w:val="001137EE"/>
    <w:rsid w:val="00113FC2"/>
    <w:rsid w:val="00115BD0"/>
    <w:rsid w:val="001163CB"/>
    <w:rsid w:val="0011710A"/>
    <w:rsid w:val="00117E7C"/>
    <w:rsid w:val="00117ECF"/>
    <w:rsid w:val="001207EC"/>
    <w:rsid w:val="00121029"/>
    <w:rsid w:val="001213B0"/>
    <w:rsid w:val="00122E23"/>
    <w:rsid w:val="00122EE3"/>
    <w:rsid w:val="001247FB"/>
    <w:rsid w:val="00127657"/>
    <w:rsid w:val="00127859"/>
    <w:rsid w:val="001302B9"/>
    <w:rsid w:val="0013062A"/>
    <w:rsid w:val="00131080"/>
    <w:rsid w:val="00131711"/>
    <w:rsid w:val="00132785"/>
    <w:rsid w:val="00132A4B"/>
    <w:rsid w:val="00132ADC"/>
    <w:rsid w:val="001340A1"/>
    <w:rsid w:val="00135D3C"/>
    <w:rsid w:val="00135D43"/>
    <w:rsid w:val="001375ED"/>
    <w:rsid w:val="001419AF"/>
    <w:rsid w:val="00141AB1"/>
    <w:rsid w:val="00142CCC"/>
    <w:rsid w:val="001437B6"/>
    <w:rsid w:val="0014388F"/>
    <w:rsid w:val="00143C46"/>
    <w:rsid w:val="00144A45"/>
    <w:rsid w:val="0014501D"/>
    <w:rsid w:val="00145750"/>
    <w:rsid w:val="00146742"/>
    <w:rsid w:val="00146988"/>
    <w:rsid w:val="00147435"/>
    <w:rsid w:val="00150B76"/>
    <w:rsid w:val="00151FF1"/>
    <w:rsid w:val="00152490"/>
    <w:rsid w:val="001525DB"/>
    <w:rsid w:val="001527E4"/>
    <w:rsid w:val="00152EE2"/>
    <w:rsid w:val="001530B1"/>
    <w:rsid w:val="0015441A"/>
    <w:rsid w:val="001571BA"/>
    <w:rsid w:val="001575DB"/>
    <w:rsid w:val="0016196A"/>
    <w:rsid w:val="00161B0D"/>
    <w:rsid w:val="00161B7D"/>
    <w:rsid w:val="00163F07"/>
    <w:rsid w:val="00165A66"/>
    <w:rsid w:val="001665A2"/>
    <w:rsid w:val="00166AF8"/>
    <w:rsid w:val="0016768C"/>
    <w:rsid w:val="001679F2"/>
    <w:rsid w:val="00170EC3"/>
    <w:rsid w:val="0017145F"/>
    <w:rsid w:val="001720A3"/>
    <w:rsid w:val="001727FC"/>
    <w:rsid w:val="001759B4"/>
    <w:rsid w:val="00175E95"/>
    <w:rsid w:val="00175F87"/>
    <w:rsid w:val="00177D61"/>
    <w:rsid w:val="001814D6"/>
    <w:rsid w:val="001819B3"/>
    <w:rsid w:val="001822B0"/>
    <w:rsid w:val="001832BC"/>
    <w:rsid w:val="00184CAC"/>
    <w:rsid w:val="00185B78"/>
    <w:rsid w:val="001861BF"/>
    <w:rsid w:val="00186D61"/>
    <w:rsid w:val="00190393"/>
    <w:rsid w:val="001907BB"/>
    <w:rsid w:val="00190E1C"/>
    <w:rsid w:val="00190F5C"/>
    <w:rsid w:val="001913DA"/>
    <w:rsid w:val="0019267D"/>
    <w:rsid w:val="00193419"/>
    <w:rsid w:val="00193AD8"/>
    <w:rsid w:val="00193F4C"/>
    <w:rsid w:val="00195D05"/>
    <w:rsid w:val="00196065"/>
    <w:rsid w:val="001966AE"/>
    <w:rsid w:val="0019771F"/>
    <w:rsid w:val="001979B5"/>
    <w:rsid w:val="001A0A42"/>
    <w:rsid w:val="001A1464"/>
    <w:rsid w:val="001A172F"/>
    <w:rsid w:val="001A1D14"/>
    <w:rsid w:val="001A2B7B"/>
    <w:rsid w:val="001A4A5E"/>
    <w:rsid w:val="001A4E84"/>
    <w:rsid w:val="001A52B5"/>
    <w:rsid w:val="001A6990"/>
    <w:rsid w:val="001A74BD"/>
    <w:rsid w:val="001A7F39"/>
    <w:rsid w:val="001B000C"/>
    <w:rsid w:val="001B00F5"/>
    <w:rsid w:val="001B03D9"/>
    <w:rsid w:val="001B06EC"/>
    <w:rsid w:val="001B3A90"/>
    <w:rsid w:val="001B45D9"/>
    <w:rsid w:val="001B7AA0"/>
    <w:rsid w:val="001C3FA4"/>
    <w:rsid w:val="001C4F4E"/>
    <w:rsid w:val="001C54B2"/>
    <w:rsid w:val="001C5810"/>
    <w:rsid w:val="001C7EBB"/>
    <w:rsid w:val="001C7F28"/>
    <w:rsid w:val="001D1D67"/>
    <w:rsid w:val="001D2280"/>
    <w:rsid w:val="001D29A7"/>
    <w:rsid w:val="001D3E1A"/>
    <w:rsid w:val="001D447D"/>
    <w:rsid w:val="001D491C"/>
    <w:rsid w:val="001D4B20"/>
    <w:rsid w:val="001D6C4A"/>
    <w:rsid w:val="001D7340"/>
    <w:rsid w:val="001D7C32"/>
    <w:rsid w:val="001E10B8"/>
    <w:rsid w:val="001E3062"/>
    <w:rsid w:val="001E416A"/>
    <w:rsid w:val="001E4AA9"/>
    <w:rsid w:val="001E4C45"/>
    <w:rsid w:val="001E54B0"/>
    <w:rsid w:val="001E57E5"/>
    <w:rsid w:val="001E751C"/>
    <w:rsid w:val="001F0C43"/>
    <w:rsid w:val="001F0F2C"/>
    <w:rsid w:val="001F1467"/>
    <w:rsid w:val="001F2951"/>
    <w:rsid w:val="001F403C"/>
    <w:rsid w:val="001F4806"/>
    <w:rsid w:val="001F60BC"/>
    <w:rsid w:val="001F6719"/>
    <w:rsid w:val="001F7D04"/>
    <w:rsid w:val="0020359C"/>
    <w:rsid w:val="00203E92"/>
    <w:rsid w:val="00204411"/>
    <w:rsid w:val="00207266"/>
    <w:rsid w:val="002078CC"/>
    <w:rsid w:val="00207DC2"/>
    <w:rsid w:val="00207E03"/>
    <w:rsid w:val="00210BEF"/>
    <w:rsid w:val="00210D44"/>
    <w:rsid w:val="00212891"/>
    <w:rsid w:val="002133F5"/>
    <w:rsid w:val="0021351A"/>
    <w:rsid w:val="00213600"/>
    <w:rsid w:val="00214908"/>
    <w:rsid w:val="00214BDB"/>
    <w:rsid w:val="00215BF9"/>
    <w:rsid w:val="00215C84"/>
    <w:rsid w:val="00216350"/>
    <w:rsid w:val="00216419"/>
    <w:rsid w:val="002176BD"/>
    <w:rsid w:val="0021770A"/>
    <w:rsid w:val="00217D35"/>
    <w:rsid w:val="0022098C"/>
    <w:rsid w:val="002211C7"/>
    <w:rsid w:val="0022204D"/>
    <w:rsid w:val="0022329E"/>
    <w:rsid w:val="00223F91"/>
    <w:rsid w:val="00225393"/>
    <w:rsid w:val="00225668"/>
    <w:rsid w:val="00226BA0"/>
    <w:rsid w:val="00231042"/>
    <w:rsid w:val="002315A8"/>
    <w:rsid w:val="002320E2"/>
    <w:rsid w:val="00232587"/>
    <w:rsid w:val="0023319B"/>
    <w:rsid w:val="00234FCE"/>
    <w:rsid w:val="002364F0"/>
    <w:rsid w:val="00236C68"/>
    <w:rsid w:val="0023714E"/>
    <w:rsid w:val="00237958"/>
    <w:rsid w:val="00240006"/>
    <w:rsid w:val="00241633"/>
    <w:rsid w:val="002418F0"/>
    <w:rsid w:val="00242AED"/>
    <w:rsid w:val="00243811"/>
    <w:rsid w:val="00243E4A"/>
    <w:rsid w:val="002446CB"/>
    <w:rsid w:val="002505AE"/>
    <w:rsid w:val="0025060A"/>
    <w:rsid w:val="00251326"/>
    <w:rsid w:val="00252211"/>
    <w:rsid w:val="00252817"/>
    <w:rsid w:val="00252995"/>
    <w:rsid w:val="002536D7"/>
    <w:rsid w:val="0025459F"/>
    <w:rsid w:val="002556DE"/>
    <w:rsid w:val="00256ECD"/>
    <w:rsid w:val="0025762A"/>
    <w:rsid w:val="00257FD2"/>
    <w:rsid w:val="00260B86"/>
    <w:rsid w:val="002629FD"/>
    <w:rsid w:val="00262DAB"/>
    <w:rsid w:val="00263469"/>
    <w:rsid w:val="002634E2"/>
    <w:rsid w:val="00265B24"/>
    <w:rsid w:val="00265BB0"/>
    <w:rsid w:val="00266D56"/>
    <w:rsid w:val="00266E75"/>
    <w:rsid w:val="002672E1"/>
    <w:rsid w:val="002679C3"/>
    <w:rsid w:val="00267BC1"/>
    <w:rsid w:val="0027148D"/>
    <w:rsid w:val="0027253E"/>
    <w:rsid w:val="00274583"/>
    <w:rsid w:val="00275D2F"/>
    <w:rsid w:val="0027632B"/>
    <w:rsid w:val="002763A1"/>
    <w:rsid w:val="0027648A"/>
    <w:rsid w:val="00276D2C"/>
    <w:rsid w:val="00277670"/>
    <w:rsid w:val="00277E56"/>
    <w:rsid w:val="00277F12"/>
    <w:rsid w:val="002803E5"/>
    <w:rsid w:val="00283108"/>
    <w:rsid w:val="00285AC3"/>
    <w:rsid w:val="00286517"/>
    <w:rsid w:val="002865D2"/>
    <w:rsid w:val="0029061B"/>
    <w:rsid w:val="00292AFE"/>
    <w:rsid w:val="002934AC"/>
    <w:rsid w:val="002941D6"/>
    <w:rsid w:val="00294206"/>
    <w:rsid w:val="00294650"/>
    <w:rsid w:val="00295240"/>
    <w:rsid w:val="00295F52"/>
    <w:rsid w:val="002A03E0"/>
    <w:rsid w:val="002A0FA5"/>
    <w:rsid w:val="002A178D"/>
    <w:rsid w:val="002A1AD2"/>
    <w:rsid w:val="002A2027"/>
    <w:rsid w:val="002A2210"/>
    <w:rsid w:val="002A27D1"/>
    <w:rsid w:val="002A2EB7"/>
    <w:rsid w:val="002A3FC5"/>
    <w:rsid w:val="002A4264"/>
    <w:rsid w:val="002A635B"/>
    <w:rsid w:val="002B1875"/>
    <w:rsid w:val="002B19ED"/>
    <w:rsid w:val="002B1BA0"/>
    <w:rsid w:val="002B235E"/>
    <w:rsid w:val="002B292F"/>
    <w:rsid w:val="002B294C"/>
    <w:rsid w:val="002B2A67"/>
    <w:rsid w:val="002B2D99"/>
    <w:rsid w:val="002B3018"/>
    <w:rsid w:val="002B5DDC"/>
    <w:rsid w:val="002B61F6"/>
    <w:rsid w:val="002B6D49"/>
    <w:rsid w:val="002B78F2"/>
    <w:rsid w:val="002C0A7E"/>
    <w:rsid w:val="002C1316"/>
    <w:rsid w:val="002C2A23"/>
    <w:rsid w:val="002C424F"/>
    <w:rsid w:val="002C5760"/>
    <w:rsid w:val="002C5E0C"/>
    <w:rsid w:val="002D0B84"/>
    <w:rsid w:val="002D19EB"/>
    <w:rsid w:val="002D391E"/>
    <w:rsid w:val="002D3B84"/>
    <w:rsid w:val="002D3C12"/>
    <w:rsid w:val="002D4ED3"/>
    <w:rsid w:val="002D507F"/>
    <w:rsid w:val="002D572A"/>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6E5F"/>
    <w:rsid w:val="002F2128"/>
    <w:rsid w:val="002F24A6"/>
    <w:rsid w:val="002F4E23"/>
    <w:rsid w:val="002F6082"/>
    <w:rsid w:val="002F6227"/>
    <w:rsid w:val="003003AA"/>
    <w:rsid w:val="00300899"/>
    <w:rsid w:val="00300F6E"/>
    <w:rsid w:val="003015C1"/>
    <w:rsid w:val="003041C6"/>
    <w:rsid w:val="0030545A"/>
    <w:rsid w:val="00306E91"/>
    <w:rsid w:val="00307D4F"/>
    <w:rsid w:val="0031087E"/>
    <w:rsid w:val="00310CD9"/>
    <w:rsid w:val="003111A8"/>
    <w:rsid w:val="0031151C"/>
    <w:rsid w:val="00311B08"/>
    <w:rsid w:val="00313B5E"/>
    <w:rsid w:val="00316C94"/>
    <w:rsid w:val="00316CA3"/>
    <w:rsid w:val="003172DA"/>
    <w:rsid w:val="003217FF"/>
    <w:rsid w:val="0032230C"/>
    <w:rsid w:val="003236C9"/>
    <w:rsid w:val="00324D6F"/>
    <w:rsid w:val="0032709C"/>
    <w:rsid w:val="0032732B"/>
    <w:rsid w:val="00330BE8"/>
    <w:rsid w:val="00331128"/>
    <w:rsid w:val="00332136"/>
    <w:rsid w:val="003331E0"/>
    <w:rsid w:val="00333D33"/>
    <w:rsid w:val="0033449C"/>
    <w:rsid w:val="00334AC2"/>
    <w:rsid w:val="00334E66"/>
    <w:rsid w:val="003358BA"/>
    <w:rsid w:val="00335D73"/>
    <w:rsid w:val="003370CA"/>
    <w:rsid w:val="003379E9"/>
    <w:rsid w:val="00337A0A"/>
    <w:rsid w:val="00342718"/>
    <w:rsid w:val="00342D9F"/>
    <w:rsid w:val="003433DA"/>
    <w:rsid w:val="00343835"/>
    <w:rsid w:val="0034485F"/>
    <w:rsid w:val="00344F45"/>
    <w:rsid w:val="00346678"/>
    <w:rsid w:val="003467D6"/>
    <w:rsid w:val="0034730B"/>
    <w:rsid w:val="0034782B"/>
    <w:rsid w:val="00347EB7"/>
    <w:rsid w:val="00351566"/>
    <w:rsid w:val="00351EE0"/>
    <w:rsid w:val="00351FA7"/>
    <w:rsid w:val="00352C2D"/>
    <w:rsid w:val="003530FC"/>
    <w:rsid w:val="00353F08"/>
    <w:rsid w:val="003542B9"/>
    <w:rsid w:val="00354384"/>
    <w:rsid w:val="00355C42"/>
    <w:rsid w:val="003563AD"/>
    <w:rsid w:val="00357C98"/>
    <w:rsid w:val="00360107"/>
    <w:rsid w:val="003618B5"/>
    <w:rsid w:val="003620CE"/>
    <w:rsid w:val="0036215E"/>
    <w:rsid w:val="00363A6B"/>
    <w:rsid w:val="0036444E"/>
    <w:rsid w:val="0036573C"/>
    <w:rsid w:val="003663F2"/>
    <w:rsid w:val="00366E70"/>
    <w:rsid w:val="0037046C"/>
    <w:rsid w:val="00371387"/>
    <w:rsid w:val="0037212D"/>
    <w:rsid w:val="00372835"/>
    <w:rsid w:val="00372B85"/>
    <w:rsid w:val="003730C2"/>
    <w:rsid w:val="003740FB"/>
    <w:rsid w:val="00375576"/>
    <w:rsid w:val="003755E8"/>
    <w:rsid w:val="003759E4"/>
    <w:rsid w:val="003763B7"/>
    <w:rsid w:val="00376968"/>
    <w:rsid w:val="00376ABC"/>
    <w:rsid w:val="0038077C"/>
    <w:rsid w:val="00381618"/>
    <w:rsid w:val="003819A4"/>
    <w:rsid w:val="00381CEB"/>
    <w:rsid w:val="00382F59"/>
    <w:rsid w:val="0038354D"/>
    <w:rsid w:val="0038379D"/>
    <w:rsid w:val="00383B5C"/>
    <w:rsid w:val="00383E12"/>
    <w:rsid w:val="003846ED"/>
    <w:rsid w:val="00384C6B"/>
    <w:rsid w:val="003904F8"/>
    <w:rsid w:val="00390875"/>
    <w:rsid w:val="00390E02"/>
    <w:rsid w:val="003916BD"/>
    <w:rsid w:val="00391EA7"/>
    <w:rsid w:val="0039268C"/>
    <w:rsid w:val="0039342F"/>
    <w:rsid w:val="003942C2"/>
    <w:rsid w:val="00394CE3"/>
    <w:rsid w:val="00394DD7"/>
    <w:rsid w:val="00395438"/>
    <w:rsid w:val="003969F2"/>
    <w:rsid w:val="00396B5D"/>
    <w:rsid w:val="00396BCC"/>
    <w:rsid w:val="00397D99"/>
    <w:rsid w:val="003A0EC6"/>
    <w:rsid w:val="003A15D8"/>
    <w:rsid w:val="003A1C8F"/>
    <w:rsid w:val="003A1FC1"/>
    <w:rsid w:val="003A3143"/>
    <w:rsid w:val="003A3CEB"/>
    <w:rsid w:val="003A63D9"/>
    <w:rsid w:val="003A68E7"/>
    <w:rsid w:val="003A6A2D"/>
    <w:rsid w:val="003A6D0E"/>
    <w:rsid w:val="003A6D6E"/>
    <w:rsid w:val="003A71D3"/>
    <w:rsid w:val="003A7BED"/>
    <w:rsid w:val="003B02B7"/>
    <w:rsid w:val="003B27A7"/>
    <w:rsid w:val="003B3E71"/>
    <w:rsid w:val="003B516E"/>
    <w:rsid w:val="003B55FD"/>
    <w:rsid w:val="003B6934"/>
    <w:rsid w:val="003B748E"/>
    <w:rsid w:val="003B7A53"/>
    <w:rsid w:val="003C05F6"/>
    <w:rsid w:val="003C0B05"/>
    <w:rsid w:val="003C1153"/>
    <w:rsid w:val="003C1E2A"/>
    <w:rsid w:val="003C313B"/>
    <w:rsid w:val="003C36DA"/>
    <w:rsid w:val="003C3A28"/>
    <w:rsid w:val="003C3EAF"/>
    <w:rsid w:val="003C4005"/>
    <w:rsid w:val="003C58FA"/>
    <w:rsid w:val="003C6A37"/>
    <w:rsid w:val="003C6D3A"/>
    <w:rsid w:val="003C7B9D"/>
    <w:rsid w:val="003C7F07"/>
    <w:rsid w:val="003D0711"/>
    <w:rsid w:val="003D07F2"/>
    <w:rsid w:val="003D2C15"/>
    <w:rsid w:val="003D2E36"/>
    <w:rsid w:val="003D32B9"/>
    <w:rsid w:val="003D340C"/>
    <w:rsid w:val="003D41D2"/>
    <w:rsid w:val="003D4287"/>
    <w:rsid w:val="003D4466"/>
    <w:rsid w:val="003D48B3"/>
    <w:rsid w:val="003D4C83"/>
    <w:rsid w:val="003D512D"/>
    <w:rsid w:val="003D567A"/>
    <w:rsid w:val="003D693C"/>
    <w:rsid w:val="003D7993"/>
    <w:rsid w:val="003E012F"/>
    <w:rsid w:val="003E259E"/>
    <w:rsid w:val="003E271E"/>
    <w:rsid w:val="003E280C"/>
    <w:rsid w:val="003E3BF8"/>
    <w:rsid w:val="003E3F56"/>
    <w:rsid w:val="003E4383"/>
    <w:rsid w:val="003E4981"/>
    <w:rsid w:val="003E5BEC"/>
    <w:rsid w:val="003E5D0D"/>
    <w:rsid w:val="003E7274"/>
    <w:rsid w:val="003F00BF"/>
    <w:rsid w:val="003F1D6B"/>
    <w:rsid w:val="003F2D94"/>
    <w:rsid w:val="003F3823"/>
    <w:rsid w:val="003F42E4"/>
    <w:rsid w:val="003F452F"/>
    <w:rsid w:val="003F6284"/>
    <w:rsid w:val="0040043B"/>
    <w:rsid w:val="00400A62"/>
    <w:rsid w:val="0040165E"/>
    <w:rsid w:val="004024BD"/>
    <w:rsid w:val="004025E9"/>
    <w:rsid w:val="0040336C"/>
    <w:rsid w:val="00403DF7"/>
    <w:rsid w:val="004040F6"/>
    <w:rsid w:val="00405942"/>
    <w:rsid w:val="00406543"/>
    <w:rsid w:val="00411147"/>
    <w:rsid w:val="00411196"/>
    <w:rsid w:val="00411EDC"/>
    <w:rsid w:val="00412302"/>
    <w:rsid w:val="0041278C"/>
    <w:rsid w:val="00412EEA"/>
    <w:rsid w:val="004137F6"/>
    <w:rsid w:val="0041389E"/>
    <w:rsid w:val="00414170"/>
    <w:rsid w:val="00414192"/>
    <w:rsid w:val="004141D8"/>
    <w:rsid w:val="00415A83"/>
    <w:rsid w:val="00416053"/>
    <w:rsid w:val="00416CD5"/>
    <w:rsid w:val="00416D57"/>
    <w:rsid w:val="004170FD"/>
    <w:rsid w:val="00417EEE"/>
    <w:rsid w:val="0042077F"/>
    <w:rsid w:val="00420EF6"/>
    <w:rsid w:val="0042209A"/>
    <w:rsid w:val="0042352A"/>
    <w:rsid w:val="00423B33"/>
    <w:rsid w:val="00423F9C"/>
    <w:rsid w:val="00424DA8"/>
    <w:rsid w:val="0042535F"/>
    <w:rsid w:val="004267F0"/>
    <w:rsid w:val="00426D15"/>
    <w:rsid w:val="00427AC8"/>
    <w:rsid w:val="00430853"/>
    <w:rsid w:val="00430E8C"/>
    <w:rsid w:val="004324FA"/>
    <w:rsid w:val="00433088"/>
    <w:rsid w:val="004338DC"/>
    <w:rsid w:val="00433B05"/>
    <w:rsid w:val="0043579F"/>
    <w:rsid w:val="00435DCD"/>
    <w:rsid w:val="00436607"/>
    <w:rsid w:val="00436A38"/>
    <w:rsid w:val="00437A6A"/>
    <w:rsid w:val="00437B29"/>
    <w:rsid w:val="00440A9B"/>
    <w:rsid w:val="004419C6"/>
    <w:rsid w:val="00442866"/>
    <w:rsid w:val="00443D41"/>
    <w:rsid w:val="004452F3"/>
    <w:rsid w:val="00446429"/>
    <w:rsid w:val="00447FDE"/>
    <w:rsid w:val="00450A3C"/>
    <w:rsid w:val="00450AE5"/>
    <w:rsid w:val="00451911"/>
    <w:rsid w:val="00453235"/>
    <w:rsid w:val="00453F8F"/>
    <w:rsid w:val="0045406B"/>
    <w:rsid w:val="00454C6C"/>
    <w:rsid w:val="00456D77"/>
    <w:rsid w:val="00460D23"/>
    <w:rsid w:val="00460FE4"/>
    <w:rsid w:val="00461570"/>
    <w:rsid w:val="00463356"/>
    <w:rsid w:val="004637DC"/>
    <w:rsid w:val="0046456F"/>
    <w:rsid w:val="0046482C"/>
    <w:rsid w:val="00465F41"/>
    <w:rsid w:val="00467045"/>
    <w:rsid w:val="004677AE"/>
    <w:rsid w:val="00470334"/>
    <w:rsid w:val="004703CA"/>
    <w:rsid w:val="004726B1"/>
    <w:rsid w:val="004732E5"/>
    <w:rsid w:val="004736BA"/>
    <w:rsid w:val="00474F36"/>
    <w:rsid w:val="00475597"/>
    <w:rsid w:val="004767CA"/>
    <w:rsid w:val="00480B02"/>
    <w:rsid w:val="00480C11"/>
    <w:rsid w:val="00481647"/>
    <w:rsid w:val="00481890"/>
    <w:rsid w:val="00482093"/>
    <w:rsid w:val="0048248B"/>
    <w:rsid w:val="0048312A"/>
    <w:rsid w:val="00483F2F"/>
    <w:rsid w:val="0048406B"/>
    <w:rsid w:val="0048421A"/>
    <w:rsid w:val="004844A7"/>
    <w:rsid w:val="0048688C"/>
    <w:rsid w:val="004868A3"/>
    <w:rsid w:val="00486A22"/>
    <w:rsid w:val="0049028A"/>
    <w:rsid w:val="004904A1"/>
    <w:rsid w:val="004909BD"/>
    <w:rsid w:val="004936DC"/>
    <w:rsid w:val="004939EA"/>
    <w:rsid w:val="00495156"/>
    <w:rsid w:val="00495654"/>
    <w:rsid w:val="0049583B"/>
    <w:rsid w:val="00496610"/>
    <w:rsid w:val="004A013E"/>
    <w:rsid w:val="004A1027"/>
    <w:rsid w:val="004A1218"/>
    <w:rsid w:val="004A1312"/>
    <w:rsid w:val="004A26FE"/>
    <w:rsid w:val="004A2AA1"/>
    <w:rsid w:val="004A2E93"/>
    <w:rsid w:val="004A40C5"/>
    <w:rsid w:val="004A41D2"/>
    <w:rsid w:val="004A4477"/>
    <w:rsid w:val="004A516B"/>
    <w:rsid w:val="004A5389"/>
    <w:rsid w:val="004A5A23"/>
    <w:rsid w:val="004A6416"/>
    <w:rsid w:val="004A7A72"/>
    <w:rsid w:val="004B0F2C"/>
    <w:rsid w:val="004B1AC2"/>
    <w:rsid w:val="004B20D0"/>
    <w:rsid w:val="004B332B"/>
    <w:rsid w:val="004B55CD"/>
    <w:rsid w:val="004B644F"/>
    <w:rsid w:val="004B6769"/>
    <w:rsid w:val="004B6982"/>
    <w:rsid w:val="004B6A1B"/>
    <w:rsid w:val="004B6FFA"/>
    <w:rsid w:val="004C1F3E"/>
    <w:rsid w:val="004C5021"/>
    <w:rsid w:val="004C552B"/>
    <w:rsid w:val="004C69D3"/>
    <w:rsid w:val="004C7B4E"/>
    <w:rsid w:val="004D0C82"/>
    <w:rsid w:val="004D25B2"/>
    <w:rsid w:val="004D26CD"/>
    <w:rsid w:val="004D3082"/>
    <w:rsid w:val="004D4648"/>
    <w:rsid w:val="004D4A91"/>
    <w:rsid w:val="004D4AD4"/>
    <w:rsid w:val="004D51F5"/>
    <w:rsid w:val="004D540F"/>
    <w:rsid w:val="004D604F"/>
    <w:rsid w:val="004E083E"/>
    <w:rsid w:val="004E1BD8"/>
    <w:rsid w:val="004E33C8"/>
    <w:rsid w:val="004E3EA7"/>
    <w:rsid w:val="004E6419"/>
    <w:rsid w:val="004E66BE"/>
    <w:rsid w:val="004E7402"/>
    <w:rsid w:val="004E7846"/>
    <w:rsid w:val="004F0C33"/>
    <w:rsid w:val="004F0D97"/>
    <w:rsid w:val="004F125E"/>
    <w:rsid w:val="004F1668"/>
    <w:rsid w:val="004F191B"/>
    <w:rsid w:val="004F20C1"/>
    <w:rsid w:val="004F4334"/>
    <w:rsid w:val="004F4A35"/>
    <w:rsid w:val="004F64EF"/>
    <w:rsid w:val="004F6557"/>
    <w:rsid w:val="004F6C4E"/>
    <w:rsid w:val="004F6E89"/>
    <w:rsid w:val="0050030B"/>
    <w:rsid w:val="00501174"/>
    <w:rsid w:val="00501701"/>
    <w:rsid w:val="00502727"/>
    <w:rsid w:val="00502ADF"/>
    <w:rsid w:val="00502EA0"/>
    <w:rsid w:val="00503272"/>
    <w:rsid w:val="0050381A"/>
    <w:rsid w:val="00504B8B"/>
    <w:rsid w:val="00505D25"/>
    <w:rsid w:val="00505F37"/>
    <w:rsid w:val="0050793E"/>
    <w:rsid w:val="00507C80"/>
    <w:rsid w:val="0051058D"/>
    <w:rsid w:val="005117DD"/>
    <w:rsid w:val="00511DA9"/>
    <w:rsid w:val="00513E6D"/>
    <w:rsid w:val="005143B1"/>
    <w:rsid w:val="00514952"/>
    <w:rsid w:val="00514D21"/>
    <w:rsid w:val="00514DFD"/>
    <w:rsid w:val="005151CC"/>
    <w:rsid w:val="005160A9"/>
    <w:rsid w:val="00516293"/>
    <w:rsid w:val="00517313"/>
    <w:rsid w:val="00517D18"/>
    <w:rsid w:val="005213B4"/>
    <w:rsid w:val="00521BA1"/>
    <w:rsid w:val="00521FDA"/>
    <w:rsid w:val="005228B3"/>
    <w:rsid w:val="00522BE8"/>
    <w:rsid w:val="005258A8"/>
    <w:rsid w:val="00527DFA"/>
    <w:rsid w:val="00527FB9"/>
    <w:rsid w:val="005314D3"/>
    <w:rsid w:val="0053175E"/>
    <w:rsid w:val="00531812"/>
    <w:rsid w:val="00532724"/>
    <w:rsid w:val="00532F7A"/>
    <w:rsid w:val="0053319B"/>
    <w:rsid w:val="005351A3"/>
    <w:rsid w:val="0053609D"/>
    <w:rsid w:val="0053661C"/>
    <w:rsid w:val="00537F9F"/>
    <w:rsid w:val="00540E73"/>
    <w:rsid w:val="005417C4"/>
    <w:rsid w:val="005418BE"/>
    <w:rsid w:val="00542715"/>
    <w:rsid w:val="00542F17"/>
    <w:rsid w:val="0054337E"/>
    <w:rsid w:val="005437AE"/>
    <w:rsid w:val="00543C9C"/>
    <w:rsid w:val="00545312"/>
    <w:rsid w:val="0054552C"/>
    <w:rsid w:val="005459E6"/>
    <w:rsid w:val="005462DE"/>
    <w:rsid w:val="00546AA2"/>
    <w:rsid w:val="0054709C"/>
    <w:rsid w:val="00547EE3"/>
    <w:rsid w:val="00550266"/>
    <w:rsid w:val="005506B8"/>
    <w:rsid w:val="005512E0"/>
    <w:rsid w:val="00551391"/>
    <w:rsid w:val="00553D92"/>
    <w:rsid w:val="00553E3F"/>
    <w:rsid w:val="005554EB"/>
    <w:rsid w:val="00557265"/>
    <w:rsid w:val="005610DF"/>
    <w:rsid w:val="00561586"/>
    <w:rsid w:val="00561619"/>
    <w:rsid w:val="005616C2"/>
    <w:rsid w:val="00561947"/>
    <w:rsid w:val="00561AE6"/>
    <w:rsid w:val="00562334"/>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105"/>
    <w:rsid w:val="0057491C"/>
    <w:rsid w:val="0057496B"/>
    <w:rsid w:val="00575AAA"/>
    <w:rsid w:val="00576610"/>
    <w:rsid w:val="00577C11"/>
    <w:rsid w:val="005810A6"/>
    <w:rsid w:val="0058166B"/>
    <w:rsid w:val="0058187D"/>
    <w:rsid w:val="005821AF"/>
    <w:rsid w:val="005826DD"/>
    <w:rsid w:val="00584AED"/>
    <w:rsid w:val="0058608C"/>
    <w:rsid w:val="005860C0"/>
    <w:rsid w:val="00586EF8"/>
    <w:rsid w:val="00587B71"/>
    <w:rsid w:val="00590B5C"/>
    <w:rsid w:val="00591898"/>
    <w:rsid w:val="005924EB"/>
    <w:rsid w:val="0059352C"/>
    <w:rsid w:val="005938F1"/>
    <w:rsid w:val="00594E99"/>
    <w:rsid w:val="00595B9B"/>
    <w:rsid w:val="0059686D"/>
    <w:rsid w:val="00596925"/>
    <w:rsid w:val="005A107B"/>
    <w:rsid w:val="005A281F"/>
    <w:rsid w:val="005A2984"/>
    <w:rsid w:val="005A339E"/>
    <w:rsid w:val="005A3425"/>
    <w:rsid w:val="005A3804"/>
    <w:rsid w:val="005A4289"/>
    <w:rsid w:val="005A4CAF"/>
    <w:rsid w:val="005A5C35"/>
    <w:rsid w:val="005A6EC1"/>
    <w:rsid w:val="005A7045"/>
    <w:rsid w:val="005A74E6"/>
    <w:rsid w:val="005B0D0C"/>
    <w:rsid w:val="005B0F71"/>
    <w:rsid w:val="005B1683"/>
    <w:rsid w:val="005B1F31"/>
    <w:rsid w:val="005B345B"/>
    <w:rsid w:val="005B3769"/>
    <w:rsid w:val="005B5BF1"/>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22AE"/>
    <w:rsid w:val="005D2890"/>
    <w:rsid w:val="005D44D3"/>
    <w:rsid w:val="005D4EF8"/>
    <w:rsid w:val="005D5C8A"/>
    <w:rsid w:val="005D6986"/>
    <w:rsid w:val="005D73E1"/>
    <w:rsid w:val="005D74CB"/>
    <w:rsid w:val="005D7954"/>
    <w:rsid w:val="005E0154"/>
    <w:rsid w:val="005E0D2B"/>
    <w:rsid w:val="005E0EF2"/>
    <w:rsid w:val="005E1349"/>
    <w:rsid w:val="005E231A"/>
    <w:rsid w:val="005E2449"/>
    <w:rsid w:val="005E2851"/>
    <w:rsid w:val="005E2913"/>
    <w:rsid w:val="005E2ABC"/>
    <w:rsid w:val="005E30DF"/>
    <w:rsid w:val="005E3144"/>
    <w:rsid w:val="005E3A51"/>
    <w:rsid w:val="005E3D15"/>
    <w:rsid w:val="005E4A35"/>
    <w:rsid w:val="005E55E7"/>
    <w:rsid w:val="005E725D"/>
    <w:rsid w:val="005E77B5"/>
    <w:rsid w:val="005E7B1C"/>
    <w:rsid w:val="005E7B5F"/>
    <w:rsid w:val="005F17BD"/>
    <w:rsid w:val="005F1C26"/>
    <w:rsid w:val="005F3069"/>
    <w:rsid w:val="005F3765"/>
    <w:rsid w:val="005F4BA0"/>
    <w:rsid w:val="005F531D"/>
    <w:rsid w:val="005F6C97"/>
    <w:rsid w:val="005F7E59"/>
    <w:rsid w:val="005F7EA8"/>
    <w:rsid w:val="00601530"/>
    <w:rsid w:val="00603C1F"/>
    <w:rsid w:val="00603F45"/>
    <w:rsid w:val="0060508A"/>
    <w:rsid w:val="00605673"/>
    <w:rsid w:val="00606A54"/>
    <w:rsid w:val="00607D46"/>
    <w:rsid w:val="00610397"/>
    <w:rsid w:val="006108EA"/>
    <w:rsid w:val="00610E6D"/>
    <w:rsid w:val="00612266"/>
    <w:rsid w:val="0061264B"/>
    <w:rsid w:val="006127FD"/>
    <w:rsid w:val="00613D19"/>
    <w:rsid w:val="00613E28"/>
    <w:rsid w:val="00614657"/>
    <w:rsid w:val="0061520B"/>
    <w:rsid w:val="0061535B"/>
    <w:rsid w:val="0061539B"/>
    <w:rsid w:val="006213E4"/>
    <w:rsid w:val="006220A7"/>
    <w:rsid w:val="0062256E"/>
    <w:rsid w:val="00622AEB"/>
    <w:rsid w:val="0062315A"/>
    <w:rsid w:val="00623AA0"/>
    <w:rsid w:val="00623E72"/>
    <w:rsid w:val="006245C6"/>
    <w:rsid w:val="0062540C"/>
    <w:rsid w:val="006254DD"/>
    <w:rsid w:val="0062782E"/>
    <w:rsid w:val="00630181"/>
    <w:rsid w:val="006304D9"/>
    <w:rsid w:val="00630E00"/>
    <w:rsid w:val="00631665"/>
    <w:rsid w:val="00632577"/>
    <w:rsid w:val="00634D60"/>
    <w:rsid w:val="00640705"/>
    <w:rsid w:val="00642408"/>
    <w:rsid w:val="00643911"/>
    <w:rsid w:val="006455BB"/>
    <w:rsid w:val="00645C38"/>
    <w:rsid w:val="00645F99"/>
    <w:rsid w:val="00646F90"/>
    <w:rsid w:val="00647D6C"/>
    <w:rsid w:val="00650119"/>
    <w:rsid w:val="00650C41"/>
    <w:rsid w:val="00650D9C"/>
    <w:rsid w:val="006526BB"/>
    <w:rsid w:val="00652798"/>
    <w:rsid w:val="00652862"/>
    <w:rsid w:val="00652EF4"/>
    <w:rsid w:val="00652FAC"/>
    <w:rsid w:val="00654835"/>
    <w:rsid w:val="00654E0A"/>
    <w:rsid w:val="006550C0"/>
    <w:rsid w:val="006555D3"/>
    <w:rsid w:val="00656281"/>
    <w:rsid w:val="00660158"/>
    <w:rsid w:val="006605DE"/>
    <w:rsid w:val="0066122F"/>
    <w:rsid w:val="00661B0A"/>
    <w:rsid w:val="00666F00"/>
    <w:rsid w:val="00670E4F"/>
    <w:rsid w:val="00671AA4"/>
    <w:rsid w:val="00672CBF"/>
    <w:rsid w:val="00674C53"/>
    <w:rsid w:val="006759A8"/>
    <w:rsid w:val="00676057"/>
    <w:rsid w:val="00677918"/>
    <w:rsid w:val="00677C70"/>
    <w:rsid w:val="00680D8E"/>
    <w:rsid w:val="006828B9"/>
    <w:rsid w:val="00682A50"/>
    <w:rsid w:val="00683926"/>
    <w:rsid w:val="00683946"/>
    <w:rsid w:val="0068434F"/>
    <w:rsid w:val="00684670"/>
    <w:rsid w:val="006847EF"/>
    <w:rsid w:val="006849AB"/>
    <w:rsid w:val="00685772"/>
    <w:rsid w:val="00686C20"/>
    <w:rsid w:val="00686F82"/>
    <w:rsid w:val="00687E74"/>
    <w:rsid w:val="00692DB6"/>
    <w:rsid w:val="006934FF"/>
    <w:rsid w:val="0069394F"/>
    <w:rsid w:val="00693D7C"/>
    <w:rsid w:val="00695759"/>
    <w:rsid w:val="00695B50"/>
    <w:rsid w:val="00695B61"/>
    <w:rsid w:val="0069620F"/>
    <w:rsid w:val="006963C2"/>
    <w:rsid w:val="00696484"/>
    <w:rsid w:val="00696BF0"/>
    <w:rsid w:val="006A04C3"/>
    <w:rsid w:val="006A1127"/>
    <w:rsid w:val="006A1596"/>
    <w:rsid w:val="006A1727"/>
    <w:rsid w:val="006A23AD"/>
    <w:rsid w:val="006A2A8C"/>
    <w:rsid w:val="006A3CC5"/>
    <w:rsid w:val="006A4663"/>
    <w:rsid w:val="006A586D"/>
    <w:rsid w:val="006A5BBF"/>
    <w:rsid w:val="006A5D18"/>
    <w:rsid w:val="006A5DB9"/>
    <w:rsid w:val="006A6057"/>
    <w:rsid w:val="006A6905"/>
    <w:rsid w:val="006B0D3E"/>
    <w:rsid w:val="006B1A88"/>
    <w:rsid w:val="006B3A75"/>
    <w:rsid w:val="006B415F"/>
    <w:rsid w:val="006B426D"/>
    <w:rsid w:val="006B467F"/>
    <w:rsid w:val="006B5165"/>
    <w:rsid w:val="006B59D3"/>
    <w:rsid w:val="006B5B96"/>
    <w:rsid w:val="006B6B66"/>
    <w:rsid w:val="006C0977"/>
    <w:rsid w:val="006C10AC"/>
    <w:rsid w:val="006C2378"/>
    <w:rsid w:val="006C2AE4"/>
    <w:rsid w:val="006C30A6"/>
    <w:rsid w:val="006C359A"/>
    <w:rsid w:val="006C586B"/>
    <w:rsid w:val="006C5DB2"/>
    <w:rsid w:val="006C6061"/>
    <w:rsid w:val="006D02F5"/>
    <w:rsid w:val="006D281C"/>
    <w:rsid w:val="006D35B6"/>
    <w:rsid w:val="006D4D2F"/>
    <w:rsid w:val="006D5E23"/>
    <w:rsid w:val="006D604F"/>
    <w:rsid w:val="006D658B"/>
    <w:rsid w:val="006D6A74"/>
    <w:rsid w:val="006D6E26"/>
    <w:rsid w:val="006D78F6"/>
    <w:rsid w:val="006E0082"/>
    <w:rsid w:val="006E0FFE"/>
    <w:rsid w:val="006E195F"/>
    <w:rsid w:val="006E221F"/>
    <w:rsid w:val="006E2AD7"/>
    <w:rsid w:val="006E3452"/>
    <w:rsid w:val="006E34AA"/>
    <w:rsid w:val="006E3B5F"/>
    <w:rsid w:val="006E44B1"/>
    <w:rsid w:val="006E458E"/>
    <w:rsid w:val="006E5EEF"/>
    <w:rsid w:val="006E6BD9"/>
    <w:rsid w:val="006E76D1"/>
    <w:rsid w:val="006F0DEA"/>
    <w:rsid w:val="006F1281"/>
    <w:rsid w:val="006F18E1"/>
    <w:rsid w:val="006F1A91"/>
    <w:rsid w:val="006F208C"/>
    <w:rsid w:val="006F2F3C"/>
    <w:rsid w:val="006F41C7"/>
    <w:rsid w:val="006F466C"/>
    <w:rsid w:val="006F5023"/>
    <w:rsid w:val="006F604C"/>
    <w:rsid w:val="00700291"/>
    <w:rsid w:val="00700B32"/>
    <w:rsid w:val="0070324C"/>
    <w:rsid w:val="00703B43"/>
    <w:rsid w:val="00703CF2"/>
    <w:rsid w:val="00705540"/>
    <w:rsid w:val="007066E3"/>
    <w:rsid w:val="00706934"/>
    <w:rsid w:val="007069BE"/>
    <w:rsid w:val="00706AF4"/>
    <w:rsid w:val="00706D65"/>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1563"/>
    <w:rsid w:val="007222D6"/>
    <w:rsid w:val="00722953"/>
    <w:rsid w:val="00722EA2"/>
    <w:rsid w:val="00724523"/>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37DBA"/>
    <w:rsid w:val="00741001"/>
    <w:rsid w:val="00741117"/>
    <w:rsid w:val="0074321A"/>
    <w:rsid w:val="00743A83"/>
    <w:rsid w:val="0074440D"/>
    <w:rsid w:val="00744D76"/>
    <w:rsid w:val="00746AD1"/>
    <w:rsid w:val="00746EA1"/>
    <w:rsid w:val="0075056A"/>
    <w:rsid w:val="007509CD"/>
    <w:rsid w:val="00751223"/>
    <w:rsid w:val="00751C8E"/>
    <w:rsid w:val="007524DB"/>
    <w:rsid w:val="00753103"/>
    <w:rsid w:val="00754320"/>
    <w:rsid w:val="00761364"/>
    <w:rsid w:val="00761E5A"/>
    <w:rsid w:val="00764359"/>
    <w:rsid w:val="00765A59"/>
    <w:rsid w:val="00767158"/>
    <w:rsid w:val="00770133"/>
    <w:rsid w:val="007703DC"/>
    <w:rsid w:val="00770446"/>
    <w:rsid w:val="0077054A"/>
    <w:rsid w:val="0077327F"/>
    <w:rsid w:val="00774843"/>
    <w:rsid w:val="00774C93"/>
    <w:rsid w:val="00775B12"/>
    <w:rsid w:val="00775DC6"/>
    <w:rsid w:val="00776080"/>
    <w:rsid w:val="00776C84"/>
    <w:rsid w:val="007775AE"/>
    <w:rsid w:val="00780138"/>
    <w:rsid w:val="00780E35"/>
    <w:rsid w:val="00781972"/>
    <w:rsid w:val="0078312F"/>
    <w:rsid w:val="007832FD"/>
    <w:rsid w:val="0078388E"/>
    <w:rsid w:val="00784E9C"/>
    <w:rsid w:val="007851A8"/>
    <w:rsid w:val="0078606B"/>
    <w:rsid w:val="007865A5"/>
    <w:rsid w:val="0078686E"/>
    <w:rsid w:val="00790724"/>
    <w:rsid w:val="007915FF"/>
    <w:rsid w:val="00791714"/>
    <w:rsid w:val="00791CE9"/>
    <w:rsid w:val="0079407F"/>
    <w:rsid w:val="007946BC"/>
    <w:rsid w:val="00794B85"/>
    <w:rsid w:val="00794CCB"/>
    <w:rsid w:val="0079511C"/>
    <w:rsid w:val="00797577"/>
    <w:rsid w:val="00797AA7"/>
    <w:rsid w:val="007A159C"/>
    <w:rsid w:val="007A2C7B"/>
    <w:rsid w:val="007A3DFB"/>
    <w:rsid w:val="007A6D09"/>
    <w:rsid w:val="007B002D"/>
    <w:rsid w:val="007B0220"/>
    <w:rsid w:val="007B0261"/>
    <w:rsid w:val="007B03BB"/>
    <w:rsid w:val="007B077D"/>
    <w:rsid w:val="007B3871"/>
    <w:rsid w:val="007B42F9"/>
    <w:rsid w:val="007B452A"/>
    <w:rsid w:val="007B499C"/>
    <w:rsid w:val="007B5262"/>
    <w:rsid w:val="007B62C4"/>
    <w:rsid w:val="007B6643"/>
    <w:rsid w:val="007B795A"/>
    <w:rsid w:val="007C03AA"/>
    <w:rsid w:val="007C1300"/>
    <w:rsid w:val="007C171D"/>
    <w:rsid w:val="007C2E15"/>
    <w:rsid w:val="007C3C5A"/>
    <w:rsid w:val="007C4E6A"/>
    <w:rsid w:val="007C57AE"/>
    <w:rsid w:val="007C7906"/>
    <w:rsid w:val="007D0234"/>
    <w:rsid w:val="007D13E7"/>
    <w:rsid w:val="007D1413"/>
    <w:rsid w:val="007D17A7"/>
    <w:rsid w:val="007D17B8"/>
    <w:rsid w:val="007D2974"/>
    <w:rsid w:val="007D2E20"/>
    <w:rsid w:val="007D38FA"/>
    <w:rsid w:val="007D3CE9"/>
    <w:rsid w:val="007D3D89"/>
    <w:rsid w:val="007D40F6"/>
    <w:rsid w:val="007D5E42"/>
    <w:rsid w:val="007D6372"/>
    <w:rsid w:val="007D6D34"/>
    <w:rsid w:val="007D6F8F"/>
    <w:rsid w:val="007D7FA3"/>
    <w:rsid w:val="007E17EC"/>
    <w:rsid w:val="007E1E88"/>
    <w:rsid w:val="007E2A2C"/>
    <w:rsid w:val="007E37A1"/>
    <w:rsid w:val="007E38B4"/>
    <w:rsid w:val="007E42E4"/>
    <w:rsid w:val="007E4797"/>
    <w:rsid w:val="007E4EB3"/>
    <w:rsid w:val="007E544D"/>
    <w:rsid w:val="007E5EAF"/>
    <w:rsid w:val="007E6C20"/>
    <w:rsid w:val="007E6FA7"/>
    <w:rsid w:val="007E72AE"/>
    <w:rsid w:val="007E75CA"/>
    <w:rsid w:val="007E76FB"/>
    <w:rsid w:val="007E7E20"/>
    <w:rsid w:val="007E7EF5"/>
    <w:rsid w:val="007F07DD"/>
    <w:rsid w:val="007F2E54"/>
    <w:rsid w:val="007F3C30"/>
    <w:rsid w:val="007F3CE2"/>
    <w:rsid w:val="007F45F4"/>
    <w:rsid w:val="007F6444"/>
    <w:rsid w:val="007F6C55"/>
    <w:rsid w:val="007F6F3E"/>
    <w:rsid w:val="007F7557"/>
    <w:rsid w:val="007F77F1"/>
    <w:rsid w:val="007F7D85"/>
    <w:rsid w:val="00800043"/>
    <w:rsid w:val="00800BDD"/>
    <w:rsid w:val="00801066"/>
    <w:rsid w:val="008018F9"/>
    <w:rsid w:val="00801BA9"/>
    <w:rsid w:val="008021B0"/>
    <w:rsid w:val="00803AC4"/>
    <w:rsid w:val="0080430F"/>
    <w:rsid w:val="00804B15"/>
    <w:rsid w:val="00804FA9"/>
    <w:rsid w:val="00805C0B"/>
    <w:rsid w:val="00805EB7"/>
    <w:rsid w:val="00806A19"/>
    <w:rsid w:val="00810C7E"/>
    <w:rsid w:val="008127F1"/>
    <w:rsid w:val="00812B4A"/>
    <w:rsid w:val="00812F07"/>
    <w:rsid w:val="00814CF4"/>
    <w:rsid w:val="00814E77"/>
    <w:rsid w:val="00814FB2"/>
    <w:rsid w:val="00816520"/>
    <w:rsid w:val="0081673C"/>
    <w:rsid w:val="008207C0"/>
    <w:rsid w:val="008211BB"/>
    <w:rsid w:val="00821BF1"/>
    <w:rsid w:val="00822BB9"/>
    <w:rsid w:val="00823C9A"/>
    <w:rsid w:val="008254F2"/>
    <w:rsid w:val="00825917"/>
    <w:rsid w:val="00826279"/>
    <w:rsid w:val="008263FD"/>
    <w:rsid w:val="00827245"/>
    <w:rsid w:val="008273C0"/>
    <w:rsid w:val="00827558"/>
    <w:rsid w:val="0082774E"/>
    <w:rsid w:val="008306DA"/>
    <w:rsid w:val="00830B12"/>
    <w:rsid w:val="008312D5"/>
    <w:rsid w:val="00831A9D"/>
    <w:rsid w:val="008335A0"/>
    <w:rsid w:val="00833D45"/>
    <w:rsid w:val="0083414C"/>
    <w:rsid w:val="00834775"/>
    <w:rsid w:val="00835003"/>
    <w:rsid w:val="0083521D"/>
    <w:rsid w:val="00835EED"/>
    <w:rsid w:val="00837858"/>
    <w:rsid w:val="008379D7"/>
    <w:rsid w:val="00837A4F"/>
    <w:rsid w:val="00837E2F"/>
    <w:rsid w:val="0084004D"/>
    <w:rsid w:val="00840169"/>
    <w:rsid w:val="008403CA"/>
    <w:rsid w:val="00840549"/>
    <w:rsid w:val="0084063B"/>
    <w:rsid w:val="008407D5"/>
    <w:rsid w:val="00840BAB"/>
    <w:rsid w:val="0084166E"/>
    <w:rsid w:val="008426D1"/>
    <w:rsid w:val="0084330C"/>
    <w:rsid w:val="00843F00"/>
    <w:rsid w:val="00844712"/>
    <w:rsid w:val="00844EF4"/>
    <w:rsid w:val="00844F26"/>
    <w:rsid w:val="00845486"/>
    <w:rsid w:val="008459FB"/>
    <w:rsid w:val="0084603B"/>
    <w:rsid w:val="00846176"/>
    <w:rsid w:val="00846554"/>
    <w:rsid w:val="008469A3"/>
    <w:rsid w:val="00846C95"/>
    <w:rsid w:val="0084794E"/>
    <w:rsid w:val="00847EE7"/>
    <w:rsid w:val="00851BB4"/>
    <w:rsid w:val="0085238B"/>
    <w:rsid w:val="008525FF"/>
    <w:rsid w:val="0085274F"/>
    <w:rsid w:val="008528EC"/>
    <w:rsid w:val="0085294E"/>
    <w:rsid w:val="00852F34"/>
    <w:rsid w:val="008539CA"/>
    <w:rsid w:val="008544FB"/>
    <w:rsid w:val="00854B5A"/>
    <w:rsid w:val="00855E19"/>
    <w:rsid w:val="00855FD5"/>
    <w:rsid w:val="00857055"/>
    <w:rsid w:val="0085750D"/>
    <w:rsid w:val="00861925"/>
    <w:rsid w:val="008636D8"/>
    <w:rsid w:val="00863774"/>
    <w:rsid w:val="00863F88"/>
    <w:rsid w:val="0086432C"/>
    <w:rsid w:val="008645FD"/>
    <w:rsid w:val="00864842"/>
    <w:rsid w:val="0086510C"/>
    <w:rsid w:val="00865456"/>
    <w:rsid w:val="00866DE0"/>
    <w:rsid w:val="0086743A"/>
    <w:rsid w:val="00867698"/>
    <w:rsid w:val="00870373"/>
    <w:rsid w:val="008703C3"/>
    <w:rsid w:val="00870F1E"/>
    <w:rsid w:val="008710D9"/>
    <w:rsid w:val="008718D1"/>
    <w:rsid w:val="008724A0"/>
    <w:rsid w:val="008736F1"/>
    <w:rsid w:val="008736F2"/>
    <w:rsid w:val="00873EB5"/>
    <w:rsid w:val="0087438B"/>
    <w:rsid w:val="0087450C"/>
    <w:rsid w:val="008759A6"/>
    <w:rsid w:val="00876E7C"/>
    <w:rsid w:val="008773C5"/>
    <w:rsid w:val="00877FDC"/>
    <w:rsid w:val="00880A34"/>
    <w:rsid w:val="00881AF1"/>
    <w:rsid w:val="008857DD"/>
    <w:rsid w:val="008860CD"/>
    <w:rsid w:val="0088665A"/>
    <w:rsid w:val="00886695"/>
    <w:rsid w:val="00886DA1"/>
    <w:rsid w:val="008919A1"/>
    <w:rsid w:val="00891B12"/>
    <w:rsid w:val="00891BDD"/>
    <w:rsid w:val="008929DC"/>
    <w:rsid w:val="0089380E"/>
    <w:rsid w:val="00893C07"/>
    <w:rsid w:val="008946F2"/>
    <w:rsid w:val="0089675E"/>
    <w:rsid w:val="008976FD"/>
    <w:rsid w:val="008A12A0"/>
    <w:rsid w:val="008A2373"/>
    <w:rsid w:val="008A2509"/>
    <w:rsid w:val="008A4642"/>
    <w:rsid w:val="008A5192"/>
    <w:rsid w:val="008A5A4A"/>
    <w:rsid w:val="008A665B"/>
    <w:rsid w:val="008A6D5F"/>
    <w:rsid w:val="008B09B3"/>
    <w:rsid w:val="008B1189"/>
    <w:rsid w:val="008B142C"/>
    <w:rsid w:val="008B2943"/>
    <w:rsid w:val="008B2ED7"/>
    <w:rsid w:val="008B51BD"/>
    <w:rsid w:val="008B55E4"/>
    <w:rsid w:val="008B6B9A"/>
    <w:rsid w:val="008B746E"/>
    <w:rsid w:val="008B7ACC"/>
    <w:rsid w:val="008C08D1"/>
    <w:rsid w:val="008C0AC0"/>
    <w:rsid w:val="008C0C6D"/>
    <w:rsid w:val="008C12AC"/>
    <w:rsid w:val="008C1827"/>
    <w:rsid w:val="008C1A67"/>
    <w:rsid w:val="008C2BEC"/>
    <w:rsid w:val="008C2E97"/>
    <w:rsid w:val="008C3EEA"/>
    <w:rsid w:val="008C5115"/>
    <w:rsid w:val="008C5D57"/>
    <w:rsid w:val="008C629F"/>
    <w:rsid w:val="008D0111"/>
    <w:rsid w:val="008D01BD"/>
    <w:rsid w:val="008D0909"/>
    <w:rsid w:val="008D12B4"/>
    <w:rsid w:val="008D15AF"/>
    <w:rsid w:val="008D1975"/>
    <w:rsid w:val="008D28D3"/>
    <w:rsid w:val="008D3CE2"/>
    <w:rsid w:val="008D40E9"/>
    <w:rsid w:val="008D46D8"/>
    <w:rsid w:val="008D5108"/>
    <w:rsid w:val="008D6361"/>
    <w:rsid w:val="008E048C"/>
    <w:rsid w:val="008E2110"/>
    <w:rsid w:val="008E2F00"/>
    <w:rsid w:val="008E312B"/>
    <w:rsid w:val="008E3387"/>
    <w:rsid w:val="008E38CE"/>
    <w:rsid w:val="008E3DAD"/>
    <w:rsid w:val="008E5521"/>
    <w:rsid w:val="008E5C8B"/>
    <w:rsid w:val="008E6265"/>
    <w:rsid w:val="008F06B8"/>
    <w:rsid w:val="008F20E0"/>
    <w:rsid w:val="008F2274"/>
    <w:rsid w:val="008F3D16"/>
    <w:rsid w:val="008F440C"/>
    <w:rsid w:val="008F4B7E"/>
    <w:rsid w:val="008F5514"/>
    <w:rsid w:val="008F5D18"/>
    <w:rsid w:val="008F6831"/>
    <w:rsid w:val="008F69F5"/>
    <w:rsid w:val="008F6CE9"/>
    <w:rsid w:val="008F7D9A"/>
    <w:rsid w:val="00900C4F"/>
    <w:rsid w:val="00901092"/>
    <w:rsid w:val="00901139"/>
    <w:rsid w:val="00902217"/>
    <w:rsid w:val="00902288"/>
    <w:rsid w:val="009032FD"/>
    <w:rsid w:val="00903E70"/>
    <w:rsid w:val="00903EA1"/>
    <w:rsid w:val="00904361"/>
    <w:rsid w:val="009049DC"/>
    <w:rsid w:val="00904DD3"/>
    <w:rsid w:val="009060BB"/>
    <w:rsid w:val="0090670F"/>
    <w:rsid w:val="009074CC"/>
    <w:rsid w:val="0090792D"/>
    <w:rsid w:val="00907E84"/>
    <w:rsid w:val="00907EF2"/>
    <w:rsid w:val="009103E2"/>
    <w:rsid w:val="00911D02"/>
    <w:rsid w:val="00912B54"/>
    <w:rsid w:val="00914681"/>
    <w:rsid w:val="009146CD"/>
    <w:rsid w:val="00914AB3"/>
    <w:rsid w:val="009159EE"/>
    <w:rsid w:val="009174C8"/>
    <w:rsid w:val="00917539"/>
    <w:rsid w:val="00917AB8"/>
    <w:rsid w:val="009214E0"/>
    <w:rsid w:val="00921BF6"/>
    <w:rsid w:val="00922670"/>
    <w:rsid w:val="00923CD8"/>
    <w:rsid w:val="00923DED"/>
    <w:rsid w:val="00923FF3"/>
    <w:rsid w:val="009278F1"/>
    <w:rsid w:val="009303C1"/>
    <w:rsid w:val="00930AC2"/>
    <w:rsid w:val="00931924"/>
    <w:rsid w:val="0093381F"/>
    <w:rsid w:val="00933B70"/>
    <w:rsid w:val="009352B2"/>
    <w:rsid w:val="0093536A"/>
    <w:rsid w:val="00935718"/>
    <w:rsid w:val="00936D30"/>
    <w:rsid w:val="00936DFC"/>
    <w:rsid w:val="009400A8"/>
    <w:rsid w:val="009408A8"/>
    <w:rsid w:val="009417B1"/>
    <w:rsid w:val="00941CBB"/>
    <w:rsid w:val="009434A3"/>
    <w:rsid w:val="00943848"/>
    <w:rsid w:val="00943A06"/>
    <w:rsid w:val="00943C4E"/>
    <w:rsid w:val="00945678"/>
    <w:rsid w:val="00945929"/>
    <w:rsid w:val="00945E26"/>
    <w:rsid w:val="0094774B"/>
    <w:rsid w:val="00947918"/>
    <w:rsid w:val="00951A02"/>
    <w:rsid w:val="00952EF5"/>
    <w:rsid w:val="00954A72"/>
    <w:rsid w:val="00954BC7"/>
    <w:rsid w:val="009557D4"/>
    <w:rsid w:val="009563A3"/>
    <w:rsid w:val="009563B6"/>
    <w:rsid w:val="009567CF"/>
    <w:rsid w:val="00957037"/>
    <w:rsid w:val="0096108E"/>
    <w:rsid w:val="0096199F"/>
    <w:rsid w:val="009619EE"/>
    <w:rsid w:val="00963939"/>
    <w:rsid w:val="00963BAC"/>
    <w:rsid w:val="00963C7C"/>
    <w:rsid w:val="00964986"/>
    <w:rsid w:val="0096539C"/>
    <w:rsid w:val="00965702"/>
    <w:rsid w:val="00966EB3"/>
    <w:rsid w:val="00966F0C"/>
    <w:rsid w:val="009671A8"/>
    <w:rsid w:val="00967D3B"/>
    <w:rsid w:val="00970955"/>
    <w:rsid w:val="00970CED"/>
    <w:rsid w:val="009710C4"/>
    <w:rsid w:val="00972DCE"/>
    <w:rsid w:val="00972EDA"/>
    <w:rsid w:val="009744AD"/>
    <w:rsid w:val="00974E23"/>
    <w:rsid w:val="00975C96"/>
    <w:rsid w:val="00977687"/>
    <w:rsid w:val="0098081C"/>
    <w:rsid w:val="00980DB6"/>
    <w:rsid w:val="00981C80"/>
    <w:rsid w:val="00982688"/>
    <w:rsid w:val="00983F82"/>
    <w:rsid w:val="00984A54"/>
    <w:rsid w:val="0098589A"/>
    <w:rsid w:val="00985D4F"/>
    <w:rsid w:val="00986C40"/>
    <w:rsid w:val="009873C2"/>
    <w:rsid w:val="009878ED"/>
    <w:rsid w:val="00987E0A"/>
    <w:rsid w:val="00990290"/>
    <w:rsid w:val="009932F5"/>
    <w:rsid w:val="00994AE6"/>
    <w:rsid w:val="00995EFD"/>
    <w:rsid w:val="009A10D3"/>
    <w:rsid w:val="009A1B94"/>
    <w:rsid w:val="009A205F"/>
    <w:rsid w:val="009A249B"/>
    <w:rsid w:val="009A3414"/>
    <w:rsid w:val="009A44E5"/>
    <w:rsid w:val="009A532A"/>
    <w:rsid w:val="009A5D36"/>
    <w:rsid w:val="009A774A"/>
    <w:rsid w:val="009B0961"/>
    <w:rsid w:val="009B1086"/>
    <w:rsid w:val="009B1413"/>
    <w:rsid w:val="009B39CF"/>
    <w:rsid w:val="009B4D9A"/>
    <w:rsid w:val="009B59F8"/>
    <w:rsid w:val="009B6096"/>
    <w:rsid w:val="009C185E"/>
    <w:rsid w:val="009C1DD0"/>
    <w:rsid w:val="009C2EFE"/>
    <w:rsid w:val="009C33E7"/>
    <w:rsid w:val="009C370D"/>
    <w:rsid w:val="009C3A65"/>
    <w:rsid w:val="009C4D6A"/>
    <w:rsid w:val="009C549D"/>
    <w:rsid w:val="009C6FA9"/>
    <w:rsid w:val="009C7B23"/>
    <w:rsid w:val="009D002E"/>
    <w:rsid w:val="009D0400"/>
    <w:rsid w:val="009D106F"/>
    <w:rsid w:val="009D1872"/>
    <w:rsid w:val="009D2C87"/>
    <w:rsid w:val="009D2F71"/>
    <w:rsid w:val="009D3BB5"/>
    <w:rsid w:val="009D4154"/>
    <w:rsid w:val="009D415E"/>
    <w:rsid w:val="009D470D"/>
    <w:rsid w:val="009D6AA5"/>
    <w:rsid w:val="009D7097"/>
    <w:rsid w:val="009D7207"/>
    <w:rsid w:val="009D7960"/>
    <w:rsid w:val="009D7B9F"/>
    <w:rsid w:val="009E03D5"/>
    <w:rsid w:val="009E07F2"/>
    <w:rsid w:val="009E0DDA"/>
    <w:rsid w:val="009E0E2D"/>
    <w:rsid w:val="009E19E7"/>
    <w:rsid w:val="009E1CED"/>
    <w:rsid w:val="009E1EA1"/>
    <w:rsid w:val="009E2FDA"/>
    <w:rsid w:val="009E5CD2"/>
    <w:rsid w:val="009E6403"/>
    <w:rsid w:val="009E716A"/>
    <w:rsid w:val="009E76E2"/>
    <w:rsid w:val="009E7BB1"/>
    <w:rsid w:val="009F0B2C"/>
    <w:rsid w:val="009F1B29"/>
    <w:rsid w:val="009F2C19"/>
    <w:rsid w:val="009F5669"/>
    <w:rsid w:val="009F5E06"/>
    <w:rsid w:val="009F6088"/>
    <w:rsid w:val="009F6E68"/>
    <w:rsid w:val="009F78E9"/>
    <w:rsid w:val="00A00083"/>
    <w:rsid w:val="00A01C31"/>
    <w:rsid w:val="00A01F47"/>
    <w:rsid w:val="00A03ADA"/>
    <w:rsid w:val="00A03B34"/>
    <w:rsid w:val="00A05339"/>
    <w:rsid w:val="00A0752C"/>
    <w:rsid w:val="00A1188F"/>
    <w:rsid w:val="00A11898"/>
    <w:rsid w:val="00A11FD2"/>
    <w:rsid w:val="00A1257B"/>
    <w:rsid w:val="00A12D12"/>
    <w:rsid w:val="00A138BA"/>
    <w:rsid w:val="00A1463A"/>
    <w:rsid w:val="00A14CF0"/>
    <w:rsid w:val="00A1589B"/>
    <w:rsid w:val="00A15993"/>
    <w:rsid w:val="00A17C7B"/>
    <w:rsid w:val="00A20BA5"/>
    <w:rsid w:val="00A21A72"/>
    <w:rsid w:val="00A23A06"/>
    <w:rsid w:val="00A23A2F"/>
    <w:rsid w:val="00A23ECF"/>
    <w:rsid w:val="00A241A6"/>
    <w:rsid w:val="00A24BE6"/>
    <w:rsid w:val="00A25464"/>
    <w:rsid w:val="00A26D7C"/>
    <w:rsid w:val="00A271D3"/>
    <w:rsid w:val="00A2724A"/>
    <w:rsid w:val="00A279DE"/>
    <w:rsid w:val="00A27F04"/>
    <w:rsid w:val="00A300F7"/>
    <w:rsid w:val="00A3021B"/>
    <w:rsid w:val="00A3069B"/>
    <w:rsid w:val="00A30C5F"/>
    <w:rsid w:val="00A310F6"/>
    <w:rsid w:val="00A322DB"/>
    <w:rsid w:val="00A33589"/>
    <w:rsid w:val="00A33A7F"/>
    <w:rsid w:val="00A34352"/>
    <w:rsid w:val="00A34A78"/>
    <w:rsid w:val="00A35FEE"/>
    <w:rsid w:val="00A379D0"/>
    <w:rsid w:val="00A37E4D"/>
    <w:rsid w:val="00A40722"/>
    <w:rsid w:val="00A4098A"/>
    <w:rsid w:val="00A40C3D"/>
    <w:rsid w:val="00A4105A"/>
    <w:rsid w:val="00A4105F"/>
    <w:rsid w:val="00A42D44"/>
    <w:rsid w:val="00A43AD9"/>
    <w:rsid w:val="00A45218"/>
    <w:rsid w:val="00A4620F"/>
    <w:rsid w:val="00A462BD"/>
    <w:rsid w:val="00A46388"/>
    <w:rsid w:val="00A477BF"/>
    <w:rsid w:val="00A512F6"/>
    <w:rsid w:val="00A52D1B"/>
    <w:rsid w:val="00A52D51"/>
    <w:rsid w:val="00A52FDD"/>
    <w:rsid w:val="00A52FE5"/>
    <w:rsid w:val="00A53968"/>
    <w:rsid w:val="00A543E6"/>
    <w:rsid w:val="00A54796"/>
    <w:rsid w:val="00A562B3"/>
    <w:rsid w:val="00A57458"/>
    <w:rsid w:val="00A63046"/>
    <w:rsid w:val="00A633B2"/>
    <w:rsid w:val="00A638DF"/>
    <w:rsid w:val="00A64A6E"/>
    <w:rsid w:val="00A662A2"/>
    <w:rsid w:val="00A66A63"/>
    <w:rsid w:val="00A674F7"/>
    <w:rsid w:val="00A67534"/>
    <w:rsid w:val="00A679CD"/>
    <w:rsid w:val="00A70210"/>
    <w:rsid w:val="00A71064"/>
    <w:rsid w:val="00A71D03"/>
    <w:rsid w:val="00A71F89"/>
    <w:rsid w:val="00A72F7F"/>
    <w:rsid w:val="00A737C3"/>
    <w:rsid w:val="00A73EC8"/>
    <w:rsid w:val="00A74871"/>
    <w:rsid w:val="00A75235"/>
    <w:rsid w:val="00A75A22"/>
    <w:rsid w:val="00A75D81"/>
    <w:rsid w:val="00A7736D"/>
    <w:rsid w:val="00A809C2"/>
    <w:rsid w:val="00A80A59"/>
    <w:rsid w:val="00A82004"/>
    <w:rsid w:val="00A8335A"/>
    <w:rsid w:val="00A850B4"/>
    <w:rsid w:val="00A85409"/>
    <w:rsid w:val="00A855BE"/>
    <w:rsid w:val="00A859AC"/>
    <w:rsid w:val="00A866A6"/>
    <w:rsid w:val="00A879F7"/>
    <w:rsid w:val="00A90156"/>
    <w:rsid w:val="00A9078E"/>
    <w:rsid w:val="00A91853"/>
    <w:rsid w:val="00A92540"/>
    <w:rsid w:val="00A9413F"/>
    <w:rsid w:val="00A9432E"/>
    <w:rsid w:val="00A95372"/>
    <w:rsid w:val="00A9556D"/>
    <w:rsid w:val="00A958B0"/>
    <w:rsid w:val="00A95BD5"/>
    <w:rsid w:val="00A96271"/>
    <w:rsid w:val="00A963B1"/>
    <w:rsid w:val="00A96A23"/>
    <w:rsid w:val="00AA1511"/>
    <w:rsid w:val="00AA1587"/>
    <w:rsid w:val="00AA478A"/>
    <w:rsid w:val="00AA4796"/>
    <w:rsid w:val="00AA5AF2"/>
    <w:rsid w:val="00AA6982"/>
    <w:rsid w:val="00AA7082"/>
    <w:rsid w:val="00AA7411"/>
    <w:rsid w:val="00AA7A0D"/>
    <w:rsid w:val="00AB18B5"/>
    <w:rsid w:val="00AB1FF8"/>
    <w:rsid w:val="00AB2A8D"/>
    <w:rsid w:val="00AB4E31"/>
    <w:rsid w:val="00AB57E1"/>
    <w:rsid w:val="00AB59CC"/>
    <w:rsid w:val="00AB5AFF"/>
    <w:rsid w:val="00AB5F7B"/>
    <w:rsid w:val="00AB683A"/>
    <w:rsid w:val="00AB6B5D"/>
    <w:rsid w:val="00AB73E0"/>
    <w:rsid w:val="00AB7401"/>
    <w:rsid w:val="00AB7499"/>
    <w:rsid w:val="00AB7E93"/>
    <w:rsid w:val="00AC037D"/>
    <w:rsid w:val="00AC054B"/>
    <w:rsid w:val="00AC16B1"/>
    <w:rsid w:val="00AC1C1F"/>
    <w:rsid w:val="00AC2616"/>
    <w:rsid w:val="00AC3175"/>
    <w:rsid w:val="00AC368C"/>
    <w:rsid w:val="00AC452B"/>
    <w:rsid w:val="00AC6ABC"/>
    <w:rsid w:val="00AC73F5"/>
    <w:rsid w:val="00AD0328"/>
    <w:rsid w:val="00AD0E93"/>
    <w:rsid w:val="00AD121E"/>
    <w:rsid w:val="00AD33E5"/>
    <w:rsid w:val="00AD440C"/>
    <w:rsid w:val="00AD457F"/>
    <w:rsid w:val="00AD56FB"/>
    <w:rsid w:val="00AD6DB4"/>
    <w:rsid w:val="00AD6E54"/>
    <w:rsid w:val="00AD73B0"/>
    <w:rsid w:val="00AD7A9E"/>
    <w:rsid w:val="00AD7C4E"/>
    <w:rsid w:val="00AE1828"/>
    <w:rsid w:val="00AE1D42"/>
    <w:rsid w:val="00AE2C13"/>
    <w:rsid w:val="00AE44CB"/>
    <w:rsid w:val="00AE494C"/>
    <w:rsid w:val="00AE5437"/>
    <w:rsid w:val="00AE5FC1"/>
    <w:rsid w:val="00AE669E"/>
    <w:rsid w:val="00AE7101"/>
    <w:rsid w:val="00AE734E"/>
    <w:rsid w:val="00AE763E"/>
    <w:rsid w:val="00AF056E"/>
    <w:rsid w:val="00AF3974"/>
    <w:rsid w:val="00AF58E9"/>
    <w:rsid w:val="00AF5927"/>
    <w:rsid w:val="00AF5F4A"/>
    <w:rsid w:val="00AF6127"/>
    <w:rsid w:val="00AF70A9"/>
    <w:rsid w:val="00AF73BE"/>
    <w:rsid w:val="00B0034F"/>
    <w:rsid w:val="00B03130"/>
    <w:rsid w:val="00B03CCF"/>
    <w:rsid w:val="00B04555"/>
    <w:rsid w:val="00B05DE0"/>
    <w:rsid w:val="00B05E50"/>
    <w:rsid w:val="00B06599"/>
    <w:rsid w:val="00B123E1"/>
    <w:rsid w:val="00B129E6"/>
    <w:rsid w:val="00B144C9"/>
    <w:rsid w:val="00B14686"/>
    <w:rsid w:val="00B16254"/>
    <w:rsid w:val="00B165EA"/>
    <w:rsid w:val="00B168BC"/>
    <w:rsid w:val="00B176A2"/>
    <w:rsid w:val="00B17C52"/>
    <w:rsid w:val="00B20426"/>
    <w:rsid w:val="00B206CB"/>
    <w:rsid w:val="00B20C35"/>
    <w:rsid w:val="00B21F3B"/>
    <w:rsid w:val="00B21FC8"/>
    <w:rsid w:val="00B2208C"/>
    <w:rsid w:val="00B229A2"/>
    <w:rsid w:val="00B23882"/>
    <w:rsid w:val="00B258DA"/>
    <w:rsid w:val="00B25915"/>
    <w:rsid w:val="00B272DA"/>
    <w:rsid w:val="00B3041A"/>
    <w:rsid w:val="00B3064B"/>
    <w:rsid w:val="00B31C18"/>
    <w:rsid w:val="00B32DB3"/>
    <w:rsid w:val="00B33776"/>
    <w:rsid w:val="00B3381F"/>
    <w:rsid w:val="00B33847"/>
    <w:rsid w:val="00B33B3E"/>
    <w:rsid w:val="00B349EF"/>
    <w:rsid w:val="00B3570F"/>
    <w:rsid w:val="00B35D25"/>
    <w:rsid w:val="00B36F5F"/>
    <w:rsid w:val="00B371C8"/>
    <w:rsid w:val="00B37691"/>
    <w:rsid w:val="00B37868"/>
    <w:rsid w:val="00B407AB"/>
    <w:rsid w:val="00B414EA"/>
    <w:rsid w:val="00B41C5A"/>
    <w:rsid w:val="00B42042"/>
    <w:rsid w:val="00B43794"/>
    <w:rsid w:val="00B437B1"/>
    <w:rsid w:val="00B43BD4"/>
    <w:rsid w:val="00B4428D"/>
    <w:rsid w:val="00B46232"/>
    <w:rsid w:val="00B50FC3"/>
    <w:rsid w:val="00B510D4"/>
    <w:rsid w:val="00B51DE4"/>
    <w:rsid w:val="00B5264D"/>
    <w:rsid w:val="00B52D81"/>
    <w:rsid w:val="00B54646"/>
    <w:rsid w:val="00B54893"/>
    <w:rsid w:val="00B574ED"/>
    <w:rsid w:val="00B57758"/>
    <w:rsid w:val="00B5791F"/>
    <w:rsid w:val="00B57FB4"/>
    <w:rsid w:val="00B606BA"/>
    <w:rsid w:val="00B60AAB"/>
    <w:rsid w:val="00B62199"/>
    <w:rsid w:val="00B62D5C"/>
    <w:rsid w:val="00B63313"/>
    <w:rsid w:val="00B64135"/>
    <w:rsid w:val="00B64809"/>
    <w:rsid w:val="00B65F30"/>
    <w:rsid w:val="00B66ED6"/>
    <w:rsid w:val="00B675F7"/>
    <w:rsid w:val="00B70D59"/>
    <w:rsid w:val="00B7172B"/>
    <w:rsid w:val="00B719C5"/>
    <w:rsid w:val="00B7226D"/>
    <w:rsid w:val="00B7346D"/>
    <w:rsid w:val="00B73539"/>
    <w:rsid w:val="00B741DE"/>
    <w:rsid w:val="00B76010"/>
    <w:rsid w:val="00B767FD"/>
    <w:rsid w:val="00B76930"/>
    <w:rsid w:val="00B76D36"/>
    <w:rsid w:val="00B76F7C"/>
    <w:rsid w:val="00B770E6"/>
    <w:rsid w:val="00B80F80"/>
    <w:rsid w:val="00B8201F"/>
    <w:rsid w:val="00B83455"/>
    <w:rsid w:val="00B86B2D"/>
    <w:rsid w:val="00B87E81"/>
    <w:rsid w:val="00B87F3E"/>
    <w:rsid w:val="00B90845"/>
    <w:rsid w:val="00B91E61"/>
    <w:rsid w:val="00B92DC5"/>
    <w:rsid w:val="00B930E7"/>
    <w:rsid w:val="00B939B8"/>
    <w:rsid w:val="00B94799"/>
    <w:rsid w:val="00B94FE6"/>
    <w:rsid w:val="00B95BD2"/>
    <w:rsid w:val="00B95DAE"/>
    <w:rsid w:val="00B96AEB"/>
    <w:rsid w:val="00B97BC3"/>
    <w:rsid w:val="00BA074C"/>
    <w:rsid w:val="00BA091A"/>
    <w:rsid w:val="00BA1134"/>
    <w:rsid w:val="00BA282E"/>
    <w:rsid w:val="00BA442C"/>
    <w:rsid w:val="00BA5B92"/>
    <w:rsid w:val="00BA6D6B"/>
    <w:rsid w:val="00BA70F4"/>
    <w:rsid w:val="00BA7352"/>
    <w:rsid w:val="00BA7669"/>
    <w:rsid w:val="00BA7E20"/>
    <w:rsid w:val="00BA7E6C"/>
    <w:rsid w:val="00BA7FDF"/>
    <w:rsid w:val="00BB164C"/>
    <w:rsid w:val="00BB1954"/>
    <w:rsid w:val="00BB1BC4"/>
    <w:rsid w:val="00BB1EB6"/>
    <w:rsid w:val="00BB1F77"/>
    <w:rsid w:val="00BB200B"/>
    <w:rsid w:val="00BB3508"/>
    <w:rsid w:val="00BB3CF0"/>
    <w:rsid w:val="00BB43FF"/>
    <w:rsid w:val="00BB45AB"/>
    <w:rsid w:val="00BB4AA2"/>
    <w:rsid w:val="00BB649B"/>
    <w:rsid w:val="00BB69CA"/>
    <w:rsid w:val="00BB7B4E"/>
    <w:rsid w:val="00BB7D35"/>
    <w:rsid w:val="00BC0718"/>
    <w:rsid w:val="00BC0CA5"/>
    <w:rsid w:val="00BC0CDA"/>
    <w:rsid w:val="00BC165C"/>
    <w:rsid w:val="00BC3564"/>
    <w:rsid w:val="00BC3DDA"/>
    <w:rsid w:val="00BC5F94"/>
    <w:rsid w:val="00BC64B5"/>
    <w:rsid w:val="00BC65C9"/>
    <w:rsid w:val="00BC67B4"/>
    <w:rsid w:val="00BC68A0"/>
    <w:rsid w:val="00BC6D0F"/>
    <w:rsid w:val="00BC7889"/>
    <w:rsid w:val="00BD0192"/>
    <w:rsid w:val="00BD0569"/>
    <w:rsid w:val="00BD1A7A"/>
    <w:rsid w:val="00BD2EC0"/>
    <w:rsid w:val="00BD35C1"/>
    <w:rsid w:val="00BD3EBA"/>
    <w:rsid w:val="00BD49F5"/>
    <w:rsid w:val="00BD5243"/>
    <w:rsid w:val="00BD6E9C"/>
    <w:rsid w:val="00BD7430"/>
    <w:rsid w:val="00BE028C"/>
    <w:rsid w:val="00BE066B"/>
    <w:rsid w:val="00BE1065"/>
    <w:rsid w:val="00BE12C7"/>
    <w:rsid w:val="00BE229F"/>
    <w:rsid w:val="00BE2C4B"/>
    <w:rsid w:val="00BE2C4D"/>
    <w:rsid w:val="00BE2D5A"/>
    <w:rsid w:val="00BE4E69"/>
    <w:rsid w:val="00BE5FE4"/>
    <w:rsid w:val="00BF095D"/>
    <w:rsid w:val="00BF3BE8"/>
    <w:rsid w:val="00BF4319"/>
    <w:rsid w:val="00BF47E6"/>
    <w:rsid w:val="00BF4ADC"/>
    <w:rsid w:val="00BF501B"/>
    <w:rsid w:val="00BF50F5"/>
    <w:rsid w:val="00BF5AAF"/>
    <w:rsid w:val="00BF5D41"/>
    <w:rsid w:val="00BF6F18"/>
    <w:rsid w:val="00C00A1F"/>
    <w:rsid w:val="00C022BF"/>
    <w:rsid w:val="00C02496"/>
    <w:rsid w:val="00C02DE4"/>
    <w:rsid w:val="00C04140"/>
    <w:rsid w:val="00C04B09"/>
    <w:rsid w:val="00C057FF"/>
    <w:rsid w:val="00C06044"/>
    <w:rsid w:val="00C060D8"/>
    <w:rsid w:val="00C073FC"/>
    <w:rsid w:val="00C07462"/>
    <w:rsid w:val="00C07DBD"/>
    <w:rsid w:val="00C10F36"/>
    <w:rsid w:val="00C1265A"/>
    <w:rsid w:val="00C14338"/>
    <w:rsid w:val="00C14435"/>
    <w:rsid w:val="00C14F9B"/>
    <w:rsid w:val="00C14FE7"/>
    <w:rsid w:val="00C15982"/>
    <w:rsid w:val="00C15F92"/>
    <w:rsid w:val="00C17903"/>
    <w:rsid w:val="00C17EB2"/>
    <w:rsid w:val="00C21027"/>
    <w:rsid w:val="00C21261"/>
    <w:rsid w:val="00C2157D"/>
    <w:rsid w:val="00C22909"/>
    <w:rsid w:val="00C22E12"/>
    <w:rsid w:val="00C2344F"/>
    <w:rsid w:val="00C23A15"/>
    <w:rsid w:val="00C25E24"/>
    <w:rsid w:val="00C25FDB"/>
    <w:rsid w:val="00C26246"/>
    <w:rsid w:val="00C26CA2"/>
    <w:rsid w:val="00C270D6"/>
    <w:rsid w:val="00C27261"/>
    <w:rsid w:val="00C30233"/>
    <w:rsid w:val="00C3086B"/>
    <w:rsid w:val="00C30F4D"/>
    <w:rsid w:val="00C326D9"/>
    <w:rsid w:val="00C32B75"/>
    <w:rsid w:val="00C33148"/>
    <w:rsid w:val="00C33168"/>
    <w:rsid w:val="00C3369A"/>
    <w:rsid w:val="00C34B80"/>
    <w:rsid w:val="00C35093"/>
    <w:rsid w:val="00C35BC4"/>
    <w:rsid w:val="00C37B30"/>
    <w:rsid w:val="00C41EF9"/>
    <w:rsid w:val="00C42647"/>
    <w:rsid w:val="00C427C9"/>
    <w:rsid w:val="00C4512A"/>
    <w:rsid w:val="00C45134"/>
    <w:rsid w:val="00C45D6C"/>
    <w:rsid w:val="00C46F84"/>
    <w:rsid w:val="00C471F0"/>
    <w:rsid w:val="00C508B0"/>
    <w:rsid w:val="00C51707"/>
    <w:rsid w:val="00C54751"/>
    <w:rsid w:val="00C5503F"/>
    <w:rsid w:val="00C55B92"/>
    <w:rsid w:val="00C5646A"/>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B0C"/>
    <w:rsid w:val="00C73970"/>
    <w:rsid w:val="00C73ACE"/>
    <w:rsid w:val="00C7531D"/>
    <w:rsid w:val="00C75CAF"/>
    <w:rsid w:val="00C765A0"/>
    <w:rsid w:val="00C76827"/>
    <w:rsid w:val="00C77550"/>
    <w:rsid w:val="00C77654"/>
    <w:rsid w:val="00C80697"/>
    <w:rsid w:val="00C80B09"/>
    <w:rsid w:val="00C82564"/>
    <w:rsid w:val="00C8283E"/>
    <w:rsid w:val="00C82969"/>
    <w:rsid w:val="00C84237"/>
    <w:rsid w:val="00C843AF"/>
    <w:rsid w:val="00C859CE"/>
    <w:rsid w:val="00C85B76"/>
    <w:rsid w:val="00C86A62"/>
    <w:rsid w:val="00C91AFA"/>
    <w:rsid w:val="00C92065"/>
    <w:rsid w:val="00C93823"/>
    <w:rsid w:val="00C95CE6"/>
    <w:rsid w:val="00C97A95"/>
    <w:rsid w:val="00CA01A6"/>
    <w:rsid w:val="00CA0D6A"/>
    <w:rsid w:val="00CA14E8"/>
    <w:rsid w:val="00CA1D61"/>
    <w:rsid w:val="00CA2176"/>
    <w:rsid w:val="00CA3D49"/>
    <w:rsid w:val="00CA40F5"/>
    <w:rsid w:val="00CA4395"/>
    <w:rsid w:val="00CA6EF7"/>
    <w:rsid w:val="00CA7341"/>
    <w:rsid w:val="00CA7D8A"/>
    <w:rsid w:val="00CA7DDF"/>
    <w:rsid w:val="00CB088A"/>
    <w:rsid w:val="00CB1300"/>
    <w:rsid w:val="00CB23EA"/>
    <w:rsid w:val="00CB2E73"/>
    <w:rsid w:val="00CB3E28"/>
    <w:rsid w:val="00CB4873"/>
    <w:rsid w:val="00CB5622"/>
    <w:rsid w:val="00CB5774"/>
    <w:rsid w:val="00CB59E4"/>
    <w:rsid w:val="00CB5D06"/>
    <w:rsid w:val="00CB6CF3"/>
    <w:rsid w:val="00CC058C"/>
    <w:rsid w:val="00CC0749"/>
    <w:rsid w:val="00CC0883"/>
    <w:rsid w:val="00CC2BE6"/>
    <w:rsid w:val="00CC38B8"/>
    <w:rsid w:val="00CC3B5D"/>
    <w:rsid w:val="00CC4C38"/>
    <w:rsid w:val="00CC52CD"/>
    <w:rsid w:val="00CC5C3D"/>
    <w:rsid w:val="00CC5D82"/>
    <w:rsid w:val="00CC6279"/>
    <w:rsid w:val="00CC6CB8"/>
    <w:rsid w:val="00CC6EE9"/>
    <w:rsid w:val="00CD09D0"/>
    <w:rsid w:val="00CD0C05"/>
    <w:rsid w:val="00CD2837"/>
    <w:rsid w:val="00CD38F4"/>
    <w:rsid w:val="00CD3D77"/>
    <w:rsid w:val="00CD5556"/>
    <w:rsid w:val="00CD569D"/>
    <w:rsid w:val="00CD7850"/>
    <w:rsid w:val="00CD7EB0"/>
    <w:rsid w:val="00CE22F4"/>
    <w:rsid w:val="00CE25B6"/>
    <w:rsid w:val="00CE267E"/>
    <w:rsid w:val="00CE2BFA"/>
    <w:rsid w:val="00CE6A92"/>
    <w:rsid w:val="00CE7C65"/>
    <w:rsid w:val="00CF01D0"/>
    <w:rsid w:val="00CF2A4E"/>
    <w:rsid w:val="00CF338F"/>
    <w:rsid w:val="00CF3751"/>
    <w:rsid w:val="00CF4477"/>
    <w:rsid w:val="00CF6B3C"/>
    <w:rsid w:val="00CF6C72"/>
    <w:rsid w:val="00D004A5"/>
    <w:rsid w:val="00D0161C"/>
    <w:rsid w:val="00D0171F"/>
    <w:rsid w:val="00D01AFE"/>
    <w:rsid w:val="00D025BD"/>
    <w:rsid w:val="00D02D47"/>
    <w:rsid w:val="00D03C0E"/>
    <w:rsid w:val="00D061CB"/>
    <w:rsid w:val="00D0681F"/>
    <w:rsid w:val="00D069F1"/>
    <w:rsid w:val="00D076E4"/>
    <w:rsid w:val="00D07727"/>
    <w:rsid w:val="00D101CC"/>
    <w:rsid w:val="00D10A23"/>
    <w:rsid w:val="00D115C5"/>
    <w:rsid w:val="00D12282"/>
    <w:rsid w:val="00D13BB6"/>
    <w:rsid w:val="00D13FC3"/>
    <w:rsid w:val="00D14404"/>
    <w:rsid w:val="00D15185"/>
    <w:rsid w:val="00D1602F"/>
    <w:rsid w:val="00D168E9"/>
    <w:rsid w:val="00D1710F"/>
    <w:rsid w:val="00D173C9"/>
    <w:rsid w:val="00D2004E"/>
    <w:rsid w:val="00D20BFA"/>
    <w:rsid w:val="00D2145C"/>
    <w:rsid w:val="00D21A3A"/>
    <w:rsid w:val="00D21E0B"/>
    <w:rsid w:val="00D22796"/>
    <w:rsid w:val="00D22839"/>
    <w:rsid w:val="00D2311E"/>
    <w:rsid w:val="00D2392B"/>
    <w:rsid w:val="00D2583B"/>
    <w:rsid w:val="00D25D1A"/>
    <w:rsid w:val="00D26079"/>
    <w:rsid w:val="00D26B7B"/>
    <w:rsid w:val="00D30648"/>
    <w:rsid w:val="00D30877"/>
    <w:rsid w:val="00D30F78"/>
    <w:rsid w:val="00D3153C"/>
    <w:rsid w:val="00D3182B"/>
    <w:rsid w:val="00D31F61"/>
    <w:rsid w:val="00D32B4F"/>
    <w:rsid w:val="00D32BC3"/>
    <w:rsid w:val="00D33882"/>
    <w:rsid w:val="00D33D13"/>
    <w:rsid w:val="00D341A1"/>
    <w:rsid w:val="00D36C8A"/>
    <w:rsid w:val="00D36D83"/>
    <w:rsid w:val="00D37C5E"/>
    <w:rsid w:val="00D417C5"/>
    <w:rsid w:val="00D41BDA"/>
    <w:rsid w:val="00D42B4D"/>
    <w:rsid w:val="00D42BC2"/>
    <w:rsid w:val="00D43B43"/>
    <w:rsid w:val="00D44517"/>
    <w:rsid w:val="00D44957"/>
    <w:rsid w:val="00D44B8F"/>
    <w:rsid w:val="00D4662B"/>
    <w:rsid w:val="00D5026B"/>
    <w:rsid w:val="00D503F7"/>
    <w:rsid w:val="00D50702"/>
    <w:rsid w:val="00D51869"/>
    <w:rsid w:val="00D5200B"/>
    <w:rsid w:val="00D522B4"/>
    <w:rsid w:val="00D53B60"/>
    <w:rsid w:val="00D54ACB"/>
    <w:rsid w:val="00D564BB"/>
    <w:rsid w:val="00D565E4"/>
    <w:rsid w:val="00D567B9"/>
    <w:rsid w:val="00D57BE8"/>
    <w:rsid w:val="00D60506"/>
    <w:rsid w:val="00D61B56"/>
    <w:rsid w:val="00D625C3"/>
    <w:rsid w:val="00D62A99"/>
    <w:rsid w:val="00D63FD9"/>
    <w:rsid w:val="00D6455C"/>
    <w:rsid w:val="00D64BBA"/>
    <w:rsid w:val="00D64EBC"/>
    <w:rsid w:val="00D674A7"/>
    <w:rsid w:val="00D677DB"/>
    <w:rsid w:val="00D70256"/>
    <w:rsid w:val="00D70D5E"/>
    <w:rsid w:val="00D7195F"/>
    <w:rsid w:val="00D71CB0"/>
    <w:rsid w:val="00D71FCB"/>
    <w:rsid w:val="00D72584"/>
    <w:rsid w:val="00D727F1"/>
    <w:rsid w:val="00D730D8"/>
    <w:rsid w:val="00D733C3"/>
    <w:rsid w:val="00D75BBA"/>
    <w:rsid w:val="00D76BEF"/>
    <w:rsid w:val="00D76DC0"/>
    <w:rsid w:val="00D80175"/>
    <w:rsid w:val="00D82292"/>
    <w:rsid w:val="00D82306"/>
    <w:rsid w:val="00D82C41"/>
    <w:rsid w:val="00D82D08"/>
    <w:rsid w:val="00D831A6"/>
    <w:rsid w:val="00D83309"/>
    <w:rsid w:val="00D8409A"/>
    <w:rsid w:val="00D84274"/>
    <w:rsid w:val="00D842B2"/>
    <w:rsid w:val="00D8451D"/>
    <w:rsid w:val="00D84750"/>
    <w:rsid w:val="00D85335"/>
    <w:rsid w:val="00D87AA8"/>
    <w:rsid w:val="00D87B32"/>
    <w:rsid w:val="00D906EF"/>
    <w:rsid w:val="00D90952"/>
    <w:rsid w:val="00D92369"/>
    <w:rsid w:val="00D93325"/>
    <w:rsid w:val="00D93748"/>
    <w:rsid w:val="00D9393F"/>
    <w:rsid w:val="00D93A97"/>
    <w:rsid w:val="00D93E57"/>
    <w:rsid w:val="00D9405C"/>
    <w:rsid w:val="00D94C9A"/>
    <w:rsid w:val="00D94F1F"/>
    <w:rsid w:val="00D97F1B"/>
    <w:rsid w:val="00DA1DCF"/>
    <w:rsid w:val="00DA1F71"/>
    <w:rsid w:val="00DA2141"/>
    <w:rsid w:val="00DA6AC5"/>
    <w:rsid w:val="00DA720A"/>
    <w:rsid w:val="00DA74DE"/>
    <w:rsid w:val="00DA76BB"/>
    <w:rsid w:val="00DA7B3A"/>
    <w:rsid w:val="00DB0EA3"/>
    <w:rsid w:val="00DB3D82"/>
    <w:rsid w:val="00DB48AB"/>
    <w:rsid w:val="00DB490B"/>
    <w:rsid w:val="00DB5D49"/>
    <w:rsid w:val="00DB5E40"/>
    <w:rsid w:val="00DB66DD"/>
    <w:rsid w:val="00DC08FD"/>
    <w:rsid w:val="00DC2763"/>
    <w:rsid w:val="00DC4918"/>
    <w:rsid w:val="00DC4965"/>
    <w:rsid w:val="00DC5210"/>
    <w:rsid w:val="00DC5428"/>
    <w:rsid w:val="00DC5550"/>
    <w:rsid w:val="00DC65B0"/>
    <w:rsid w:val="00DC67A7"/>
    <w:rsid w:val="00DC69AB"/>
    <w:rsid w:val="00DC6FB9"/>
    <w:rsid w:val="00DC72C6"/>
    <w:rsid w:val="00DC7A2C"/>
    <w:rsid w:val="00DD04DD"/>
    <w:rsid w:val="00DD1EBE"/>
    <w:rsid w:val="00DD239A"/>
    <w:rsid w:val="00DD3510"/>
    <w:rsid w:val="00DD371A"/>
    <w:rsid w:val="00DD551D"/>
    <w:rsid w:val="00DD56CD"/>
    <w:rsid w:val="00DD57D1"/>
    <w:rsid w:val="00DD5B90"/>
    <w:rsid w:val="00DD73B7"/>
    <w:rsid w:val="00DD7C57"/>
    <w:rsid w:val="00DE0576"/>
    <w:rsid w:val="00DE111F"/>
    <w:rsid w:val="00DE5D56"/>
    <w:rsid w:val="00DE6C15"/>
    <w:rsid w:val="00DE7332"/>
    <w:rsid w:val="00DE7F9A"/>
    <w:rsid w:val="00DF4885"/>
    <w:rsid w:val="00DF5FFB"/>
    <w:rsid w:val="00DF6B1D"/>
    <w:rsid w:val="00DF74E3"/>
    <w:rsid w:val="00DF78C5"/>
    <w:rsid w:val="00E00B8C"/>
    <w:rsid w:val="00E00BC9"/>
    <w:rsid w:val="00E0203F"/>
    <w:rsid w:val="00E030BB"/>
    <w:rsid w:val="00E0534A"/>
    <w:rsid w:val="00E055C5"/>
    <w:rsid w:val="00E10DAB"/>
    <w:rsid w:val="00E12F16"/>
    <w:rsid w:val="00E13AC8"/>
    <w:rsid w:val="00E14D33"/>
    <w:rsid w:val="00E1530C"/>
    <w:rsid w:val="00E15675"/>
    <w:rsid w:val="00E1732E"/>
    <w:rsid w:val="00E17946"/>
    <w:rsid w:val="00E17A5D"/>
    <w:rsid w:val="00E2030D"/>
    <w:rsid w:val="00E2059A"/>
    <w:rsid w:val="00E22421"/>
    <w:rsid w:val="00E25154"/>
    <w:rsid w:val="00E25203"/>
    <w:rsid w:val="00E2543A"/>
    <w:rsid w:val="00E270EA"/>
    <w:rsid w:val="00E27C21"/>
    <w:rsid w:val="00E27CED"/>
    <w:rsid w:val="00E307B5"/>
    <w:rsid w:val="00E31773"/>
    <w:rsid w:val="00E319DE"/>
    <w:rsid w:val="00E31B11"/>
    <w:rsid w:val="00E31C0F"/>
    <w:rsid w:val="00E33DB9"/>
    <w:rsid w:val="00E35BC0"/>
    <w:rsid w:val="00E35C1B"/>
    <w:rsid w:val="00E3653A"/>
    <w:rsid w:val="00E3703D"/>
    <w:rsid w:val="00E372CB"/>
    <w:rsid w:val="00E374D1"/>
    <w:rsid w:val="00E3772C"/>
    <w:rsid w:val="00E41A3C"/>
    <w:rsid w:val="00E44D98"/>
    <w:rsid w:val="00E47081"/>
    <w:rsid w:val="00E4787F"/>
    <w:rsid w:val="00E47CC8"/>
    <w:rsid w:val="00E509E2"/>
    <w:rsid w:val="00E5112D"/>
    <w:rsid w:val="00E51D6C"/>
    <w:rsid w:val="00E531C9"/>
    <w:rsid w:val="00E553C1"/>
    <w:rsid w:val="00E57DD8"/>
    <w:rsid w:val="00E6025D"/>
    <w:rsid w:val="00E61195"/>
    <w:rsid w:val="00E618F7"/>
    <w:rsid w:val="00E62250"/>
    <w:rsid w:val="00E62A37"/>
    <w:rsid w:val="00E62B4A"/>
    <w:rsid w:val="00E62FCB"/>
    <w:rsid w:val="00E6375C"/>
    <w:rsid w:val="00E649A4"/>
    <w:rsid w:val="00E656CC"/>
    <w:rsid w:val="00E65E9B"/>
    <w:rsid w:val="00E663B0"/>
    <w:rsid w:val="00E66815"/>
    <w:rsid w:val="00E6733A"/>
    <w:rsid w:val="00E7048A"/>
    <w:rsid w:val="00E70D23"/>
    <w:rsid w:val="00E719B9"/>
    <w:rsid w:val="00E7323A"/>
    <w:rsid w:val="00E735D0"/>
    <w:rsid w:val="00E73867"/>
    <w:rsid w:val="00E73C9A"/>
    <w:rsid w:val="00E740B2"/>
    <w:rsid w:val="00E75036"/>
    <w:rsid w:val="00E77432"/>
    <w:rsid w:val="00E80235"/>
    <w:rsid w:val="00E8109B"/>
    <w:rsid w:val="00E812CE"/>
    <w:rsid w:val="00E815C3"/>
    <w:rsid w:val="00E81775"/>
    <w:rsid w:val="00E81F94"/>
    <w:rsid w:val="00E824CA"/>
    <w:rsid w:val="00E82525"/>
    <w:rsid w:val="00E843D2"/>
    <w:rsid w:val="00E84663"/>
    <w:rsid w:val="00E84D4D"/>
    <w:rsid w:val="00E850CA"/>
    <w:rsid w:val="00E8519C"/>
    <w:rsid w:val="00E85967"/>
    <w:rsid w:val="00E85AE6"/>
    <w:rsid w:val="00E86659"/>
    <w:rsid w:val="00E86FF4"/>
    <w:rsid w:val="00E87750"/>
    <w:rsid w:val="00E87803"/>
    <w:rsid w:val="00E87B0C"/>
    <w:rsid w:val="00E907A3"/>
    <w:rsid w:val="00E90C55"/>
    <w:rsid w:val="00E91A8B"/>
    <w:rsid w:val="00E92A38"/>
    <w:rsid w:val="00E92B46"/>
    <w:rsid w:val="00E92C0A"/>
    <w:rsid w:val="00E92E62"/>
    <w:rsid w:val="00E93857"/>
    <w:rsid w:val="00E953EB"/>
    <w:rsid w:val="00E955E0"/>
    <w:rsid w:val="00E974FF"/>
    <w:rsid w:val="00EA0DEB"/>
    <w:rsid w:val="00EA2F77"/>
    <w:rsid w:val="00EA3123"/>
    <w:rsid w:val="00EA5D73"/>
    <w:rsid w:val="00EA7732"/>
    <w:rsid w:val="00EB0F84"/>
    <w:rsid w:val="00EB1203"/>
    <w:rsid w:val="00EB282C"/>
    <w:rsid w:val="00EB345F"/>
    <w:rsid w:val="00EB5167"/>
    <w:rsid w:val="00EB65DE"/>
    <w:rsid w:val="00EB70E7"/>
    <w:rsid w:val="00EB7342"/>
    <w:rsid w:val="00EB7A0E"/>
    <w:rsid w:val="00EC0756"/>
    <w:rsid w:val="00EC1D65"/>
    <w:rsid w:val="00EC28D8"/>
    <w:rsid w:val="00EC3EE6"/>
    <w:rsid w:val="00EC56DB"/>
    <w:rsid w:val="00EC66C6"/>
    <w:rsid w:val="00EC7873"/>
    <w:rsid w:val="00EC7986"/>
    <w:rsid w:val="00ED01D0"/>
    <w:rsid w:val="00ED0AF0"/>
    <w:rsid w:val="00ED1195"/>
    <w:rsid w:val="00ED1D32"/>
    <w:rsid w:val="00ED2726"/>
    <w:rsid w:val="00ED389A"/>
    <w:rsid w:val="00ED4446"/>
    <w:rsid w:val="00ED4EF1"/>
    <w:rsid w:val="00ED52B9"/>
    <w:rsid w:val="00ED57EC"/>
    <w:rsid w:val="00ED5EA3"/>
    <w:rsid w:val="00ED60FE"/>
    <w:rsid w:val="00ED644B"/>
    <w:rsid w:val="00EE05D8"/>
    <w:rsid w:val="00EE0728"/>
    <w:rsid w:val="00EE0B1B"/>
    <w:rsid w:val="00EE0D3E"/>
    <w:rsid w:val="00EE1D98"/>
    <w:rsid w:val="00EE1DE6"/>
    <w:rsid w:val="00EE23D8"/>
    <w:rsid w:val="00EE3A5F"/>
    <w:rsid w:val="00EE3DDD"/>
    <w:rsid w:val="00EE40C5"/>
    <w:rsid w:val="00EE4608"/>
    <w:rsid w:val="00EE4F0D"/>
    <w:rsid w:val="00EE5148"/>
    <w:rsid w:val="00EE64A4"/>
    <w:rsid w:val="00EE78F4"/>
    <w:rsid w:val="00EF03C4"/>
    <w:rsid w:val="00EF3DEE"/>
    <w:rsid w:val="00EF44DF"/>
    <w:rsid w:val="00EF52B4"/>
    <w:rsid w:val="00EF54D1"/>
    <w:rsid w:val="00EF5CF2"/>
    <w:rsid w:val="00EF755B"/>
    <w:rsid w:val="00EF7BFF"/>
    <w:rsid w:val="00F009F0"/>
    <w:rsid w:val="00F00E3E"/>
    <w:rsid w:val="00F01233"/>
    <w:rsid w:val="00F019BA"/>
    <w:rsid w:val="00F02125"/>
    <w:rsid w:val="00F02C61"/>
    <w:rsid w:val="00F0343A"/>
    <w:rsid w:val="00F10D8D"/>
    <w:rsid w:val="00F117E2"/>
    <w:rsid w:val="00F141AA"/>
    <w:rsid w:val="00F14990"/>
    <w:rsid w:val="00F14D84"/>
    <w:rsid w:val="00F15959"/>
    <w:rsid w:val="00F159DA"/>
    <w:rsid w:val="00F15B08"/>
    <w:rsid w:val="00F16D9B"/>
    <w:rsid w:val="00F17232"/>
    <w:rsid w:val="00F20AC6"/>
    <w:rsid w:val="00F2108B"/>
    <w:rsid w:val="00F21695"/>
    <w:rsid w:val="00F21D0C"/>
    <w:rsid w:val="00F2336A"/>
    <w:rsid w:val="00F2391F"/>
    <w:rsid w:val="00F24D32"/>
    <w:rsid w:val="00F24F42"/>
    <w:rsid w:val="00F251CC"/>
    <w:rsid w:val="00F2553B"/>
    <w:rsid w:val="00F26712"/>
    <w:rsid w:val="00F27F55"/>
    <w:rsid w:val="00F30503"/>
    <w:rsid w:val="00F3086F"/>
    <w:rsid w:val="00F308A9"/>
    <w:rsid w:val="00F32F3C"/>
    <w:rsid w:val="00F3331D"/>
    <w:rsid w:val="00F36BBA"/>
    <w:rsid w:val="00F375BB"/>
    <w:rsid w:val="00F404C6"/>
    <w:rsid w:val="00F40A95"/>
    <w:rsid w:val="00F4188F"/>
    <w:rsid w:val="00F41AB1"/>
    <w:rsid w:val="00F41CD2"/>
    <w:rsid w:val="00F43C61"/>
    <w:rsid w:val="00F44129"/>
    <w:rsid w:val="00F4443E"/>
    <w:rsid w:val="00F465B8"/>
    <w:rsid w:val="00F47C84"/>
    <w:rsid w:val="00F47DB9"/>
    <w:rsid w:val="00F501BE"/>
    <w:rsid w:val="00F50308"/>
    <w:rsid w:val="00F509C6"/>
    <w:rsid w:val="00F50F37"/>
    <w:rsid w:val="00F51F98"/>
    <w:rsid w:val="00F528EC"/>
    <w:rsid w:val="00F536C6"/>
    <w:rsid w:val="00F548B0"/>
    <w:rsid w:val="00F55D2A"/>
    <w:rsid w:val="00F560DA"/>
    <w:rsid w:val="00F5620A"/>
    <w:rsid w:val="00F56B29"/>
    <w:rsid w:val="00F641F8"/>
    <w:rsid w:val="00F64A56"/>
    <w:rsid w:val="00F64D11"/>
    <w:rsid w:val="00F64E8D"/>
    <w:rsid w:val="00F6613E"/>
    <w:rsid w:val="00F667E9"/>
    <w:rsid w:val="00F66F23"/>
    <w:rsid w:val="00F670FD"/>
    <w:rsid w:val="00F67209"/>
    <w:rsid w:val="00F67C09"/>
    <w:rsid w:val="00F701D7"/>
    <w:rsid w:val="00F7030E"/>
    <w:rsid w:val="00F71B19"/>
    <w:rsid w:val="00F72444"/>
    <w:rsid w:val="00F72B04"/>
    <w:rsid w:val="00F72E0C"/>
    <w:rsid w:val="00F72FF8"/>
    <w:rsid w:val="00F73927"/>
    <w:rsid w:val="00F74B50"/>
    <w:rsid w:val="00F74D4C"/>
    <w:rsid w:val="00F75DAD"/>
    <w:rsid w:val="00F76335"/>
    <w:rsid w:val="00F7707F"/>
    <w:rsid w:val="00F80F06"/>
    <w:rsid w:val="00F81179"/>
    <w:rsid w:val="00F825FF"/>
    <w:rsid w:val="00F826A6"/>
    <w:rsid w:val="00F82F27"/>
    <w:rsid w:val="00F8333D"/>
    <w:rsid w:val="00F84805"/>
    <w:rsid w:val="00F84857"/>
    <w:rsid w:val="00F8495B"/>
    <w:rsid w:val="00F84A1A"/>
    <w:rsid w:val="00F85232"/>
    <w:rsid w:val="00F86E4A"/>
    <w:rsid w:val="00F87740"/>
    <w:rsid w:val="00F87FDA"/>
    <w:rsid w:val="00F90530"/>
    <w:rsid w:val="00F9095A"/>
    <w:rsid w:val="00F909C1"/>
    <w:rsid w:val="00F90BC8"/>
    <w:rsid w:val="00F90E62"/>
    <w:rsid w:val="00F90F74"/>
    <w:rsid w:val="00F90F91"/>
    <w:rsid w:val="00F9185D"/>
    <w:rsid w:val="00F92559"/>
    <w:rsid w:val="00F928A9"/>
    <w:rsid w:val="00F92B62"/>
    <w:rsid w:val="00F932F5"/>
    <w:rsid w:val="00F93444"/>
    <w:rsid w:val="00F949EA"/>
    <w:rsid w:val="00F958F7"/>
    <w:rsid w:val="00F97568"/>
    <w:rsid w:val="00FA06E2"/>
    <w:rsid w:val="00FA0A0C"/>
    <w:rsid w:val="00FA276F"/>
    <w:rsid w:val="00FA2A5D"/>
    <w:rsid w:val="00FA73C4"/>
    <w:rsid w:val="00FA7750"/>
    <w:rsid w:val="00FB0788"/>
    <w:rsid w:val="00FB24AB"/>
    <w:rsid w:val="00FB3802"/>
    <w:rsid w:val="00FB3887"/>
    <w:rsid w:val="00FB3CE5"/>
    <w:rsid w:val="00FB408D"/>
    <w:rsid w:val="00FB562B"/>
    <w:rsid w:val="00FB6088"/>
    <w:rsid w:val="00FB6147"/>
    <w:rsid w:val="00FB66CC"/>
    <w:rsid w:val="00FB692E"/>
    <w:rsid w:val="00FC0B8D"/>
    <w:rsid w:val="00FC1208"/>
    <w:rsid w:val="00FC192D"/>
    <w:rsid w:val="00FC1C02"/>
    <w:rsid w:val="00FC4E7E"/>
    <w:rsid w:val="00FC5430"/>
    <w:rsid w:val="00FC5B85"/>
    <w:rsid w:val="00FC5E02"/>
    <w:rsid w:val="00FC6112"/>
    <w:rsid w:val="00FC6A07"/>
    <w:rsid w:val="00FC7317"/>
    <w:rsid w:val="00FD03B5"/>
    <w:rsid w:val="00FD1EF4"/>
    <w:rsid w:val="00FD24F5"/>
    <w:rsid w:val="00FD2E40"/>
    <w:rsid w:val="00FD4637"/>
    <w:rsid w:val="00FD55DA"/>
    <w:rsid w:val="00FD5719"/>
    <w:rsid w:val="00FD5971"/>
    <w:rsid w:val="00FD5A08"/>
    <w:rsid w:val="00FE2105"/>
    <w:rsid w:val="00FE2A32"/>
    <w:rsid w:val="00FE42BF"/>
    <w:rsid w:val="00FE45E3"/>
    <w:rsid w:val="00FE4613"/>
    <w:rsid w:val="00FE5513"/>
    <w:rsid w:val="00FE5C35"/>
    <w:rsid w:val="00FE5E3B"/>
    <w:rsid w:val="00FE61BC"/>
    <w:rsid w:val="00FE7B2D"/>
    <w:rsid w:val="00FE7ECD"/>
    <w:rsid w:val="00FF2051"/>
    <w:rsid w:val="00FF2935"/>
    <w:rsid w:val="00FF3868"/>
    <w:rsid w:val="00FF6B03"/>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f" fillcolor="white" stroke="f" strokecolor="blue">
      <v:fill color="white" on="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qFormat="1"/>
    <w:lsdException w:name="footnote reference" w:uiPriority="99"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FollowedHyperlink" w:uiPriority="99"/>
    <w:lsdException w:name="Strong"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360107"/>
    <w:rPr>
      <w:szCs w:val="28"/>
      <w:lang w:val="en-GB"/>
    </w:rPr>
  </w:style>
  <w:style w:type="character" w:customStyle="1" w:styleId="FootnoteTextChar">
    <w:name w:val="Footnote Text Char"/>
    <w:aliases w:val="f Char"/>
    <w:basedOn w:val="DefaultParagraphFont"/>
    <w:link w:val="FootnoteText"/>
    <w:uiPriority w:val="99"/>
    <w:locked/>
    <w:rsid w:val="00360107"/>
    <w:rPr>
      <w:rFonts w:ascii="Garamond" w:hAnsi="Garamond" w:cs="Arial"/>
      <w:color w:val="000000"/>
      <w:sz w:val="24"/>
      <w:szCs w:val="28"/>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E4383"/>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E4383"/>
    <w:rPr>
      <w:rFonts w:ascii="Garamond" w:hAnsi="Garamond" w:cs="Arial"/>
      <w:sz w:val="24"/>
      <w:szCs w:val="24"/>
      <w:lang w:bidi="he-IL"/>
    </w:rPr>
  </w:style>
  <w:style w:type="character" w:styleId="Strong">
    <w:name w:val="Strong"/>
    <w:basedOn w:val="DefaultParagraphFont"/>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basedOn w:val="DefaultParagraphFont"/>
    <w:link w:val="BodyText3"/>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
    <w:link w:val="CommentTextChar"/>
    <w:uiPriority w:val="99"/>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aridion-med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C72F-8F1A-4AD9-88C3-3A7C725F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73</Pages>
  <Words>18274</Words>
  <Characters>104168</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Perry</cp:lastModifiedBy>
  <cp:revision>14</cp:revision>
  <cp:lastPrinted>2011-04-05T16:26:00Z</cp:lastPrinted>
  <dcterms:created xsi:type="dcterms:W3CDTF">2011-03-31T08:38:00Z</dcterms:created>
  <dcterms:modified xsi:type="dcterms:W3CDTF">2011-04-06T08:33:00Z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