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B" w:rsidRPr="000E2B5A" w:rsidRDefault="003A63D9" w:rsidP="002D19EB">
      <w:pPr>
        <w:ind w:left="360"/>
        <w:jc w:val="center"/>
        <w:rPr>
          <w:rFonts w:ascii="Bradley Hand ITC" w:hAnsi="Bradley Hand ITC"/>
          <w:b/>
          <w:sz w:val="56"/>
          <w:szCs w:val="56"/>
          <w:lang w:val="en-GB"/>
        </w:rPr>
      </w:pPr>
      <w:r w:rsidRPr="000E2B5A">
        <w:rPr>
          <w:noProof/>
          <w:lang w:val="en-GB" w:eastAsia="en-GB"/>
        </w:rPr>
        <w:drawing>
          <wp:anchor distT="0" distB="0" distL="114300" distR="114300" simplePos="0" relativeHeight="251660800" behindDoc="1" locked="0" layoutInCell="1" allowOverlap="1">
            <wp:simplePos x="0" y="0"/>
            <wp:positionH relativeFrom="column">
              <wp:posOffset>-457200</wp:posOffset>
            </wp:positionH>
            <wp:positionV relativeFrom="paragraph">
              <wp:posOffset>-727710</wp:posOffset>
            </wp:positionV>
            <wp:extent cx="5486400" cy="8336915"/>
            <wp:effectExtent l="19050" t="0" r="0" b="0"/>
            <wp:wrapNone/>
            <wp:docPr id="96" name="Picture 96" descr="photo_22116_2010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hoto_22116_20101028"/>
                    <pic:cNvPicPr>
                      <a:picLocks noChangeAspect="1" noChangeArrowheads="1"/>
                    </pic:cNvPicPr>
                  </pic:nvPicPr>
                  <pic:blipFill>
                    <a:blip r:embed="rId9" cstate="print"/>
                    <a:srcRect/>
                    <a:stretch>
                      <a:fillRect/>
                    </a:stretch>
                  </pic:blipFill>
                  <pic:spPr bwMode="auto">
                    <a:xfrm>
                      <a:off x="0" y="0"/>
                      <a:ext cx="5486400" cy="8336915"/>
                    </a:xfrm>
                    <a:prstGeom prst="rect">
                      <a:avLst/>
                    </a:prstGeom>
                    <a:noFill/>
                    <a:ln w="9525">
                      <a:noFill/>
                      <a:miter lim="800000"/>
                      <a:headEnd/>
                      <a:tailEnd/>
                    </a:ln>
                  </pic:spPr>
                </pic:pic>
              </a:graphicData>
            </a:graphic>
          </wp:anchor>
        </w:drawing>
      </w:r>
    </w:p>
    <w:p w:rsidR="00D730D8" w:rsidRPr="000E2B5A" w:rsidRDefault="00D730D8" w:rsidP="002D19EB">
      <w:pPr>
        <w:ind w:left="360"/>
        <w:jc w:val="center"/>
        <w:rPr>
          <w:rFonts w:ascii="Bradley Hand ITC" w:hAnsi="Bradley Hand ITC"/>
          <w:b/>
          <w:sz w:val="56"/>
          <w:szCs w:val="56"/>
          <w:lang w:val="en-GB"/>
        </w:rPr>
      </w:pPr>
    </w:p>
    <w:p w:rsidR="002D19EB" w:rsidRPr="000E2B5A" w:rsidRDefault="003A63D9" w:rsidP="007B077D">
      <w:pPr>
        <w:ind w:right="-171"/>
        <w:jc w:val="center"/>
        <w:rPr>
          <w:rFonts w:ascii="Bradley Hand ITC" w:hAnsi="Bradley Hand ITC"/>
          <w:b/>
          <w:sz w:val="56"/>
          <w:szCs w:val="56"/>
          <w:lang w:val="en-GB"/>
        </w:rPr>
      </w:pPr>
      <w:r w:rsidRPr="000E2B5A">
        <w:rPr>
          <w:rFonts w:ascii="Bradley Hand ITC" w:hAnsi="Bradley Hand ITC"/>
          <w:b/>
          <w:color w:val="0D0D0D" w:themeColor="text1" w:themeTint="F2"/>
          <w:sz w:val="96"/>
          <w:szCs w:val="96"/>
          <w:lang w:val="en-GB"/>
        </w:rPr>
        <w:t>Christadelphian EJournal of Biblical Interpretation</w:t>
      </w:r>
      <w:r w:rsidRPr="000E2B5A">
        <w:rPr>
          <w:rFonts w:ascii="Bradley Hand ITC" w:hAnsi="Bradley Hand ITC"/>
          <w:b/>
          <w:sz w:val="96"/>
          <w:szCs w:val="56"/>
          <w:lang w:val="en-GB"/>
        </w:rPr>
        <w:t xml:space="preserve"> </w:t>
      </w:r>
      <w:r w:rsidRPr="000E2B5A">
        <w:rPr>
          <w:rFonts w:ascii="Bradley Hand ITC" w:hAnsi="Bradley Hand ITC"/>
          <w:b/>
          <w:sz w:val="56"/>
          <w:szCs w:val="56"/>
          <w:lang w:val="en-GB"/>
        </w:rPr>
        <w:br w:type="page"/>
      </w:r>
      <w:r w:rsidR="002D19EB" w:rsidRPr="000E2B5A">
        <w:rPr>
          <w:rFonts w:ascii="Bradley Hand ITC" w:hAnsi="Bradley Hand ITC"/>
          <w:b/>
          <w:sz w:val="56"/>
          <w:szCs w:val="56"/>
          <w:lang w:val="en-GB"/>
        </w:rPr>
        <w:lastRenderedPageBreak/>
        <w:t>Contents</w:t>
      </w:r>
    </w:p>
    <w:p w:rsidR="003A63D9" w:rsidRPr="000E2B5A" w:rsidRDefault="003A63D9" w:rsidP="002D19EB">
      <w:pPr>
        <w:ind w:left="360"/>
        <w:jc w:val="center"/>
        <w:rPr>
          <w:rFonts w:ascii="Bradley Hand ITC" w:hAnsi="Bradley Hand ITC"/>
          <w:b/>
          <w:sz w:val="56"/>
          <w:szCs w:val="56"/>
          <w:lang w:val="en-GB"/>
        </w:rPr>
      </w:pPr>
    </w:p>
    <w:p w:rsidR="002D19EB" w:rsidRPr="000E2B5A" w:rsidRDefault="003A63D9" w:rsidP="00CE2BFA">
      <w:pPr>
        <w:pStyle w:val="ListParagraph"/>
        <w:numPr>
          <w:ilvl w:val="0"/>
          <w:numId w:val="15"/>
        </w:numPr>
        <w:ind w:left="1080"/>
        <w:rPr>
          <w:rFonts w:ascii="Bradley Hand ITC" w:hAnsi="Bradley Hand ITC"/>
          <w:b/>
        </w:rPr>
      </w:pPr>
      <w:r w:rsidRPr="000E2B5A">
        <w:rPr>
          <w:noProof/>
          <w:lang w:eastAsia="en-GB"/>
        </w:rPr>
        <w:drawing>
          <wp:anchor distT="57785" distB="57785" distL="57785" distR="57785" simplePos="0" relativeHeight="25165670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2D19EB" w:rsidRPr="000E2B5A">
        <w:rPr>
          <w:rFonts w:ascii="Bradley Hand ITC" w:hAnsi="Bradley Hand ITC"/>
          <w:b/>
        </w:rPr>
        <w:t>Editorial</w:t>
      </w:r>
    </w:p>
    <w:p w:rsidR="002D19EB" w:rsidRPr="000E2B5A" w:rsidRDefault="007524DB" w:rsidP="00CE2BFA">
      <w:pPr>
        <w:pStyle w:val="ListParagraph"/>
        <w:numPr>
          <w:ilvl w:val="0"/>
          <w:numId w:val="15"/>
        </w:numPr>
        <w:ind w:left="1080"/>
        <w:rPr>
          <w:rFonts w:ascii="Bradley Hand ITC" w:hAnsi="Bradley Hand ITC"/>
          <w:b/>
        </w:rPr>
      </w:pPr>
      <w:r w:rsidRPr="000E2B5A">
        <w:rPr>
          <w:rFonts w:ascii="Bradley Hand ITC" w:hAnsi="Bradley Hand ITC"/>
          <w:b/>
        </w:rPr>
        <w:t>Sennacherib</w:t>
      </w:r>
      <w:r w:rsidR="005D74CB" w:rsidRPr="000E2B5A">
        <w:rPr>
          <w:rFonts w:ascii="Bradley Hand ITC" w:hAnsi="Bradley Hand ITC"/>
          <w:b/>
        </w:rPr>
        <w:t>’</w:t>
      </w:r>
      <w:r w:rsidRPr="000E2B5A">
        <w:rPr>
          <w:rFonts w:ascii="Bradley Hand ITC" w:hAnsi="Bradley Hand ITC"/>
          <w:b/>
        </w:rPr>
        <w:t>s Babylonian Problem</w:t>
      </w:r>
    </w:p>
    <w:p w:rsidR="00D8409A" w:rsidRPr="000E2B5A" w:rsidRDefault="000D67BC" w:rsidP="00CE2BFA">
      <w:pPr>
        <w:pStyle w:val="ListParagraph"/>
        <w:numPr>
          <w:ilvl w:val="0"/>
          <w:numId w:val="15"/>
        </w:numPr>
        <w:ind w:left="1080"/>
        <w:rPr>
          <w:rFonts w:ascii="Bradley Hand ITC" w:hAnsi="Bradley Hand ITC"/>
          <w:b/>
        </w:rPr>
      </w:pPr>
      <w:r w:rsidRPr="000E2B5A">
        <w:rPr>
          <w:rFonts w:ascii="Bradley Hand ITC" w:hAnsi="Bradley Hand ITC"/>
          <w:b/>
        </w:rPr>
        <w:t>Two Donkeys</w:t>
      </w:r>
    </w:p>
    <w:p w:rsidR="00D3182B" w:rsidRPr="000E2B5A" w:rsidRDefault="00D3182B" w:rsidP="00CE2BFA">
      <w:pPr>
        <w:pStyle w:val="ListParagraph"/>
        <w:numPr>
          <w:ilvl w:val="0"/>
          <w:numId w:val="15"/>
        </w:numPr>
        <w:ind w:left="1080"/>
        <w:rPr>
          <w:rFonts w:ascii="Bradley Hand ITC" w:hAnsi="Bradley Hand ITC"/>
          <w:b/>
        </w:rPr>
      </w:pPr>
      <w:r w:rsidRPr="000E2B5A">
        <w:rPr>
          <w:rFonts w:ascii="Bradley Hand ITC" w:hAnsi="Bradley Hand ITC"/>
          <w:b/>
        </w:rPr>
        <w:t>Complementary Difference</w:t>
      </w:r>
    </w:p>
    <w:p w:rsidR="007D3CE9" w:rsidRPr="000E2B5A" w:rsidRDefault="007D3CE9" w:rsidP="00CE2BFA">
      <w:pPr>
        <w:pStyle w:val="ListParagraph"/>
        <w:numPr>
          <w:ilvl w:val="0"/>
          <w:numId w:val="15"/>
        </w:numPr>
        <w:ind w:left="1080"/>
        <w:rPr>
          <w:rFonts w:ascii="Bradley Hand ITC" w:hAnsi="Bradley Hand ITC"/>
          <w:b/>
        </w:rPr>
      </w:pPr>
      <w:r w:rsidRPr="000E2B5A">
        <w:rPr>
          <w:rFonts w:ascii="Bradley Hand ITC" w:hAnsi="Bradley Hand ITC"/>
          <w:b/>
        </w:rPr>
        <w:t>Devotional Exposition</w:t>
      </w:r>
    </w:p>
    <w:p w:rsidR="007D3CE9" w:rsidRPr="000E2B5A" w:rsidRDefault="005D4EF8" w:rsidP="00CE2BFA">
      <w:pPr>
        <w:pStyle w:val="ListParagraph"/>
        <w:numPr>
          <w:ilvl w:val="0"/>
          <w:numId w:val="15"/>
        </w:numPr>
        <w:ind w:left="1080"/>
        <w:rPr>
          <w:rFonts w:ascii="Bradley Hand ITC" w:hAnsi="Bradley Hand ITC"/>
          <w:b/>
        </w:rPr>
      </w:pPr>
      <w:r w:rsidRPr="000E2B5A">
        <w:rPr>
          <w:rFonts w:ascii="Bradley Hand ITC" w:hAnsi="Bradley Hand ITC"/>
          <w:b/>
        </w:rPr>
        <w:t>Seventy Weeks (1</w:t>
      </w:r>
      <w:r w:rsidR="007D3CE9" w:rsidRPr="000E2B5A">
        <w:rPr>
          <w:rFonts w:ascii="Bradley Hand ITC" w:hAnsi="Bradley Hand ITC"/>
          <w:b/>
        </w:rPr>
        <w:t>)</w:t>
      </w:r>
    </w:p>
    <w:p w:rsidR="003C58FA" w:rsidRPr="000E2B5A" w:rsidRDefault="005D4EF8" w:rsidP="00CE2BFA">
      <w:pPr>
        <w:pStyle w:val="ListParagraph"/>
        <w:numPr>
          <w:ilvl w:val="0"/>
          <w:numId w:val="15"/>
        </w:numPr>
        <w:ind w:left="1080"/>
        <w:rPr>
          <w:rFonts w:ascii="Bradley Hand ITC" w:hAnsi="Bradley Hand ITC"/>
          <w:b/>
        </w:rPr>
      </w:pPr>
      <w:r w:rsidRPr="000E2B5A">
        <w:rPr>
          <w:rFonts w:ascii="Bradley Hand ITC" w:hAnsi="Bradley Hand ITC"/>
          <w:b/>
        </w:rPr>
        <w:t>Arius (1</w:t>
      </w:r>
      <w:r w:rsidR="008127F1" w:rsidRPr="000E2B5A">
        <w:rPr>
          <w:rFonts w:ascii="Bradley Hand ITC" w:hAnsi="Bradley Hand ITC"/>
          <w:b/>
        </w:rPr>
        <w:t>)</w:t>
      </w:r>
    </w:p>
    <w:p w:rsidR="003C58FA" w:rsidRPr="000E2B5A" w:rsidRDefault="003C58FA" w:rsidP="00CE2BFA">
      <w:pPr>
        <w:pStyle w:val="ListParagraph"/>
        <w:numPr>
          <w:ilvl w:val="0"/>
          <w:numId w:val="15"/>
        </w:numPr>
        <w:ind w:left="1080"/>
        <w:rPr>
          <w:rFonts w:ascii="Bradley Hand ITC" w:hAnsi="Bradley Hand ITC"/>
          <w:b/>
        </w:rPr>
      </w:pPr>
      <w:r w:rsidRPr="000E2B5A">
        <w:rPr>
          <w:rFonts w:ascii="Bradley Hand ITC" w:hAnsi="Bradley Hand ITC"/>
          <w:b/>
        </w:rPr>
        <w:t xml:space="preserve">Marginal Notes: </w:t>
      </w:r>
      <w:r w:rsidR="00BF6F18" w:rsidRPr="000E2B5A">
        <w:rPr>
          <w:rFonts w:ascii="Bradley Hand ITC" w:hAnsi="Bradley Hand ITC"/>
          <w:b/>
        </w:rPr>
        <w:t>2</w:t>
      </w:r>
      <w:r w:rsidRPr="000E2B5A">
        <w:rPr>
          <w:rFonts w:ascii="Bradley Hand ITC" w:hAnsi="Bradley Hand ITC"/>
          <w:b/>
        </w:rPr>
        <w:t xml:space="preserve"> Pet 1:21</w:t>
      </w:r>
    </w:p>
    <w:p w:rsidR="00F81179" w:rsidRPr="000E2B5A" w:rsidRDefault="00A75A22" w:rsidP="00CE2BFA">
      <w:pPr>
        <w:pStyle w:val="ListParagraph"/>
        <w:numPr>
          <w:ilvl w:val="0"/>
          <w:numId w:val="15"/>
        </w:numPr>
        <w:ind w:left="1080"/>
        <w:rPr>
          <w:rFonts w:ascii="Bradley Hand ITC" w:hAnsi="Bradley Hand ITC"/>
          <w:b/>
        </w:rPr>
      </w:pPr>
      <w:r w:rsidRPr="000E2B5A">
        <w:rPr>
          <w:rFonts w:ascii="Bradley Hand ITC" w:hAnsi="Bradley Hand ITC"/>
          <w:b/>
        </w:rPr>
        <w:t xml:space="preserve">Discussion: </w:t>
      </w:r>
      <w:r w:rsidR="00216350" w:rsidRPr="000E2B5A">
        <w:rPr>
          <w:rFonts w:ascii="Bradley Hand ITC" w:hAnsi="Bradley Hand ITC"/>
          <w:b/>
        </w:rPr>
        <w:t xml:space="preserve">The </w:t>
      </w:r>
      <w:r w:rsidRPr="000E2B5A">
        <w:rPr>
          <w:rFonts w:ascii="Bradley Hand ITC" w:hAnsi="Bradley Hand ITC"/>
          <w:b/>
        </w:rPr>
        <w:t>Deliverance</w:t>
      </w:r>
      <w:r w:rsidR="00216350" w:rsidRPr="000E2B5A">
        <w:rPr>
          <w:rFonts w:ascii="Bradley Hand ITC" w:hAnsi="Bradley Hand ITC"/>
          <w:b/>
        </w:rPr>
        <w:t xml:space="preserve"> of Jerusalem</w:t>
      </w:r>
      <w:r w:rsidR="00E87803" w:rsidRPr="000E2B5A">
        <w:rPr>
          <w:rFonts w:ascii="Bradley Hand ITC" w:hAnsi="Bradley Hand ITC"/>
          <w:b/>
        </w:rPr>
        <w:t xml:space="preserve"> in 701</w:t>
      </w:r>
    </w:p>
    <w:p w:rsidR="00D3182B" w:rsidRPr="000E2B5A" w:rsidRDefault="00D3182B" w:rsidP="00CE2BFA">
      <w:pPr>
        <w:pStyle w:val="ListParagraph"/>
        <w:numPr>
          <w:ilvl w:val="0"/>
          <w:numId w:val="15"/>
        </w:numPr>
        <w:ind w:left="1080"/>
        <w:rPr>
          <w:rFonts w:ascii="Bradley Hand ITC" w:hAnsi="Bradley Hand ITC"/>
          <w:b/>
        </w:rPr>
      </w:pPr>
      <w:r w:rsidRPr="000E2B5A">
        <w:rPr>
          <w:rFonts w:ascii="Bradley Hand ITC" w:hAnsi="Bradley Hand ITC"/>
          <w:b/>
        </w:rPr>
        <w:t>News: eReaders</w:t>
      </w:r>
    </w:p>
    <w:p w:rsidR="0094774B" w:rsidRPr="000E2B5A" w:rsidRDefault="0094774B" w:rsidP="00CE2BFA">
      <w:pPr>
        <w:pStyle w:val="ListParagraph"/>
        <w:numPr>
          <w:ilvl w:val="0"/>
          <w:numId w:val="15"/>
        </w:numPr>
        <w:ind w:left="1080"/>
        <w:rPr>
          <w:rFonts w:ascii="Bradley Hand ITC" w:hAnsi="Bradley Hand ITC"/>
          <w:b/>
        </w:rPr>
      </w:pPr>
      <w:r w:rsidRPr="000E2B5A">
        <w:rPr>
          <w:rFonts w:ascii="Bradley Hand ITC" w:hAnsi="Bradley Hand ITC"/>
          <w:b/>
        </w:rPr>
        <w:t>Reports: SOTS Winter 2010</w:t>
      </w:r>
    </w:p>
    <w:p w:rsidR="00F81179" w:rsidRPr="000E2B5A" w:rsidRDefault="00D730D8" w:rsidP="00CE2BFA">
      <w:pPr>
        <w:pStyle w:val="ListParagraph"/>
        <w:numPr>
          <w:ilvl w:val="0"/>
          <w:numId w:val="15"/>
        </w:numPr>
        <w:ind w:left="1080"/>
        <w:rPr>
          <w:rFonts w:ascii="Bradley Hand ITC" w:hAnsi="Bradley Hand ITC"/>
          <w:b/>
        </w:rPr>
      </w:pPr>
      <w:r w:rsidRPr="000E2B5A">
        <w:rPr>
          <w:rFonts w:ascii="Bradley Hand ITC" w:hAnsi="Bradley Hand ITC"/>
          <w:b/>
        </w:rPr>
        <w:t>Postscript</w:t>
      </w:r>
    </w:p>
    <w:p w:rsidR="002D19EB" w:rsidRPr="000E2B5A" w:rsidRDefault="002D19EB" w:rsidP="00631665">
      <w:pPr>
        <w:ind w:left="1080"/>
        <w:rPr>
          <w:rFonts w:ascii="Bradley Hand ITC" w:hAnsi="Bradley Hand ITC"/>
          <w:b/>
          <w:lang w:val="en-GB"/>
        </w:rPr>
      </w:pPr>
    </w:p>
    <w:p w:rsidR="000B5A00" w:rsidRPr="000E2B5A" w:rsidRDefault="000B5A00" w:rsidP="00631665">
      <w:pPr>
        <w:ind w:left="1080"/>
        <w:rPr>
          <w:rFonts w:ascii="Bradley Hand ITC" w:hAnsi="Bradley Hand ITC"/>
          <w:b/>
          <w:lang w:val="en-GB"/>
        </w:rPr>
      </w:pPr>
    </w:p>
    <w:p w:rsidR="003A63D9" w:rsidRPr="000E2B5A" w:rsidRDefault="003A63D9" w:rsidP="002D19EB">
      <w:pPr>
        <w:rPr>
          <w:rFonts w:ascii="Bradley Hand ITC" w:hAnsi="Bradley Hand ITC"/>
          <w:sz w:val="28"/>
          <w:szCs w:val="28"/>
          <w:lang w:val="en-GB"/>
        </w:rPr>
      </w:pPr>
    </w:p>
    <w:p w:rsidR="003A63D9" w:rsidRPr="000E2B5A" w:rsidRDefault="005A4F9B" w:rsidP="002D19EB">
      <w:pPr>
        <w:rPr>
          <w:rFonts w:ascii="Bradley Hand ITC" w:hAnsi="Bradley Hand ITC"/>
          <w:sz w:val="28"/>
          <w:szCs w:val="28"/>
          <w:lang w:val="en-GB"/>
        </w:rPr>
      </w:pPr>
      <w:r>
        <w:rPr>
          <w:noProof/>
          <w:lang w:val="en-GB" w:eastAsia="en-GB"/>
        </w:rPr>
        <w:pict>
          <v:shapetype id="_x0000_t202" coordsize="21600,21600" o:spt="202" path="m,l,21600r21600,l21600,xe">
            <v:stroke joinstyle="miter"/>
            <v:path gradientshapeok="t" o:connecttype="rect"/>
          </v:shapetype>
          <v:shape id="_x0000_s1088" type="#_x0000_t202" style="position:absolute;left:0;text-align:left;margin-left:-10.3pt;margin-top:14.95pt;width:390.5pt;height:108.4pt;z-index:251657728" filled="f" stroked="f">
            <v:textbox style="mso-next-textbox:#_x0000_s1088">
              <w:txbxContent>
                <w:p w:rsidR="00E35D87" w:rsidRPr="00397D99" w:rsidRDefault="00E35D87" w:rsidP="002D19EB">
                  <w:pPr>
                    <w:rPr>
                      <w:rFonts w:ascii="Bradley Hand ITC" w:hAnsi="Bradley Hand ITC"/>
                      <w:b/>
                      <w:szCs w:val="28"/>
                      <w:lang w:val="en-GB"/>
                    </w:rPr>
                  </w:pPr>
                  <w:r>
                    <w:rPr>
                      <w:rFonts w:ascii="Bradley Hand ITC" w:hAnsi="Bradley Hand ITC"/>
                      <w:b/>
                      <w:szCs w:val="28"/>
                      <w:lang w:val="en-GB"/>
                    </w:rPr>
                    <w:t>Eds:</w:t>
                  </w:r>
                  <w:r>
                    <w:rPr>
                      <w:rFonts w:ascii="Bradley Hand ITC" w:hAnsi="Bradley Hand ITC"/>
                      <w:b/>
                      <w:szCs w:val="28"/>
                      <w:lang w:val="en-GB"/>
                    </w:rPr>
                    <w:tab/>
                  </w:r>
                  <w:r w:rsidRPr="00397D99">
                    <w:rPr>
                      <w:rFonts w:ascii="Bradley Hand ITC" w:hAnsi="Bradley Hand ITC"/>
                      <w:b/>
                      <w:szCs w:val="28"/>
                      <w:lang w:val="en-GB"/>
                    </w:rPr>
                    <w:t>Andrew.Perry@christadelphian-ejbi.org</w:t>
                  </w:r>
                </w:p>
                <w:p w:rsidR="00E35D87" w:rsidRPr="00397D99" w:rsidRDefault="00E35D87" w:rsidP="00D730D8">
                  <w:pPr>
                    <w:ind w:left="720"/>
                    <w:rPr>
                      <w:rFonts w:ascii="Bradley Hand ITC" w:hAnsi="Bradley Hand ITC"/>
                      <w:b/>
                      <w:szCs w:val="28"/>
                      <w:lang w:val="en-GB"/>
                    </w:rPr>
                  </w:pPr>
                  <w:r w:rsidRPr="00397D99">
                    <w:rPr>
                      <w:rFonts w:ascii="Bradley Hand ITC" w:hAnsi="Bradley Hand ITC"/>
                      <w:b/>
                      <w:szCs w:val="28"/>
                      <w:lang w:val="en-GB"/>
                    </w:rPr>
                    <w:t>Paul.wyns@christadelphian-ejbi.org</w:t>
                  </w:r>
                </w:p>
                <w:p w:rsidR="00E35D87" w:rsidRPr="00397D99" w:rsidRDefault="00E35D87" w:rsidP="002D19EB">
                  <w:pPr>
                    <w:rPr>
                      <w:rFonts w:ascii="Bradley Hand ITC" w:hAnsi="Bradley Hand ITC"/>
                      <w:b/>
                      <w:lang w:val="en-GB"/>
                    </w:rPr>
                  </w:pPr>
                  <w:r w:rsidRPr="00397D99">
                    <w:rPr>
                      <w:sz w:val="22"/>
                      <w:lang w:val="en-GB"/>
                    </w:rPr>
                    <w:tab/>
                  </w:r>
                  <w:r w:rsidRPr="00397D99">
                    <w:rPr>
                      <w:rFonts w:ascii="Bradley Hand ITC" w:hAnsi="Bradley Hand ITC"/>
                      <w:b/>
                      <w:lang w:val="en-GB"/>
                    </w:rPr>
                    <w:t>T.Gaston@christadelphian-ejbi.org (Church history)</w:t>
                  </w:r>
                </w:p>
                <w:p w:rsidR="00E35D87" w:rsidRDefault="00E35D87" w:rsidP="00D730D8">
                  <w:pPr>
                    <w:rPr>
                      <w:rFonts w:ascii="Bradley Hand ITC" w:hAnsi="Bradley Hand ITC"/>
                      <w:b/>
                      <w:lang w:val="en-GB"/>
                    </w:rPr>
                  </w:pPr>
                  <w:r>
                    <w:rPr>
                      <w:rFonts w:ascii="Bradley Hand ITC" w:hAnsi="Bradley Hand ITC"/>
                      <w:b/>
                      <w:lang w:val="en-GB"/>
                    </w:rPr>
                    <w:tab/>
                    <w:t>J</w:t>
                  </w:r>
                  <w:r w:rsidRPr="001F60BC">
                    <w:rPr>
                      <w:rFonts w:ascii="Bradley Hand ITC" w:hAnsi="Bradley Hand ITC"/>
                      <w:b/>
                      <w:lang w:val="en-GB"/>
                    </w:rPr>
                    <w:t>.Adey@christadelphian-ejbi.org</w:t>
                  </w:r>
                  <w:r>
                    <w:rPr>
                      <w:rFonts w:ascii="Bradley Hand ITC" w:hAnsi="Bradley Hand ITC"/>
                      <w:b/>
                      <w:lang w:val="en-GB"/>
                    </w:rPr>
                    <w:t xml:space="preserve"> (Text and Language)</w:t>
                  </w:r>
                </w:p>
                <w:p w:rsidR="00E35D87" w:rsidRPr="00397D99" w:rsidRDefault="00E35D87" w:rsidP="00D730D8">
                  <w:pPr>
                    <w:ind w:left="720"/>
                    <w:rPr>
                      <w:rFonts w:ascii="Bradley Hand ITC" w:hAnsi="Bradley Hand ITC"/>
                      <w:b/>
                      <w:sz w:val="22"/>
                      <w:lang w:val="en-GB"/>
                    </w:rPr>
                  </w:pPr>
                  <w:r w:rsidRPr="00D730D8">
                    <w:rPr>
                      <w:rFonts w:ascii="Bradley Hand ITC" w:hAnsi="Bradley Hand ITC"/>
                      <w:b/>
                      <w:lang w:val="en-GB"/>
                    </w:rPr>
                    <w:t>D.Burke@christadelphian-ejbi.org</w:t>
                  </w:r>
                  <w:r>
                    <w:rPr>
                      <w:rFonts w:ascii="Bradley Hand ITC" w:hAnsi="Bradley Hand ITC"/>
                      <w:b/>
                      <w:lang w:val="en-GB"/>
                    </w:rPr>
                    <w:t xml:space="preserve"> (Theology and Apologetics)</w:t>
                  </w:r>
                </w:p>
                <w:p w:rsidR="00E35D87" w:rsidRDefault="00E35D87" w:rsidP="00AA4796">
                  <w:pPr>
                    <w:rPr>
                      <w:sz w:val="22"/>
                      <w:lang w:val="en-GB"/>
                    </w:rPr>
                  </w:pPr>
                </w:p>
                <w:p w:rsidR="00E35D87" w:rsidRPr="00AA4796" w:rsidRDefault="00E35D87" w:rsidP="00AA4796">
                  <w:pPr>
                    <w:rPr>
                      <w:sz w:val="22"/>
                      <w:lang w:val="en-GB"/>
                    </w:rPr>
                  </w:pPr>
                  <w:r>
                    <w:rPr>
                      <w:sz w:val="22"/>
                      <w:lang w:val="en-GB"/>
                    </w:rPr>
                    <w:t>Cover photo by Nuttakit.</w:t>
                  </w:r>
                </w:p>
                <w:p w:rsidR="00E35D87" w:rsidRPr="005F4BA0" w:rsidRDefault="00E35D87" w:rsidP="002D19EB">
                  <w:pPr>
                    <w:rPr>
                      <w:rFonts w:ascii="Bradley Hand ITC" w:hAnsi="Bradley Hand ITC"/>
                      <w:b/>
                      <w:lang w:val="en-GB"/>
                    </w:rPr>
                  </w:pPr>
                </w:p>
              </w:txbxContent>
            </v:textbox>
          </v:shape>
        </w:pict>
      </w:r>
    </w:p>
    <w:p w:rsidR="003A63D9" w:rsidRPr="000E2B5A" w:rsidRDefault="003A63D9" w:rsidP="002D19EB">
      <w:pPr>
        <w:rPr>
          <w:rFonts w:ascii="Bradley Hand ITC" w:hAnsi="Bradley Hand ITC"/>
          <w:sz w:val="28"/>
          <w:szCs w:val="28"/>
          <w:lang w:val="en-GB"/>
        </w:rPr>
      </w:pPr>
    </w:p>
    <w:p w:rsidR="00D730D8" w:rsidRPr="000E2B5A" w:rsidRDefault="00D730D8" w:rsidP="002D19EB">
      <w:pPr>
        <w:rPr>
          <w:rFonts w:ascii="Bradley Hand ITC" w:hAnsi="Bradley Hand ITC"/>
          <w:sz w:val="28"/>
          <w:szCs w:val="28"/>
          <w:lang w:val="en-GB"/>
        </w:rPr>
      </w:pPr>
    </w:p>
    <w:p w:rsidR="002D19EB" w:rsidRPr="000E2B5A" w:rsidRDefault="002D19EB" w:rsidP="002D19EB">
      <w:pPr>
        <w:rPr>
          <w:rFonts w:ascii="Bradley Hand ITC" w:hAnsi="Bradley Hand ITC"/>
          <w:b/>
          <w:sz w:val="28"/>
          <w:szCs w:val="28"/>
          <w:lang w:val="en-GB"/>
        </w:rPr>
      </w:pPr>
    </w:p>
    <w:p w:rsidR="002D19EB" w:rsidRPr="000E2B5A" w:rsidRDefault="002D19EB" w:rsidP="002D19EB">
      <w:pPr>
        <w:rPr>
          <w:rFonts w:ascii="Bradley Hand ITC" w:hAnsi="Bradley Hand ITC"/>
          <w:b/>
          <w:sz w:val="28"/>
          <w:szCs w:val="28"/>
          <w:lang w:val="en-GB"/>
        </w:rPr>
      </w:pPr>
    </w:p>
    <w:p w:rsidR="002D19EB" w:rsidRPr="000E2B5A" w:rsidRDefault="003A63D9" w:rsidP="002D19EB">
      <w:pPr>
        <w:jc w:val="center"/>
        <w:rPr>
          <w:rFonts w:ascii="Bradley Hand ITC" w:hAnsi="Bradley Hand ITC"/>
          <w:b/>
          <w:sz w:val="48"/>
          <w:szCs w:val="56"/>
          <w:lang w:val="en-GB"/>
        </w:rPr>
      </w:pPr>
      <w:r w:rsidRPr="000E2B5A">
        <w:rPr>
          <w:rFonts w:ascii="Bradley Hand ITC" w:hAnsi="Bradley Hand ITC"/>
          <w:b/>
          <w:sz w:val="48"/>
          <w:szCs w:val="56"/>
          <w:lang w:val="en-GB"/>
        </w:rPr>
        <w:br w:type="page"/>
      </w:r>
      <w:r w:rsidR="002D19EB" w:rsidRPr="000E2B5A">
        <w:rPr>
          <w:rFonts w:ascii="Bradley Hand ITC" w:hAnsi="Bradley Hand ITC"/>
          <w:b/>
          <w:sz w:val="48"/>
          <w:szCs w:val="56"/>
          <w:lang w:val="en-GB"/>
        </w:rPr>
        <w:lastRenderedPageBreak/>
        <w:t>Editorial</w:t>
      </w:r>
    </w:p>
    <w:p w:rsidR="00AA4796" w:rsidRPr="000E2B5A" w:rsidRDefault="00AA4796" w:rsidP="002D19EB">
      <w:pPr>
        <w:rPr>
          <w:sz w:val="22"/>
          <w:lang w:val="en-GB"/>
        </w:rPr>
      </w:pPr>
    </w:p>
    <w:p w:rsidR="0039342F" w:rsidRPr="000E2B5A" w:rsidRDefault="00D730D8" w:rsidP="002D19EB">
      <w:pPr>
        <w:rPr>
          <w:sz w:val="22"/>
          <w:lang w:val="en-GB"/>
        </w:rPr>
      </w:pPr>
      <w:r w:rsidRPr="000E2B5A">
        <w:rPr>
          <w:sz w:val="22"/>
          <w:lang w:val="en-GB"/>
        </w:rPr>
        <w:t xml:space="preserve">This issue sees a new editor, Bro. D. Burke, who takes on the oversight of </w:t>
      </w:r>
      <w:r w:rsidR="005D74CB" w:rsidRPr="000E2B5A">
        <w:rPr>
          <w:sz w:val="22"/>
          <w:lang w:val="en-GB"/>
        </w:rPr>
        <w:t>“</w:t>
      </w:r>
      <w:r w:rsidRPr="000E2B5A">
        <w:rPr>
          <w:sz w:val="22"/>
          <w:lang w:val="en-GB"/>
        </w:rPr>
        <w:t>Theology and Apologetics</w:t>
      </w:r>
      <w:r w:rsidR="005D74CB" w:rsidRPr="000E2B5A">
        <w:rPr>
          <w:sz w:val="22"/>
          <w:lang w:val="en-GB"/>
        </w:rPr>
        <w:t>”</w:t>
      </w:r>
      <w:r w:rsidRPr="000E2B5A">
        <w:rPr>
          <w:sz w:val="22"/>
          <w:lang w:val="en-GB"/>
        </w:rPr>
        <w:t xml:space="preserve">. </w:t>
      </w:r>
      <w:r w:rsidR="0039342F" w:rsidRPr="000E2B5A">
        <w:rPr>
          <w:sz w:val="22"/>
          <w:lang w:val="en-GB"/>
        </w:rPr>
        <w:t xml:space="preserve">The </w:t>
      </w:r>
      <w:r w:rsidR="005D74CB" w:rsidRPr="000E2B5A">
        <w:rPr>
          <w:sz w:val="22"/>
          <w:lang w:val="en-GB"/>
        </w:rPr>
        <w:t>“</w:t>
      </w:r>
      <w:r w:rsidR="0039342F" w:rsidRPr="000E2B5A">
        <w:rPr>
          <w:sz w:val="22"/>
          <w:lang w:val="en-GB"/>
        </w:rPr>
        <w:t>Section Editor</w:t>
      </w:r>
      <w:r w:rsidR="005D74CB" w:rsidRPr="000E2B5A">
        <w:rPr>
          <w:sz w:val="22"/>
          <w:lang w:val="en-GB"/>
        </w:rPr>
        <w:t>”</w:t>
      </w:r>
      <w:r w:rsidR="0039342F" w:rsidRPr="000E2B5A">
        <w:rPr>
          <w:sz w:val="22"/>
          <w:lang w:val="en-GB"/>
        </w:rPr>
        <w:t xml:space="preserve"> approach to journals has many advantages and has been well implemented in the UK Testimony magazine</w:t>
      </w:r>
      <w:r w:rsidR="00C6247A" w:rsidRPr="000E2B5A">
        <w:rPr>
          <w:sz w:val="22"/>
          <w:lang w:val="en-GB"/>
        </w:rPr>
        <w:t xml:space="preserve"> which we have copied</w:t>
      </w:r>
      <w:r w:rsidR="0039342F" w:rsidRPr="000E2B5A">
        <w:rPr>
          <w:sz w:val="22"/>
          <w:lang w:val="en-GB"/>
        </w:rPr>
        <w:t xml:space="preserve">. The rule of thumb is that authors send articles to the relevant section editor who liaises with the author before sending the article to the </w:t>
      </w:r>
      <w:r w:rsidR="00B770E6" w:rsidRPr="000E2B5A">
        <w:rPr>
          <w:sz w:val="22"/>
          <w:lang w:val="en-GB"/>
        </w:rPr>
        <w:t xml:space="preserve">publishing </w:t>
      </w:r>
      <w:r w:rsidR="0039342F" w:rsidRPr="000E2B5A">
        <w:rPr>
          <w:sz w:val="22"/>
          <w:lang w:val="en-GB"/>
        </w:rPr>
        <w:t xml:space="preserve">editor who collates the journal. In addition, the section editor writes for his or her section and keeps on eye on what is topical in that field. </w:t>
      </w:r>
      <w:r w:rsidR="00B770E6" w:rsidRPr="000E2B5A">
        <w:rPr>
          <w:sz w:val="22"/>
          <w:lang w:val="en-GB"/>
        </w:rPr>
        <w:t xml:space="preserve">Engaging with church theology and defending the Biblical unitarian and Abrahamic faith is an important brief. Readers familiar with the online world of Christadelphians will know that Bro. Burke has a lot of experience in this field, which he is now </w:t>
      </w:r>
      <w:r w:rsidR="00C6247A" w:rsidRPr="000E2B5A">
        <w:rPr>
          <w:sz w:val="22"/>
          <w:lang w:val="en-GB"/>
        </w:rPr>
        <w:t xml:space="preserve">able to progress </w:t>
      </w:r>
      <w:r w:rsidR="00B770E6" w:rsidRPr="000E2B5A">
        <w:rPr>
          <w:sz w:val="22"/>
          <w:lang w:val="en-GB"/>
        </w:rPr>
        <w:t xml:space="preserve">by taking a </w:t>
      </w:r>
      <w:r w:rsidR="00C6247A" w:rsidRPr="000E2B5A">
        <w:rPr>
          <w:sz w:val="22"/>
          <w:lang w:val="en-GB"/>
        </w:rPr>
        <w:t xml:space="preserve">full-time </w:t>
      </w:r>
      <w:r w:rsidR="00B770E6" w:rsidRPr="000E2B5A">
        <w:rPr>
          <w:sz w:val="22"/>
          <w:lang w:val="en-GB"/>
        </w:rPr>
        <w:t>theology degree.</w:t>
      </w:r>
    </w:p>
    <w:p w:rsidR="00B770E6" w:rsidRPr="000E2B5A" w:rsidRDefault="00B770E6" w:rsidP="002D19EB">
      <w:pPr>
        <w:rPr>
          <w:sz w:val="22"/>
          <w:lang w:val="en-GB"/>
        </w:rPr>
      </w:pPr>
    </w:p>
    <w:p w:rsidR="00B770E6" w:rsidRPr="000E2B5A" w:rsidRDefault="00B770E6" w:rsidP="002D19EB">
      <w:pPr>
        <w:rPr>
          <w:sz w:val="22"/>
          <w:lang w:val="en-GB"/>
        </w:rPr>
      </w:pPr>
      <w:r w:rsidRPr="000E2B5A">
        <w:rPr>
          <w:sz w:val="22"/>
          <w:lang w:val="en-GB"/>
        </w:rPr>
        <w:t>The EJournal started with two editors and now has five</w:t>
      </w:r>
      <w:r w:rsidR="00C6247A" w:rsidRPr="000E2B5A">
        <w:rPr>
          <w:sz w:val="22"/>
          <w:lang w:val="en-GB"/>
        </w:rPr>
        <w:t>; it takes time to build up an editorial pool. The larger number of editors</w:t>
      </w:r>
      <w:r w:rsidRPr="000E2B5A">
        <w:rPr>
          <w:sz w:val="22"/>
          <w:lang w:val="en-GB"/>
        </w:rPr>
        <w:t xml:space="preserve"> affords a greater measure of peer review for the articles that are included and more variety in the writing. </w:t>
      </w:r>
      <w:r w:rsidR="00F41CD2" w:rsidRPr="000E2B5A">
        <w:rPr>
          <w:sz w:val="22"/>
          <w:lang w:val="en-GB"/>
        </w:rPr>
        <w:t xml:space="preserve">The aim is to add to the number of section editors </w:t>
      </w:r>
      <w:r w:rsidR="00C6247A" w:rsidRPr="000E2B5A">
        <w:rPr>
          <w:sz w:val="22"/>
          <w:lang w:val="en-GB"/>
        </w:rPr>
        <w:t xml:space="preserve">in the future </w:t>
      </w:r>
      <w:r w:rsidR="00F41CD2" w:rsidRPr="000E2B5A">
        <w:rPr>
          <w:sz w:val="22"/>
          <w:lang w:val="en-GB"/>
        </w:rPr>
        <w:t xml:space="preserve">and there are obvious areas for new editors, including </w:t>
      </w:r>
      <w:r w:rsidR="005D74CB" w:rsidRPr="000E2B5A">
        <w:rPr>
          <w:sz w:val="22"/>
          <w:lang w:val="en-GB"/>
        </w:rPr>
        <w:t>“</w:t>
      </w:r>
      <w:r w:rsidR="00F41CD2" w:rsidRPr="000E2B5A">
        <w:rPr>
          <w:sz w:val="22"/>
          <w:lang w:val="en-GB"/>
        </w:rPr>
        <w:t>Archaeology</w:t>
      </w:r>
      <w:r w:rsidR="005D74CB" w:rsidRPr="000E2B5A">
        <w:rPr>
          <w:sz w:val="22"/>
          <w:lang w:val="en-GB"/>
        </w:rPr>
        <w:t>”</w:t>
      </w:r>
      <w:r w:rsidR="00F41CD2" w:rsidRPr="000E2B5A">
        <w:rPr>
          <w:sz w:val="22"/>
          <w:lang w:val="en-GB"/>
        </w:rPr>
        <w:t xml:space="preserve">, </w:t>
      </w:r>
      <w:r w:rsidR="005D74CB" w:rsidRPr="000E2B5A">
        <w:rPr>
          <w:sz w:val="22"/>
          <w:lang w:val="en-GB"/>
        </w:rPr>
        <w:t>“</w:t>
      </w:r>
      <w:r w:rsidR="00F41CD2" w:rsidRPr="000E2B5A">
        <w:rPr>
          <w:sz w:val="22"/>
          <w:lang w:val="en-GB"/>
        </w:rPr>
        <w:t>Old Testament Studies</w:t>
      </w:r>
      <w:r w:rsidR="005D74CB" w:rsidRPr="000E2B5A">
        <w:rPr>
          <w:sz w:val="22"/>
          <w:lang w:val="en-GB"/>
        </w:rPr>
        <w:t>”</w:t>
      </w:r>
      <w:r w:rsidR="00F41CD2" w:rsidRPr="000E2B5A">
        <w:rPr>
          <w:sz w:val="22"/>
          <w:lang w:val="en-GB"/>
        </w:rPr>
        <w:t xml:space="preserve"> and </w:t>
      </w:r>
      <w:r w:rsidR="005D74CB" w:rsidRPr="000E2B5A">
        <w:rPr>
          <w:sz w:val="22"/>
          <w:lang w:val="en-GB"/>
        </w:rPr>
        <w:t>“</w:t>
      </w:r>
      <w:r w:rsidR="00F41CD2" w:rsidRPr="000E2B5A">
        <w:rPr>
          <w:sz w:val="22"/>
          <w:lang w:val="en-GB"/>
        </w:rPr>
        <w:t>New Testament Studies</w:t>
      </w:r>
      <w:r w:rsidR="005D74CB" w:rsidRPr="000E2B5A">
        <w:rPr>
          <w:sz w:val="22"/>
          <w:lang w:val="en-GB"/>
        </w:rPr>
        <w:t>”</w:t>
      </w:r>
      <w:r w:rsidR="00F41CD2" w:rsidRPr="000E2B5A">
        <w:rPr>
          <w:sz w:val="22"/>
          <w:lang w:val="en-GB"/>
        </w:rPr>
        <w:t>. Biblical Studies and Theology are highly specialized so that, for example, scholars become known as specialists in</w:t>
      </w:r>
      <w:r w:rsidR="00C6247A" w:rsidRPr="000E2B5A">
        <w:rPr>
          <w:sz w:val="22"/>
          <w:lang w:val="en-GB"/>
        </w:rPr>
        <w:t>, say,</w:t>
      </w:r>
      <w:r w:rsidR="00F41CD2" w:rsidRPr="000E2B5A">
        <w:rPr>
          <w:sz w:val="22"/>
          <w:lang w:val="en-GB"/>
        </w:rPr>
        <w:t xml:space="preserve"> </w:t>
      </w:r>
      <w:r w:rsidR="005D74CB" w:rsidRPr="000E2B5A">
        <w:rPr>
          <w:sz w:val="22"/>
          <w:lang w:val="en-GB"/>
        </w:rPr>
        <w:t>“</w:t>
      </w:r>
      <w:r w:rsidR="00F41CD2" w:rsidRPr="000E2B5A">
        <w:rPr>
          <w:sz w:val="22"/>
          <w:lang w:val="en-GB"/>
        </w:rPr>
        <w:t>Paul</w:t>
      </w:r>
      <w:r w:rsidR="005D74CB" w:rsidRPr="000E2B5A">
        <w:rPr>
          <w:sz w:val="22"/>
          <w:lang w:val="en-GB"/>
        </w:rPr>
        <w:t>”</w:t>
      </w:r>
      <w:r w:rsidR="00F41CD2" w:rsidRPr="000E2B5A">
        <w:rPr>
          <w:sz w:val="22"/>
          <w:lang w:val="en-GB"/>
        </w:rPr>
        <w:t xml:space="preserve"> or </w:t>
      </w:r>
      <w:r w:rsidR="005D74CB" w:rsidRPr="000E2B5A">
        <w:rPr>
          <w:sz w:val="22"/>
          <w:lang w:val="en-GB"/>
        </w:rPr>
        <w:t>“</w:t>
      </w:r>
      <w:r w:rsidR="00F41CD2" w:rsidRPr="000E2B5A">
        <w:rPr>
          <w:sz w:val="22"/>
          <w:lang w:val="en-GB"/>
        </w:rPr>
        <w:t>Apocalyptic</w:t>
      </w:r>
      <w:r w:rsidR="005D74CB" w:rsidRPr="000E2B5A">
        <w:rPr>
          <w:sz w:val="22"/>
          <w:lang w:val="en-GB"/>
        </w:rPr>
        <w:t>”</w:t>
      </w:r>
      <w:r w:rsidR="00C6247A" w:rsidRPr="000E2B5A">
        <w:rPr>
          <w:sz w:val="22"/>
          <w:lang w:val="en-GB"/>
        </w:rPr>
        <w:t>;</w:t>
      </w:r>
      <w:r w:rsidR="00F41CD2" w:rsidRPr="000E2B5A">
        <w:rPr>
          <w:sz w:val="22"/>
          <w:lang w:val="en-GB"/>
        </w:rPr>
        <w:t xml:space="preserve"> Second Temple Judaism </w:t>
      </w:r>
      <w:r w:rsidR="00056218" w:rsidRPr="000E2B5A">
        <w:rPr>
          <w:sz w:val="22"/>
          <w:lang w:val="en-GB"/>
        </w:rPr>
        <w:t>is also an important specialism</w:t>
      </w:r>
      <w:r w:rsidR="00F41CD2" w:rsidRPr="000E2B5A">
        <w:rPr>
          <w:sz w:val="22"/>
          <w:lang w:val="en-GB"/>
        </w:rPr>
        <w:t>. It is hoped that the EJournal will expand its number of sections in some of these areas.</w:t>
      </w:r>
    </w:p>
    <w:p w:rsidR="00F41CD2" w:rsidRPr="000E2B5A" w:rsidRDefault="00F41CD2" w:rsidP="002D19EB">
      <w:pPr>
        <w:rPr>
          <w:sz w:val="22"/>
          <w:lang w:val="en-GB"/>
        </w:rPr>
      </w:pPr>
    </w:p>
    <w:p w:rsidR="00F41CD2" w:rsidRPr="000E2B5A" w:rsidRDefault="004170FD" w:rsidP="002D19EB">
      <w:pPr>
        <w:rPr>
          <w:sz w:val="22"/>
          <w:lang w:val="en-GB"/>
        </w:rPr>
      </w:pPr>
      <w:r w:rsidRPr="000E2B5A">
        <w:rPr>
          <w:sz w:val="22"/>
          <w:lang w:val="en-GB"/>
        </w:rPr>
        <w:t>While nothing is set in stone, the EJournal doesn</w:t>
      </w:r>
      <w:r w:rsidR="005D74CB" w:rsidRPr="000E2B5A">
        <w:rPr>
          <w:sz w:val="22"/>
          <w:lang w:val="en-GB"/>
        </w:rPr>
        <w:t>’</w:t>
      </w:r>
      <w:r w:rsidRPr="000E2B5A">
        <w:rPr>
          <w:sz w:val="22"/>
          <w:lang w:val="en-GB"/>
        </w:rPr>
        <w:t xml:space="preserve">t </w:t>
      </w:r>
      <w:r w:rsidR="00C6247A" w:rsidRPr="000E2B5A">
        <w:rPr>
          <w:sz w:val="22"/>
          <w:lang w:val="en-GB"/>
        </w:rPr>
        <w:t xml:space="preserve">presently </w:t>
      </w:r>
      <w:r w:rsidRPr="000E2B5A">
        <w:rPr>
          <w:sz w:val="22"/>
          <w:lang w:val="en-GB"/>
        </w:rPr>
        <w:t xml:space="preserve">cover exhortation, devotional writing, sentimental pieces, or prophecy and current affairs. Obviously this material is </w:t>
      </w:r>
      <w:r w:rsidR="00DF6B1D" w:rsidRPr="000E2B5A">
        <w:rPr>
          <w:sz w:val="22"/>
          <w:lang w:val="en-GB"/>
        </w:rPr>
        <w:t xml:space="preserve">well </w:t>
      </w:r>
      <w:r w:rsidRPr="000E2B5A">
        <w:rPr>
          <w:sz w:val="22"/>
          <w:lang w:val="en-GB"/>
        </w:rPr>
        <w:t>covered in other magazines and it could be argued that exhortation and devotional writing is the most important type of Christian writing. Nevertheless, for want of an emphasis, the EJournal has a focus on exposition, analysis and factual writing</w:t>
      </w:r>
      <w:r w:rsidR="00D07727" w:rsidRPr="000E2B5A">
        <w:rPr>
          <w:sz w:val="22"/>
          <w:lang w:val="en-GB"/>
        </w:rPr>
        <w:t xml:space="preserve"> but this is under review</w:t>
      </w:r>
      <w:r w:rsidRPr="000E2B5A">
        <w:rPr>
          <w:sz w:val="22"/>
          <w:lang w:val="en-GB"/>
        </w:rPr>
        <w:t xml:space="preserve">. </w:t>
      </w:r>
    </w:p>
    <w:p w:rsidR="004170FD" w:rsidRPr="000E2B5A" w:rsidRDefault="004170FD" w:rsidP="002D19EB">
      <w:pPr>
        <w:rPr>
          <w:sz w:val="22"/>
          <w:lang w:val="en-GB"/>
        </w:rPr>
      </w:pPr>
    </w:p>
    <w:p w:rsidR="004170FD" w:rsidRPr="000E2B5A" w:rsidRDefault="004170FD" w:rsidP="002D19EB">
      <w:pPr>
        <w:rPr>
          <w:sz w:val="22"/>
          <w:lang w:val="en-GB"/>
        </w:rPr>
      </w:pPr>
      <w:r w:rsidRPr="000E2B5A">
        <w:rPr>
          <w:sz w:val="22"/>
          <w:lang w:val="en-GB"/>
        </w:rPr>
        <w:t xml:space="preserve">Were it not for the Internet, the EJournal would not exist. It takes money to launch a print magazine, and there is no </w:t>
      </w:r>
      <w:r w:rsidR="00C6247A" w:rsidRPr="000E2B5A">
        <w:rPr>
          <w:sz w:val="22"/>
          <w:lang w:val="en-GB"/>
        </w:rPr>
        <w:t>justification</w:t>
      </w:r>
      <w:r w:rsidRPr="000E2B5A">
        <w:rPr>
          <w:sz w:val="22"/>
          <w:lang w:val="en-GB"/>
        </w:rPr>
        <w:t xml:space="preserve"> for </w:t>
      </w:r>
      <w:r w:rsidR="00C6247A" w:rsidRPr="000E2B5A">
        <w:rPr>
          <w:sz w:val="22"/>
          <w:lang w:val="en-GB"/>
        </w:rPr>
        <w:t xml:space="preserve">more than one or two </w:t>
      </w:r>
      <w:r w:rsidRPr="000E2B5A">
        <w:rPr>
          <w:sz w:val="22"/>
          <w:lang w:val="en-GB"/>
        </w:rPr>
        <w:t>print magazine</w:t>
      </w:r>
      <w:r w:rsidR="00C6247A" w:rsidRPr="000E2B5A">
        <w:rPr>
          <w:sz w:val="22"/>
          <w:lang w:val="en-GB"/>
        </w:rPr>
        <w:t>s serving the community in a given country</w:t>
      </w:r>
      <w:r w:rsidR="00D5200B" w:rsidRPr="000E2B5A">
        <w:rPr>
          <w:sz w:val="22"/>
          <w:lang w:val="en-GB"/>
        </w:rPr>
        <w:t xml:space="preserve">. Areas of the world have their own well-established ecclesial magazines. Fortunately, with print-on-demand websites such as </w:t>
      </w:r>
      <w:r w:rsidR="00D5200B" w:rsidRPr="000E2B5A">
        <w:rPr>
          <w:sz w:val="22"/>
          <w:u w:val="single"/>
          <w:lang w:val="en-GB"/>
        </w:rPr>
        <w:t>www.lulu.com</w:t>
      </w:r>
      <w:r w:rsidR="00D5200B" w:rsidRPr="000E2B5A">
        <w:rPr>
          <w:sz w:val="22"/>
          <w:lang w:val="en-GB"/>
        </w:rPr>
        <w:t xml:space="preserve"> an annual of the four quarterly issues fulfils the need for printed copies</w:t>
      </w:r>
      <w:r w:rsidR="00C6247A" w:rsidRPr="000E2B5A">
        <w:rPr>
          <w:sz w:val="22"/>
          <w:lang w:val="en-GB"/>
        </w:rPr>
        <w:t xml:space="preserve"> for the EJournal</w:t>
      </w:r>
      <w:r w:rsidR="00D5200B" w:rsidRPr="000E2B5A">
        <w:rPr>
          <w:sz w:val="22"/>
          <w:lang w:val="en-GB"/>
        </w:rPr>
        <w:t>. Such is the medium of the Internet that the PDF quarterly issues are bound to go the way of all PDFs; print copies will last a bit longer, but it is as well to recognize that the vast majority of writing is ephemeral and for the moment</w:t>
      </w:r>
      <w:r w:rsidR="005D4EF8" w:rsidRPr="000E2B5A">
        <w:rPr>
          <w:sz w:val="22"/>
          <w:lang w:val="en-GB"/>
        </w:rPr>
        <w:t xml:space="preserve"> (albeit less so than speaking)</w:t>
      </w:r>
      <w:r w:rsidR="00D5200B" w:rsidRPr="000E2B5A">
        <w:rPr>
          <w:sz w:val="22"/>
          <w:lang w:val="en-GB"/>
        </w:rPr>
        <w:t>.</w:t>
      </w:r>
    </w:p>
    <w:p w:rsidR="00D5200B" w:rsidRPr="000E2B5A" w:rsidRDefault="00D5200B" w:rsidP="002D19EB">
      <w:pPr>
        <w:rPr>
          <w:sz w:val="22"/>
          <w:lang w:val="en-GB"/>
        </w:rPr>
      </w:pPr>
    </w:p>
    <w:p w:rsidR="00D5200B" w:rsidRPr="000E2B5A" w:rsidRDefault="00D5200B" w:rsidP="002D19EB">
      <w:pPr>
        <w:rPr>
          <w:sz w:val="22"/>
          <w:lang w:val="en-GB"/>
        </w:rPr>
      </w:pPr>
      <w:r w:rsidRPr="000E2B5A">
        <w:rPr>
          <w:sz w:val="22"/>
          <w:lang w:val="en-GB"/>
        </w:rPr>
        <w:lastRenderedPageBreak/>
        <w:t>Readers will have discerned that the ethos of the EJournal is conservative rather than liberal; it tends to be critical of scholarship</w:t>
      </w:r>
      <w:r w:rsidR="00E953EB" w:rsidRPr="000E2B5A">
        <w:rPr>
          <w:sz w:val="22"/>
          <w:lang w:val="en-GB"/>
        </w:rPr>
        <w:t xml:space="preserve"> rather than adoptive of consensus views. This is a tendency and not a rule</w:t>
      </w:r>
      <w:r w:rsidRPr="000E2B5A">
        <w:rPr>
          <w:sz w:val="22"/>
          <w:lang w:val="en-GB"/>
        </w:rPr>
        <w:t xml:space="preserve"> </w:t>
      </w:r>
      <w:r w:rsidR="00E953EB" w:rsidRPr="000E2B5A">
        <w:rPr>
          <w:sz w:val="22"/>
          <w:lang w:val="en-GB"/>
        </w:rPr>
        <w:t xml:space="preserve">as there have been plenty of articles that have cited scholars </w:t>
      </w:r>
      <w:r w:rsidR="00C6247A" w:rsidRPr="000E2B5A">
        <w:rPr>
          <w:sz w:val="22"/>
          <w:lang w:val="en-GB"/>
        </w:rPr>
        <w:t>in</w:t>
      </w:r>
      <w:r w:rsidR="00E953EB" w:rsidRPr="000E2B5A">
        <w:rPr>
          <w:sz w:val="22"/>
          <w:lang w:val="en-GB"/>
        </w:rPr>
        <w:t xml:space="preserve"> support </w:t>
      </w:r>
      <w:r w:rsidR="00C6247A" w:rsidRPr="000E2B5A">
        <w:rPr>
          <w:sz w:val="22"/>
          <w:lang w:val="en-GB"/>
        </w:rPr>
        <w:t xml:space="preserve">of </w:t>
      </w:r>
      <w:r w:rsidR="00E953EB" w:rsidRPr="000E2B5A">
        <w:rPr>
          <w:sz w:val="22"/>
          <w:lang w:val="en-GB"/>
        </w:rPr>
        <w:t xml:space="preserve">a point of view. Still, a conservative standpoint, and one supportive of the inspiration and integrity of the text does characterize the EJournal. </w:t>
      </w:r>
      <w:r w:rsidR="008F6CE9" w:rsidRPr="000E2B5A">
        <w:rPr>
          <w:sz w:val="22"/>
          <w:lang w:val="en-GB"/>
        </w:rPr>
        <w:t xml:space="preserve">This is not just a Biblical belief but one grounded in a philosophical understanding of language and in </w:t>
      </w:r>
      <w:r w:rsidR="00433088" w:rsidRPr="000E2B5A">
        <w:rPr>
          <w:sz w:val="22"/>
          <w:lang w:val="en-GB"/>
        </w:rPr>
        <w:t>an epistemology</w:t>
      </w:r>
      <w:r w:rsidR="00D07727" w:rsidRPr="000E2B5A">
        <w:rPr>
          <w:sz w:val="22"/>
          <w:lang w:val="en-GB"/>
        </w:rPr>
        <w:t xml:space="preserve">. (This is a view that will be developed in later issues.) </w:t>
      </w:r>
      <w:r w:rsidR="00E953EB" w:rsidRPr="000E2B5A">
        <w:rPr>
          <w:sz w:val="22"/>
          <w:lang w:val="en-GB"/>
        </w:rPr>
        <w:t xml:space="preserve">A cautious questioning of scholarship is sound practise for a lay community, rather than an uncritical promotion of what </w:t>
      </w:r>
      <w:r w:rsidR="000B4C8B" w:rsidRPr="000E2B5A">
        <w:rPr>
          <w:sz w:val="22"/>
          <w:lang w:val="en-GB"/>
        </w:rPr>
        <w:t>has been read in</w:t>
      </w:r>
      <w:r w:rsidR="00E953EB" w:rsidRPr="000E2B5A">
        <w:rPr>
          <w:sz w:val="22"/>
          <w:lang w:val="en-GB"/>
        </w:rPr>
        <w:t xml:space="preserve"> this or that scholar</w:t>
      </w:r>
      <w:r w:rsidR="005D74CB" w:rsidRPr="000E2B5A">
        <w:rPr>
          <w:sz w:val="22"/>
          <w:lang w:val="en-GB"/>
        </w:rPr>
        <w:t>’</w:t>
      </w:r>
      <w:r w:rsidR="00C6247A" w:rsidRPr="000E2B5A">
        <w:rPr>
          <w:sz w:val="22"/>
          <w:lang w:val="en-GB"/>
        </w:rPr>
        <w:t>s latest popular book</w:t>
      </w:r>
      <w:r w:rsidR="00E953EB" w:rsidRPr="000E2B5A">
        <w:rPr>
          <w:sz w:val="22"/>
          <w:lang w:val="en-GB"/>
        </w:rPr>
        <w:t>.</w:t>
      </w:r>
      <w:r w:rsidR="00C6247A" w:rsidRPr="000E2B5A">
        <w:rPr>
          <w:sz w:val="22"/>
          <w:lang w:val="en-GB"/>
        </w:rPr>
        <w:t xml:space="preserve"> Such </w:t>
      </w:r>
      <w:r w:rsidR="00433088" w:rsidRPr="000E2B5A">
        <w:rPr>
          <w:sz w:val="22"/>
          <w:lang w:val="en-GB"/>
        </w:rPr>
        <w:t xml:space="preserve">uncritical </w:t>
      </w:r>
      <w:r w:rsidR="00C6247A" w:rsidRPr="000E2B5A">
        <w:rPr>
          <w:sz w:val="22"/>
          <w:lang w:val="en-GB"/>
        </w:rPr>
        <w:t xml:space="preserve">promotion has been the </w:t>
      </w:r>
      <w:r w:rsidR="00433088" w:rsidRPr="000E2B5A">
        <w:rPr>
          <w:sz w:val="22"/>
          <w:lang w:val="en-GB"/>
        </w:rPr>
        <w:t>undoing</w:t>
      </w:r>
      <w:r w:rsidR="00C6247A" w:rsidRPr="000E2B5A">
        <w:rPr>
          <w:sz w:val="22"/>
          <w:lang w:val="en-GB"/>
        </w:rPr>
        <w:t xml:space="preserve"> of </w:t>
      </w:r>
      <w:r w:rsidR="00433088" w:rsidRPr="000E2B5A">
        <w:rPr>
          <w:sz w:val="22"/>
          <w:lang w:val="en-GB"/>
        </w:rPr>
        <w:t xml:space="preserve">small independent </w:t>
      </w:r>
      <w:r w:rsidR="00D3182B" w:rsidRPr="000E2B5A">
        <w:rPr>
          <w:sz w:val="22"/>
          <w:lang w:val="en-GB"/>
        </w:rPr>
        <w:t xml:space="preserve">community </w:t>
      </w:r>
      <w:r w:rsidR="00C6247A" w:rsidRPr="000E2B5A">
        <w:rPr>
          <w:sz w:val="22"/>
          <w:lang w:val="en-GB"/>
        </w:rPr>
        <w:t xml:space="preserve">magazines </w:t>
      </w:r>
      <w:r w:rsidR="00433088" w:rsidRPr="000E2B5A">
        <w:rPr>
          <w:sz w:val="22"/>
          <w:lang w:val="en-GB"/>
        </w:rPr>
        <w:t>in the past and continues as a danger in the present</w:t>
      </w:r>
      <w:r w:rsidR="00C6247A" w:rsidRPr="000E2B5A">
        <w:rPr>
          <w:sz w:val="22"/>
          <w:lang w:val="en-GB"/>
        </w:rPr>
        <w:t xml:space="preserve">. </w:t>
      </w:r>
    </w:p>
    <w:p w:rsidR="00056218" w:rsidRPr="000E2B5A" w:rsidRDefault="00056218" w:rsidP="002D19EB">
      <w:pPr>
        <w:rPr>
          <w:sz w:val="22"/>
          <w:lang w:val="en-GB"/>
        </w:rPr>
      </w:pPr>
    </w:p>
    <w:p w:rsidR="00056218" w:rsidRPr="000E2B5A" w:rsidRDefault="00056218" w:rsidP="00056218">
      <w:pPr>
        <w:jc w:val="center"/>
        <w:rPr>
          <w:rFonts w:ascii="Bradley Hand ITC" w:hAnsi="Bradley Hand ITC"/>
          <w:b/>
          <w:sz w:val="28"/>
          <w:lang w:val="en-GB"/>
        </w:rPr>
      </w:pPr>
      <w:r w:rsidRPr="000E2B5A">
        <w:rPr>
          <w:rFonts w:ascii="Bradley Hand ITC" w:hAnsi="Bradley Hand ITC"/>
          <w:b/>
          <w:sz w:val="28"/>
          <w:lang w:val="en-GB"/>
        </w:rPr>
        <w:t>Sennacherib</w:t>
      </w:r>
      <w:r w:rsidR="005D74CB" w:rsidRPr="000E2B5A">
        <w:rPr>
          <w:rFonts w:ascii="Bradley Hand ITC" w:hAnsi="Bradley Hand ITC"/>
          <w:b/>
          <w:sz w:val="28"/>
          <w:lang w:val="en-GB"/>
        </w:rPr>
        <w:t>’</w:t>
      </w:r>
      <w:r w:rsidRPr="000E2B5A">
        <w:rPr>
          <w:rFonts w:ascii="Bradley Hand ITC" w:hAnsi="Bradley Hand ITC"/>
          <w:b/>
          <w:sz w:val="28"/>
          <w:lang w:val="en-GB"/>
        </w:rPr>
        <w:t>s Babylonian Problem</w:t>
      </w:r>
    </w:p>
    <w:p w:rsidR="00056218" w:rsidRPr="000E2B5A" w:rsidRDefault="00056218" w:rsidP="00056218">
      <w:pPr>
        <w:jc w:val="center"/>
        <w:rPr>
          <w:rFonts w:ascii="Bradley Hand ITC" w:hAnsi="Bradley Hand ITC"/>
          <w:b/>
          <w:sz w:val="28"/>
          <w:lang w:val="en-GB"/>
        </w:rPr>
      </w:pPr>
      <w:r w:rsidRPr="000E2B5A">
        <w:rPr>
          <w:rFonts w:ascii="Bradley Hand ITC" w:hAnsi="Bradley Hand ITC"/>
          <w:b/>
          <w:sz w:val="28"/>
          <w:lang w:val="en-GB"/>
        </w:rPr>
        <w:t>A. Perry</w:t>
      </w:r>
    </w:p>
    <w:p w:rsidR="00056218" w:rsidRPr="000E2B5A" w:rsidRDefault="00056218" w:rsidP="00056218">
      <w:pPr>
        <w:rPr>
          <w:sz w:val="22"/>
          <w:lang w:val="en-GB"/>
        </w:rPr>
      </w:pPr>
    </w:p>
    <w:p w:rsidR="00056218" w:rsidRPr="000E2B5A" w:rsidRDefault="00056218" w:rsidP="00056218">
      <w:pPr>
        <w:rPr>
          <w:rFonts w:ascii="Bradley Hand ITC" w:hAnsi="Bradley Hand ITC"/>
          <w:b/>
          <w:sz w:val="28"/>
          <w:lang w:val="en-GB"/>
        </w:rPr>
      </w:pPr>
      <w:r w:rsidRPr="000E2B5A">
        <w:rPr>
          <w:rFonts w:ascii="Bradley Hand ITC" w:hAnsi="Bradley Hand ITC"/>
          <w:b/>
          <w:sz w:val="28"/>
          <w:lang w:val="en-GB"/>
        </w:rPr>
        <w:t>Introduction</w:t>
      </w:r>
    </w:p>
    <w:p w:rsidR="00056218" w:rsidRPr="000E2B5A" w:rsidRDefault="00056218" w:rsidP="00056218">
      <w:pPr>
        <w:rPr>
          <w:sz w:val="22"/>
          <w:szCs w:val="22"/>
        </w:rPr>
      </w:pPr>
      <w:r w:rsidRPr="000E2B5A">
        <w:rPr>
          <w:sz w:val="22"/>
          <w:szCs w:val="22"/>
          <w:lang w:val="en-GB"/>
        </w:rPr>
        <w:t xml:space="preserve">In an article, </w:t>
      </w:r>
      <w:r w:rsidR="005D74CB" w:rsidRPr="000E2B5A">
        <w:rPr>
          <w:sz w:val="22"/>
          <w:szCs w:val="22"/>
          <w:lang w:val="en-GB"/>
        </w:rPr>
        <w:t>“</w:t>
      </w:r>
      <w:r w:rsidRPr="000E2B5A">
        <w:rPr>
          <w:sz w:val="22"/>
          <w:szCs w:val="22"/>
        </w:rPr>
        <w:t>Sennacherib</w:t>
      </w:r>
      <w:r w:rsidR="005D74CB" w:rsidRPr="000E2B5A">
        <w:rPr>
          <w:sz w:val="22"/>
          <w:szCs w:val="22"/>
        </w:rPr>
        <w:t>’</w:t>
      </w:r>
      <w:r w:rsidRPr="000E2B5A">
        <w:rPr>
          <w:sz w:val="22"/>
          <w:szCs w:val="22"/>
        </w:rPr>
        <w:t>s Southern Front: 704-689 B.C.</w:t>
      </w:r>
      <w:r w:rsidR="005D74CB" w:rsidRPr="000E2B5A">
        <w:rPr>
          <w:sz w:val="22"/>
          <w:szCs w:val="22"/>
        </w:rPr>
        <w:t>”</w:t>
      </w:r>
      <w:r w:rsidRPr="000E2B5A">
        <w:rPr>
          <w:sz w:val="22"/>
          <w:szCs w:val="22"/>
        </w:rPr>
        <w:t>, L. D. Levine, observes that in contrast to other Assyrian monarchs, Sennacherib</w:t>
      </w:r>
      <w:r w:rsidR="005D74CB" w:rsidRPr="000E2B5A">
        <w:rPr>
          <w:sz w:val="22"/>
          <w:szCs w:val="22"/>
        </w:rPr>
        <w:t>’</w:t>
      </w:r>
      <w:r w:rsidRPr="000E2B5A">
        <w:rPr>
          <w:sz w:val="22"/>
          <w:szCs w:val="22"/>
        </w:rPr>
        <w:t>s military campaigns were conducted mainly in the south</w:t>
      </w:r>
      <w:r w:rsidR="00265BB0" w:rsidRPr="000E2B5A">
        <w:rPr>
          <w:sz w:val="22"/>
          <w:szCs w:val="22"/>
        </w:rPr>
        <w:t xml:space="preserve"> in/towards/around Babylonia (six out of eight campaigns).</w:t>
      </w:r>
      <w:r w:rsidR="00265BB0" w:rsidRPr="000E2B5A">
        <w:rPr>
          <w:rStyle w:val="FootnoteReference"/>
          <w:sz w:val="22"/>
          <w:szCs w:val="22"/>
        </w:rPr>
        <w:footnoteReference w:id="1"/>
      </w:r>
      <w:r w:rsidR="00265BB0" w:rsidRPr="000E2B5A">
        <w:rPr>
          <w:sz w:val="22"/>
          <w:szCs w:val="22"/>
        </w:rPr>
        <w:t xml:space="preserve"> We might ask what was troublesome about the south and Babylon in Sennacherib</w:t>
      </w:r>
      <w:r w:rsidR="005D74CB" w:rsidRPr="000E2B5A">
        <w:rPr>
          <w:sz w:val="22"/>
          <w:szCs w:val="22"/>
        </w:rPr>
        <w:t>’</w:t>
      </w:r>
      <w:r w:rsidR="00265BB0" w:rsidRPr="000E2B5A">
        <w:rPr>
          <w:sz w:val="22"/>
          <w:szCs w:val="22"/>
        </w:rPr>
        <w:t>s day and how this is of relevance to the Bible.</w:t>
      </w:r>
    </w:p>
    <w:p w:rsidR="00265BB0" w:rsidRPr="000E2B5A" w:rsidRDefault="00265BB0" w:rsidP="00056218">
      <w:pPr>
        <w:rPr>
          <w:sz w:val="22"/>
          <w:szCs w:val="22"/>
        </w:rPr>
      </w:pPr>
    </w:p>
    <w:p w:rsidR="00265BB0" w:rsidRPr="000E2B5A" w:rsidRDefault="00265BB0" w:rsidP="00056218">
      <w:pPr>
        <w:rPr>
          <w:rFonts w:ascii="Bradley Hand ITC" w:hAnsi="Bradley Hand ITC"/>
          <w:b/>
          <w:sz w:val="28"/>
          <w:szCs w:val="22"/>
        </w:rPr>
      </w:pPr>
      <w:r w:rsidRPr="000E2B5A">
        <w:rPr>
          <w:rFonts w:ascii="Bradley Hand ITC" w:hAnsi="Bradley Hand ITC"/>
          <w:b/>
          <w:sz w:val="28"/>
          <w:szCs w:val="22"/>
        </w:rPr>
        <w:t>Relevance to the Bible</w:t>
      </w:r>
    </w:p>
    <w:p w:rsidR="00265BB0" w:rsidRPr="000E2B5A" w:rsidRDefault="00265BB0" w:rsidP="00056218">
      <w:pPr>
        <w:rPr>
          <w:sz w:val="22"/>
          <w:szCs w:val="22"/>
        </w:rPr>
      </w:pPr>
      <w:r w:rsidRPr="000E2B5A">
        <w:rPr>
          <w:sz w:val="22"/>
          <w:szCs w:val="22"/>
        </w:rPr>
        <w:t>What Sennacherib was doing in the south in and around Babylon is relevant to how we read Isaiah. First, the importance of Babylon in the days of Hezekiah is mirrored in the troubles the region gave to Sennacherib; over a period of fifteen years it is fair to say that there was a power struggle going on between Sennacherib and his enemies in the south</w:t>
      </w:r>
      <w:r w:rsidR="00131080" w:rsidRPr="000E2B5A">
        <w:rPr>
          <w:sz w:val="22"/>
          <w:szCs w:val="22"/>
        </w:rPr>
        <w:t>:</w:t>
      </w:r>
      <w:r w:rsidRPr="000E2B5A">
        <w:rPr>
          <w:sz w:val="22"/>
          <w:szCs w:val="22"/>
        </w:rPr>
        <w:t xml:space="preserve"> Babylon</w:t>
      </w:r>
      <w:r w:rsidR="000242C6" w:rsidRPr="000E2B5A">
        <w:rPr>
          <w:sz w:val="22"/>
          <w:szCs w:val="22"/>
        </w:rPr>
        <w:t xml:space="preserve">, </w:t>
      </w:r>
      <w:r w:rsidR="00131080" w:rsidRPr="000E2B5A">
        <w:rPr>
          <w:sz w:val="22"/>
          <w:szCs w:val="22"/>
        </w:rPr>
        <w:t xml:space="preserve">the </w:t>
      </w:r>
      <w:r w:rsidR="000242C6" w:rsidRPr="000E2B5A">
        <w:rPr>
          <w:sz w:val="22"/>
          <w:szCs w:val="22"/>
        </w:rPr>
        <w:t>Chaldean tribes</w:t>
      </w:r>
      <w:r w:rsidRPr="000E2B5A">
        <w:rPr>
          <w:sz w:val="22"/>
          <w:szCs w:val="22"/>
        </w:rPr>
        <w:t xml:space="preserve"> and Elam. The region was important to Sennacherib and worthy of note in the prophecies of Isaiah.</w:t>
      </w:r>
    </w:p>
    <w:p w:rsidR="00265BB0" w:rsidRPr="000E2B5A" w:rsidRDefault="00265BB0" w:rsidP="00056218">
      <w:pPr>
        <w:rPr>
          <w:sz w:val="22"/>
          <w:szCs w:val="22"/>
        </w:rPr>
      </w:pPr>
    </w:p>
    <w:p w:rsidR="00265BB0" w:rsidRPr="000E2B5A" w:rsidRDefault="00265BB0" w:rsidP="00056218">
      <w:pPr>
        <w:rPr>
          <w:sz w:val="22"/>
          <w:szCs w:val="22"/>
        </w:rPr>
      </w:pPr>
      <w:r w:rsidRPr="000E2B5A">
        <w:rPr>
          <w:sz w:val="22"/>
          <w:szCs w:val="22"/>
        </w:rPr>
        <w:t>Secondly, Merodach-Baladan was a protagonist in 703 and 700 and he is mentioned as sending ambassadors (princes) to Hezekiah in 700; the involvement of Elam in the struggle for Southern Mesopotamia at this time explains Isaiah</w:t>
      </w:r>
      <w:r w:rsidR="005D74CB" w:rsidRPr="000E2B5A">
        <w:rPr>
          <w:sz w:val="22"/>
          <w:szCs w:val="22"/>
        </w:rPr>
        <w:t>’</w:t>
      </w:r>
      <w:r w:rsidRPr="000E2B5A">
        <w:rPr>
          <w:sz w:val="22"/>
          <w:szCs w:val="22"/>
        </w:rPr>
        <w:t xml:space="preserve">s mention of </w:t>
      </w:r>
      <w:r w:rsidR="00131080" w:rsidRPr="000E2B5A">
        <w:rPr>
          <w:sz w:val="22"/>
          <w:szCs w:val="22"/>
        </w:rPr>
        <w:t xml:space="preserve">a </w:t>
      </w:r>
      <w:r w:rsidR="005D74CB" w:rsidRPr="000E2B5A">
        <w:rPr>
          <w:sz w:val="22"/>
          <w:szCs w:val="22"/>
        </w:rPr>
        <w:t>“</w:t>
      </w:r>
      <w:r w:rsidRPr="000E2B5A">
        <w:rPr>
          <w:sz w:val="22"/>
          <w:szCs w:val="22"/>
        </w:rPr>
        <w:t>Cyrus</w:t>
      </w:r>
      <w:r w:rsidR="005D74CB" w:rsidRPr="000E2B5A">
        <w:rPr>
          <w:sz w:val="22"/>
          <w:szCs w:val="22"/>
        </w:rPr>
        <w:t>”</w:t>
      </w:r>
      <w:r w:rsidRPr="000E2B5A">
        <w:rPr>
          <w:sz w:val="22"/>
          <w:szCs w:val="22"/>
        </w:rPr>
        <w:t xml:space="preserve"> which is a typical Elamite name, </w:t>
      </w:r>
      <w:r w:rsidR="00131080" w:rsidRPr="000E2B5A">
        <w:rPr>
          <w:sz w:val="22"/>
          <w:szCs w:val="22"/>
        </w:rPr>
        <w:t xml:space="preserve">and a throne name of </w:t>
      </w:r>
      <w:r w:rsidRPr="000E2B5A">
        <w:rPr>
          <w:sz w:val="22"/>
          <w:szCs w:val="22"/>
        </w:rPr>
        <w:t xml:space="preserve">the Achaemenids who were in power </w:t>
      </w:r>
      <w:r w:rsidR="00131080" w:rsidRPr="000E2B5A">
        <w:rPr>
          <w:sz w:val="22"/>
          <w:szCs w:val="22"/>
        </w:rPr>
        <w:t xml:space="preserve">at the time </w:t>
      </w:r>
      <w:r w:rsidRPr="000E2B5A">
        <w:rPr>
          <w:sz w:val="22"/>
          <w:szCs w:val="22"/>
        </w:rPr>
        <w:t xml:space="preserve">in Anshan/Parsumash, a </w:t>
      </w:r>
      <w:r w:rsidR="004A2AA1" w:rsidRPr="000E2B5A">
        <w:rPr>
          <w:sz w:val="22"/>
          <w:szCs w:val="22"/>
        </w:rPr>
        <w:t>province of Elam.</w:t>
      </w:r>
    </w:p>
    <w:p w:rsidR="004A2AA1" w:rsidRPr="000E2B5A" w:rsidRDefault="004A2AA1" w:rsidP="00056218">
      <w:pPr>
        <w:rPr>
          <w:sz w:val="22"/>
          <w:szCs w:val="22"/>
          <w:lang w:val="en-GB"/>
        </w:rPr>
      </w:pPr>
      <w:r w:rsidRPr="000E2B5A">
        <w:rPr>
          <w:sz w:val="22"/>
          <w:szCs w:val="22"/>
        </w:rPr>
        <w:lastRenderedPageBreak/>
        <w:t>Thirdly, Sennacherib</w:t>
      </w:r>
      <w:r w:rsidR="005D74CB" w:rsidRPr="000E2B5A">
        <w:rPr>
          <w:sz w:val="22"/>
          <w:szCs w:val="22"/>
        </w:rPr>
        <w:t>’</w:t>
      </w:r>
      <w:r w:rsidR="00131080" w:rsidRPr="000E2B5A">
        <w:rPr>
          <w:sz w:val="22"/>
          <w:szCs w:val="22"/>
        </w:rPr>
        <w:t>s</w:t>
      </w:r>
      <w:r w:rsidRPr="000E2B5A">
        <w:rPr>
          <w:sz w:val="22"/>
          <w:szCs w:val="22"/>
        </w:rPr>
        <w:t xml:space="preserve"> fourth campaign of his reign was conducted </w:t>
      </w:r>
      <w:r w:rsidR="00713B4C" w:rsidRPr="000E2B5A">
        <w:rPr>
          <w:sz w:val="22"/>
          <w:szCs w:val="22"/>
        </w:rPr>
        <w:t xml:space="preserve">in 700 </w:t>
      </w:r>
      <w:r w:rsidRPr="000E2B5A">
        <w:rPr>
          <w:sz w:val="22"/>
          <w:szCs w:val="22"/>
        </w:rPr>
        <w:t xml:space="preserve">in the south against Babylon. His presence and a state of war in the region affects what we can say about the return of any Judahites deported to this area during 701. A state of war tends to produce chaotic conditions, disruption to the local economy, refugees and the movement of population. The opportunity for the return of any Judahites would </w:t>
      </w:r>
      <w:r w:rsidR="00CB4873" w:rsidRPr="000E2B5A">
        <w:rPr>
          <w:sz w:val="22"/>
          <w:szCs w:val="22"/>
        </w:rPr>
        <w:t>was being</w:t>
      </w:r>
      <w:r w:rsidRPr="000E2B5A">
        <w:rPr>
          <w:sz w:val="22"/>
          <w:szCs w:val="22"/>
        </w:rPr>
        <w:t xml:space="preserve"> created in this situation</w:t>
      </w:r>
      <w:r w:rsidR="00CB4873" w:rsidRPr="000E2B5A">
        <w:rPr>
          <w:sz w:val="22"/>
          <w:szCs w:val="22"/>
        </w:rPr>
        <w:t xml:space="preserve"> by the angel of the Lord</w:t>
      </w:r>
      <w:r w:rsidRPr="000E2B5A">
        <w:rPr>
          <w:sz w:val="22"/>
          <w:szCs w:val="22"/>
        </w:rPr>
        <w:t xml:space="preserve">. This would not be a happy and peaceful return, but a </w:t>
      </w:r>
      <w:r w:rsidR="005D74CB" w:rsidRPr="000E2B5A">
        <w:rPr>
          <w:sz w:val="22"/>
          <w:szCs w:val="22"/>
        </w:rPr>
        <w:t>“</w:t>
      </w:r>
      <w:r w:rsidRPr="000E2B5A">
        <w:rPr>
          <w:sz w:val="22"/>
          <w:szCs w:val="22"/>
        </w:rPr>
        <w:t>fleeing</w:t>
      </w:r>
      <w:r w:rsidR="005D74CB" w:rsidRPr="000E2B5A">
        <w:rPr>
          <w:sz w:val="22"/>
          <w:szCs w:val="22"/>
        </w:rPr>
        <w:t>”</w:t>
      </w:r>
      <w:r w:rsidRPr="000E2B5A">
        <w:rPr>
          <w:sz w:val="22"/>
          <w:szCs w:val="22"/>
        </w:rPr>
        <w:t xml:space="preserve"> back to Judah, which is Isaiah</w:t>
      </w:r>
      <w:r w:rsidR="005D74CB" w:rsidRPr="000E2B5A">
        <w:rPr>
          <w:sz w:val="22"/>
          <w:szCs w:val="22"/>
        </w:rPr>
        <w:t>’</w:t>
      </w:r>
      <w:r w:rsidRPr="000E2B5A">
        <w:rPr>
          <w:sz w:val="22"/>
          <w:szCs w:val="22"/>
        </w:rPr>
        <w:t>s testimony</w:t>
      </w:r>
      <w:r w:rsidR="00131080" w:rsidRPr="000E2B5A">
        <w:rPr>
          <w:sz w:val="22"/>
          <w:szCs w:val="22"/>
        </w:rPr>
        <w:t xml:space="preserve"> (Isa 48:20)</w:t>
      </w:r>
      <w:r w:rsidRPr="000E2B5A">
        <w:rPr>
          <w:sz w:val="22"/>
          <w:szCs w:val="22"/>
        </w:rPr>
        <w:t>.</w:t>
      </w:r>
    </w:p>
    <w:p w:rsidR="00056218" w:rsidRPr="000E2B5A" w:rsidRDefault="00056218" w:rsidP="00056218">
      <w:pPr>
        <w:rPr>
          <w:sz w:val="22"/>
          <w:lang w:val="en-GB"/>
        </w:rPr>
      </w:pPr>
    </w:p>
    <w:p w:rsidR="004A2AA1" w:rsidRPr="000E2B5A" w:rsidRDefault="004A2AA1" w:rsidP="00056218">
      <w:pPr>
        <w:rPr>
          <w:sz w:val="22"/>
          <w:lang w:val="en-GB"/>
        </w:rPr>
      </w:pPr>
      <w:r w:rsidRPr="000E2B5A">
        <w:rPr>
          <w:sz w:val="22"/>
          <w:lang w:val="en-GB"/>
        </w:rPr>
        <w:t xml:space="preserve">Finally, the deportation of some Judahites to Southern Mesopotamia </w:t>
      </w:r>
      <w:r w:rsidR="00CB4873" w:rsidRPr="000E2B5A">
        <w:rPr>
          <w:sz w:val="22"/>
          <w:lang w:val="en-GB"/>
        </w:rPr>
        <w:t xml:space="preserve">in 701 </w:t>
      </w:r>
      <w:r w:rsidRPr="000E2B5A">
        <w:rPr>
          <w:sz w:val="22"/>
          <w:lang w:val="en-GB"/>
        </w:rPr>
        <w:t>offers an explanation for Sennacherib</w:t>
      </w:r>
      <w:r w:rsidR="005D74CB" w:rsidRPr="000E2B5A">
        <w:rPr>
          <w:sz w:val="22"/>
          <w:lang w:val="en-GB"/>
        </w:rPr>
        <w:t>’</w:t>
      </w:r>
      <w:r w:rsidRPr="000E2B5A">
        <w:rPr>
          <w:sz w:val="22"/>
          <w:lang w:val="en-GB"/>
        </w:rPr>
        <w:t xml:space="preserve">s fourth campaign. Levine poses the question as to </w:t>
      </w:r>
      <w:r w:rsidRPr="000E2B5A">
        <w:rPr>
          <w:b/>
          <w:sz w:val="22"/>
          <w:lang w:val="en-GB"/>
        </w:rPr>
        <w:t>why</w:t>
      </w:r>
      <w:r w:rsidRPr="000E2B5A">
        <w:rPr>
          <w:sz w:val="22"/>
          <w:lang w:val="en-GB"/>
        </w:rPr>
        <w:t xml:space="preserve"> Sennacherib had to return to the south to subdue unrest so soon after his </w:t>
      </w:r>
      <w:r w:rsidR="00AC054B" w:rsidRPr="000E2B5A">
        <w:rPr>
          <w:sz w:val="22"/>
          <w:lang w:val="en-GB"/>
        </w:rPr>
        <w:t xml:space="preserve">successful </w:t>
      </w:r>
      <w:r w:rsidRPr="000E2B5A">
        <w:rPr>
          <w:sz w:val="22"/>
          <w:lang w:val="en-GB"/>
        </w:rPr>
        <w:t xml:space="preserve">campaign in the region in 704-703. A reason that Levine does not consider, and </w:t>
      </w:r>
      <w:r w:rsidR="00CB4873" w:rsidRPr="000E2B5A">
        <w:rPr>
          <w:sz w:val="22"/>
          <w:lang w:val="en-GB"/>
        </w:rPr>
        <w:t xml:space="preserve">the </w:t>
      </w:r>
      <w:r w:rsidRPr="000E2B5A">
        <w:rPr>
          <w:sz w:val="22"/>
          <w:lang w:val="en-GB"/>
        </w:rPr>
        <w:t>one proposed here</w:t>
      </w:r>
      <w:r w:rsidR="00AC054B" w:rsidRPr="000E2B5A">
        <w:rPr>
          <w:sz w:val="22"/>
          <w:lang w:val="en-GB"/>
        </w:rPr>
        <w:t>,</w:t>
      </w:r>
      <w:r w:rsidRPr="000E2B5A">
        <w:rPr>
          <w:sz w:val="22"/>
          <w:lang w:val="en-GB"/>
        </w:rPr>
        <w:t xml:space="preserve"> is that the unrest was caused by the deportation of Judahites to the area.</w:t>
      </w:r>
    </w:p>
    <w:p w:rsidR="0071182F" w:rsidRPr="000E2B5A" w:rsidRDefault="0071182F" w:rsidP="00056218">
      <w:pPr>
        <w:rPr>
          <w:sz w:val="22"/>
          <w:lang w:val="en-GB"/>
        </w:rPr>
      </w:pPr>
    </w:p>
    <w:p w:rsidR="00AC054B" w:rsidRPr="000E2B5A" w:rsidRDefault="00AC054B" w:rsidP="00056218">
      <w:pPr>
        <w:rPr>
          <w:sz w:val="22"/>
          <w:lang w:val="en-GB"/>
        </w:rPr>
      </w:pPr>
      <w:r w:rsidRPr="000E2B5A">
        <w:rPr>
          <w:sz w:val="22"/>
          <w:lang w:val="en-GB"/>
        </w:rPr>
        <w:t xml:space="preserve">That Sennacherib would have deported some Judahites to border regions such as Babylon and Elam is established by Assyrian policy on deportation which was to populate the borders; they reasoned that foreigners would add to the stability of these areas because they would be loyal to the Assyrian king rather than the indigenous peoples who </w:t>
      </w:r>
      <w:r w:rsidR="000242C6" w:rsidRPr="000E2B5A">
        <w:rPr>
          <w:sz w:val="22"/>
          <w:lang w:val="en-GB"/>
        </w:rPr>
        <w:t>had a tendency</w:t>
      </w:r>
      <w:r w:rsidRPr="000E2B5A">
        <w:rPr>
          <w:sz w:val="22"/>
          <w:lang w:val="en-GB"/>
        </w:rPr>
        <w:t xml:space="preserve"> to rebel. </w:t>
      </w:r>
    </w:p>
    <w:p w:rsidR="00AC054B" w:rsidRPr="000E2B5A" w:rsidRDefault="00AC054B" w:rsidP="00056218">
      <w:pPr>
        <w:rPr>
          <w:sz w:val="22"/>
          <w:lang w:val="en-GB"/>
        </w:rPr>
      </w:pPr>
    </w:p>
    <w:p w:rsidR="00AC054B" w:rsidRPr="000E2B5A" w:rsidRDefault="00AC054B" w:rsidP="00056218">
      <w:pPr>
        <w:rPr>
          <w:sz w:val="22"/>
          <w:lang w:val="en-GB"/>
        </w:rPr>
      </w:pPr>
      <w:r w:rsidRPr="000E2B5A">
        <w:rPr>
          <w:sz w:val="22"/>
          <w:lang w:val="en-GB"/>
        </w:rPr>
        <w:t xml:space="preserve">The brief presence of Judahites in the south would have given Merodach-Baladan a catalyst for organising and inciting revolt; it would have given him knowledge of what was happening in the West; and it would have given him something to offer Hezekiah (the return of Judahites) </w:t>
      </w:r>
      <w:r w:rsidR="000242C6" w:rsidRPr="000E2B5A">
        <w:rPr>
          <w:sz w:val="22"/>
          <w:lang w:val="en-GB"/>
        </w:rPr>
        <w:t>when he sent the</w:t>
      </w:r>
      <w:r w:rsidRPr="000E2B5A">
        <w:rPr>
          <w:sz w:val="22"/>
          <w:lang w:val="en-GB"/>
        </w:rPr>
        <w:t xml:space="preserve"> princes and ambassadors to Judah.</w:t>
      </w:r>
    </w:p>
    <w:p w:rsidR="00AC054B" w:rsidRPr="000E2B5A" w:rsidRDefault="00AC054B" w:rsidP="00056218">
      <w:pPr>
        <w:rPr>
          <w:sz w:val="22"/>
          <w:lang w:val="en-GB"/>
        </w:rPr>
      </w:pPr>
    </w:p>
    <w:p w:rsidR="00AC054B" w:rsidRPr="000E2B5A" w:rsidRDefault="00AC054B" w:rsidP="00056218">
      <w:pPr>
        <w:rPr>
          <w:sz w:val="22"/>
          <w:lang w:val="en-GB"/>
        </w:rPr>
      </w:pPr>
      <w:r w:rsidRPr="000E2B5A">
        <w:rPr>
          <w:sz w:val="22"/>
          <w:lang w:val="en-GB"/>
        </w:rPr>
        <w:t xml:space="preserve">The devastated condition of Jerusalem and Judah and the </w:t>
      </w:r>
      <w:r w:rsidR="008C3EEA" w:rsidRPr="000E2B5A">
        <w:rPr>
          <w:sz w:val="22"/>
          <w:lang w:val="en-GB"/>
        </w:rPr>
        <w:t>presence of deportees in Southern Mesopotamia gave Merodach-Baladan a reason to send a delegation to Hezekiah (a diplomatic contact that is otherwise inexplicable). The dialogue in Isaiah reflects his stance: Yahweh</w:t>
      </w:r>
      <w:r w:rsidR="000242C6" w:rsidRPr="000E2B5A">
        <w:rPr>
          <w:sz w:val="22"/>
          <w:lang w:val="en-GB"/>
        </w:rPr>
        <w:t>,</w:t>
      </w:r>
      <w:r w:rsidR="008C3EEA" w:rsidRPr="000E2B5A">
        <w:rPr>
          <w:sz w:val="22"/>
          <w:lang w:val="en-GB"/>
        </w:rPr>
        <w:t xml:space="preserve"> through his prophet</w:t>
      </w:r>
      <w:r w:rsidR="000242C6" w:rsidRPr="000E2B5A">
        <w:rPr>
          <w:sz w:val="22"/>
          <w:lang w:val="en-GB"/>
        </w:rPr>
        <w:t>,</w:t>
      </w:r>
      <w:r w:rsidR="008C3EEA" w:rsidRPr="000E2B5A">
        <w:rPr>
          <w:sz w:val="22"/>
          <w:lang w:val="en-GB"/>
        </w:rPr>
        <w:t xml:space="preserve"> rejects </w:t>
      </w:r>
      <w:r w:rsidR="000242C6" w:rsidRPr="000E2B5A">
        <w:rPr>
          <w:sz w:val="22"/>
          <w:lang w:val="en-GB"/>
        </w:rPr>
        <w:t>Merodach-Baladan</w:t>
      </w:r>
      <w:r w:rsidR="005D74CB" w:rsidRPr="000E2B5A">
        <w:rPr>
          <w:sz w:val="22"/>
          <w:lang w:val="en-GB"/>
        </w:rPr>
        <w:t>’</w:t>
      </w:r>
      <w:r w:rsidR="000242C6" w:rsidRPr="000E2B5A">
        <w:rPr>
          <w:sz w:val="22"/>
          <w:lang w:val="en-GB"/>
        </w:rPr>
        <w:t>s</w:t>
      </w:r>
      <w:r w:rsidR="008C3EEA" w:rsidRPr="000E2B5A">
        <w:rPr>
          <w:sz w:val="22"/>
          <w:lang w:val="en-GB"/>
        </w:rPr>
        <w:t xml:space="preserve"> offers to help rebuild Jerusalem, the temple</w:t>
      </w:r>
      <w:r w:rsidR="000242C6" w:rsidRPr="000E2B5A">
        <w:rPr>
          <w:sz w:val="22"/>
          <w:lang w:val="en-GB"/>
        </w:rPr>
        <w:t>,</w:t>
      </w:r>
      <w:r w:rsidR="008C3EEA" w:rsidRPr="000E2B5A">
        <w:rPr>
          <w:sz w:val="22"/>
          <w:lang w:val="en-GB"/>
        </w:rPr>
        <w:t xml:space="preserve"> and the country</w:t>
      </w:r>
      <w:r w:rsidR="000242C6" w:rsidRPr="000E2B5A">
        <w:rPr>
          <w:sz w:val="22"/>
          <w:lang w:val="en-GB"/>
        </w:rPr>
        <w:t>, and to</w:t>
      </w:r>
      <w:r w:rsidR="008C3EEA" w:rsidRPr="000E2B5A">
        <w:rPr>
          <w:sz w:val="22"/>
          <w:lang w:val="en-GB"/>
        </w:rPr>
        <w:t xml:space="preserve"> return the deported captives; it is Yahweh who would do these things.</w:t>
      </w:r>
    </w:p>
    <w:p w:rsidR="008C3EEA" w:rsidRPr="000E2B5A" w:rsidRDefault="008C3EEA" w:rsidP="00056218">
      <w:pPr>
        <w:rPr>
          <w:sz w:val="22"/>
          <w:lang w:val="en-GB"/>
        </w:rPr>
      </w:pPr>
    </w:p>
    <w:p w:rsidR="008C3EEA" w:rsidRPr="000E2B5A" w:rsidRDefault="00D9393F" w:rsidP="00056218">
      <w:pPr>
        <w:rPr>
          <w:rFonts w:ascii="Bradley Hand ITC" w:hAnsi="Bradley Hand ITC"/>
          <w:b/>
          <w:sz w:val="28"/>
          <w:lang w:val="en-GB"/>
        </w:rPr>
      </w:pPr>
      <w:r w:rsidRPr="000E2B5A">
        <w:rPr>
          <w:rFonts w:ascii="Bradley Hand ITC" w:hAnsi="Bradley Hand ITC"/>
          <w:b/>
          <w:sz w:val="28"/>
          <w:lang w:val="en-GB"/>
        </w:rPr>
        <w:t>Sennacherib</w:t>
      </w:r>
      <w:r w:rsidR="005D74CB" w:rsidRPr="000E2B5A">
        <w:rPr>
          <w:rFonts w:ascii="Bradley Hand ITC" w:hAnsi="Bradley Hand ITC"/>
          <w:b/>
          <w:sz w:val="28"/>
          <w:lang w:val="en-GB"/>
        </w:rPr>
        <w:t>’</w:t>
      </w:r>
      <w:r w:rsidRPr="000E2B5A">
        <w:rPr>
          <w:rFonts w:ascii="Bradley Hand ITC" w:hAnsi="Bradley Hand ITC"/>
          <w:b/>
          <w:sz w:val="28"/>
          <w:lang w:val="en-GB"/>
        </w:rPr>
        <w:t>s Fourth Campaign</w:t>
      </w:r>
    </w:p>
    <w:p w:rsidR="00D9393F" w:rsidRPr="000E2B5A" w:rsidRDefault="00D9393F" w:rsidP="00056218">
      <w:pPr>
        <w:rPr>
          <w:sz w:val="22"/>
          <w:lang w:val="en-GB"/>
        </w:rPr>
      </w:pPr>
      <w:r w:rsidRPr="000E2B5A">
        <w:rPr>
          <w:sz w:val="22"/>
          <w:lang w:val="en-GB"/>
        </w:rPr>
        <w:t>Sennacherib</w:t>
      </w:r>
      <w:r w:rsidR="005D74CB" w:rsidRPr="000E2B5A">
        <w:rPr>
          <w:sz w:val="22"/>
          <w:lang w:val="en-GB"/>
        </w:rPr>
        <w:t>’</w:t>
      </w:r>
      <w:r w:rsidRPr="000E2B5A">
        <w:rPr>
          <w:sz w:val="22"/>
          <w:lang w:val="en-GB"/>
        </w:rPr>
        <w:t>s first and second campaigns</w:t>
      </w:r>
      <w:r w:rsidR="003B27A7" w:rsidRPr="000E2B5A">
        <w:rPr>
          <w:rStyle w:val="FootnoteReference"/>
          <w:sz w:val="22"/>
          <w:lang w:val="en-GB"/>
        </w:rPr>
        <w:footnoteReference w:id="2"/>
      </w:r>
      <w:r w:rsidRPr="000E2B5A">
        <w:rPr>
          <w:sz w:val="22"/>
          <w:lang w:val="en-GB"/>
        </w:rPr>
        <w:t xml:space="preserve"> (704-703) are not our concern and are covered fully by Levine. Our interest is in what happened after these campaigns in the time between their completion and Sennacherib</w:t>
      </w:r>
      <w:r w:rsidR="005D74CB" w:rsidRPr="000E2B5A">
        <w:rPr>
          <w:sz w:val="22"/>
          <w:lang w:val="en-GB"/>
        </w:rPr>
        <w:t>’</w:t>
      </w:r>
      <w:r w:rsidRPr="000E2B5A">
        <w:rPr>
          <w:sz w:val="22"/>
          <w:lang w:val="en-GB"/>
        </w:rPr>
        <w:t xml:space="preserve">s return to the south in 700. </w:t>
      </w:r>
      <w:r w:rsidR="003B27A7" w:rsidRPr="000E2B5A">
        <w:rPr>
          <w:sz w:val="22"/>
          <w:lang w:val="en-GB"/>
        </w:rPr>
        <w:lastRenderedPageBreak/>
        <w:t xml:space="preserve">This is </w:t>
      </w:r>
      <w:r w:rsidR="00CB4873" w:rsidRPr="000E2B5A">
        <w:rPr>
          <w:sz w:val="22"/>
          <w:lang w:val="en-GB"/>
        </w:rPr>
        <w:t xml:space="preserve">now </w:t>
      </w:r>
      <w:r w:rsidR="003B27A7" w:rsidRPr="000E2B5A">
        <w:rPr>
          <w:sz w:val="22"/>
          <w:lang w:val="en-GB"/>
        </w:rPr>
        <w:t>Sennacherib</w:t>
      </w:r>
      <w:r w:rsidR="005D74CB" w:rsidRPr="000E2B5A">
        <w:rPr>
          <w:sz w:val="22"/>
          <w:lang w:val="en-GB"/>
        </w:rPr>
        <w:t>’</w:t>
      </w:r>
      <w:r w:rsidR="003B27A7" w:rsidRPr="000E2B5A">
        <w:rPr>
          <w:sz w:val="22"/>
          <w:lang w:val="en-GB"/>
        </w:rPr>
        <w:t xml:space="preserve">s fourth campaign of his reign (the third having been in the Levant). </w:t>
      </w:r>
      <w:r w:rsidRPr="000E2B5A">
        <w:rPr>
          <w:sz w:val="22"/>
          <w:lang w:val="en-GB"/>
        </w:rPr>
        <w:t xml:space="preserve">Levine </w:t>
      </w:r>
      <w:r w:rsidR="003B27A7" w:rsidRPr="000E2B5A">
        <w:rPr>
          <w:sz w:val="22"/>
          <w:lang w:val="en-GB"/>
        </w:rPr>
        <w:t>compares the Bellino Cylinder (702) and the Rassam Cylinder (700) and what they say about the successful conclusion of the first and second campaigns. Levine gives the relevant text</w:t>
      </w:r>
      <w:r w:rsidR="000242C6" w:rsidRPr="000E2B5A">
        <w:rPr>
          <w:sz w:val="22"/>
          <w:lang w:val="en-GB"/>
        </w:rPr>
        <w:t>s</w:t>
      </w:r>
      <w:r w:rsidR="003B27A7" w:rsidRPr="000E2B5A">
        <w:rPr>
          <w:sz w:val="22"/>
          <w:lang w:val="en-GB"/>
        </w:rPr>
        <w:t xml:space="preserve"> as follows,</w:t>
      </w:r>
      <w:r w:rsidR="003B27A7" w:rsidRPr="000E2B5A">
        <w:rPr>
          <w:rStyle w:val="FootnoteReference"/>
          <w:sz w:val="22"/>
          <w:lang w:val="en-GB"/>
        </w:rPr>
        <w:footnoteReference w:id="3"/>
      </w:r>
    </w:p>
    <w:p w:rsidR="003B27A7" w:rsidRPr="000E2B5A" w:rsidRDefault="003B27A7" w:rsidP="00056218">
      <w:pPr>
        <w:rPr>
          <w:sz w:val="22"/>
          <w:lang w:val="en-GB"/>
        </w:rPr>
      </w:pPr>
    </w:p>
    <w:p w:rsidR="003B27A7" w:rsidRPr="000E2B5A" w:rsidRDefault="003B27A7" w:rsidP="003B27A7">
      <w:pPr>
        <w:pStyle w:val="Quote"/>
      </w:pPr>
      <w:r w:rsidRPr="000E2B5A">
        <w:rPr>
          <w:u w:val="single"/>
        </w:rPr>
        <w:t>Bellino</w:t>
      </w:r>
      <w:r w:rsidR="00F41AB1" w:rsidRPr="000E2B5A">
        <w:t xml:space="preserve"> (Month 8</w:t>
      </w:r>
      <w:r w:rsidR="00CD7EB0" w:rsidRPr="000E2B5A">
        <w:t>,</w:t>
      </w:r>
      <w:r w:rsidR="00F41AB1" w:rsidRPr="000E2B5A">
        <w:t xml:space="preserve"> 702)</w:t>
      </w:r>
    </w:p>
    <w:p w:rsidR="003B27A7" w:rsidRPr="000E2B5A" w:rsidRDefault="003B27A7" w:rsidP="003B27A7">
      <w:pPr>
        <w:pStyle w:val="Quote"/>
        <w:rPr>
          <w:bCs/>
          <w:szCs w:val="22"/>
        </w:rPr>
      </w:pPr>
      <w:r w:rsidRPr="000E2B5A">
        <w:rPr>
          <w:bCs/>
          <w:szCs w:val="22"/>
        </w:rPr>
        <w:t>Bel-ibni, a member of the Rab-Bani class and scion of Babylon who had grown up like a young puppy in my palace, I appointed to the kingship of Akkad and Sumer over them (the Babylonians, Chaldeans, etc.).</w:t>
      </w:r>
    </w:p>
    <w:p w:rsidR="003B27A7" w:rsidRPr="000E2B5A" w:rsidRDefault="003B27A7" w:rsidP="003B27A7">
      <w:pPr>
        <w:pStyle w:val="Quote"/>
        <w:rPr>
          <w:bCs/>
          <w:szCs w:val="22"/>
        </w:rPr>
      </w:pPr>
    </w:p>
    <w:p w:rsidR="003B27A7" w:rsidRPr="000E2B5A" w:rsidRDefault="003B27A7" w:rsidP="003B27A7">
      <w:pPr>
        <w:pStyle w:val="Quote"/>
        <w:rPr>
          <w:bCs/>
          <w:szCs w:val="22"/>
        </w:rPr>
      </w:pPr>
      <w:r w:rsidRPr="000E2B5A">
        <w:rPr>
          <w:bCs/>
          <w:szCs w:val="22"/>
          <w:u w:val="single"/>
        </w:rPr>
        <w:t>Rassam</w:t>
      </w:r>
      <w:r w:rsidR="00F41AB1" w:rsidRPr="000E2B5A">
        <w:rPr>
          <w:bCs/>
          <w:szCs w:val="22"/>
        </w:rPr>
        <w:t xml:space="preserve"> (Month 2</w:t>
      </w:r>
      <w:r w:rsidR="00CD7EB0" w:rsidRPr="000E2B5A">
        <w:rPr>
          <w:bCs/>
          <w:szCs w:val="22"/>
        </w:rPr>
        <w:t>,</w:t>
      </w:r>
      <w:r w:rsidR="00F41AB1" w:rsidRPr="000E2B5A">
        <w:rPr>
          <w:bCs/>
          <w:szCs w:val="22"/>
        </w:rPr>
        <w:t xml:space="preserve"> 700)</w:t>
      </w:r>
    </w:p>
    <w:p w:rsidR="003B27A7" w:rsidRPr="000E2B5A" w:rsidRDefault="003B27A7" w:rsidP="003B27A7">
      <w:pPr>
        <w:pStyle w:val="Quote"/>
        <w:rPr>
          <w:bCs/>
          <w:szCs w:val="22"/>
        </w:rPr>
      </w:pPr>
      <w:r w:rsidRPr="000E2B5A">
        <w:rPr>
          <w:bCs/>
          <w:szCs w:val="22"/>
        </w:rPr>
        <w:t>Bel-ibni, a member of the Rab-Bani class, I placed on his (Merodach-Baladan</w:t>
      </w:r>
      <w:r w:rsidR="005D74CB" w:rsidRPr="000E2B5A">
        <w:rPr>
          <w:bCs/>
          <w:szCs w:val="22"/>
        </w:rPr>
        <w:t>’</w:t>
      </w:r>
      <w:r w:rsidRPr="000E2B5A">
        <w:rPr>
          <w:bCs/>
          <w:szCs w:val="22"/>
        </w:rPr>
        <w:t>s</w:t>
      </w:r>
      <w:bookmarkStart w:id="0" w:name="_GoBack"/>
      <w:bookmarkEnd w:id="0"/>
      <w:r w:rsidRPr="000E2B5A">
        <w:rPr>
          <w:bCs/>
          <w:szCs w:val="22"/>
        </w:rPr>
        <w:t>) throne. I made the people of Akkad subject to him. Over all the Chaldean districts, I appointed my officials as governors and imposed on them (the Chaldeans) the yoke of my lordship.</w:t>
      </w:r>
    </w:p>
    <w:p w:rsidR="00F41AB1" w:rsidRPr="000E2B5A" w:rsidRDefault="00F41AB1" w:rsidP="00F41AB1">
      <w:pPr>
        <w:rPr>
          <w:lang w:val="en-GB" w:bidi="he-IL"/>
        </w:rPr>
      </w:pPr>
    </w:p>
    <w:p w:rsidR="00F41AB1" w:rsidRPr="000E2B5A" w:rsidRDefault="00F41AB1" w:rsidP="00F41AB1">
      <w:pPr>
        <w:rPr>
          <w:lang w:val="en-GB" w:bidi="he-IL"/>
        </w:rPr>
      </w:pPr>
      <w:r w:rsidRPr="000E2B5A">
        <w:rPr>
          <w:lang w:val="en-GB" w:bidi="he-IL"/>
        </w:rPr>
        <w:t>Levine</w:t>
      </w:r>
      <w:r w:rsidR="005D74CB" w:rsidRPr="000E2B5A">
        <w:rPr>
          <w:lang w:val="en-GB" w:bidi="he-IL"/>
        </w:rPr>
        <w:t>’</w:t>
      </w:r>
      <w:r w:rsidRPr="000E2B5A">
        <w:rPr>
          <w:lang w:val="en-GB" w:bidi="he-IL"/>
        </w:rPr>
        <w:t>s comment on the differences is,</w:t>
      </w:r>
    </w:p>
    <w:p w:rsidR="00F41AB1" w:rsidRPr="000E2B5A" w:rsidRDefault="00F41AB1" w:rsidP="00F41AB1">
      <w:pPr>
        <w:rPr>
          <w:lang w:val="en-GB" w:bidi="he-IL"/>
        </w:rPr>
      </w:pPr>
    </w:p>
    <w:p w:rsidR="00F41AB1" w:rsidRPr="000E2B5A" w:rsidRDefault="00F41AB1" w:rsidP="00CD7EB0">
      <w:pPr>
        <w:pStyle w:val="Quote"/>
      </w:pPr>
      <w:r w:rsidRPr="000E2B5A">
        <w:t>This type of revisionism</w:t>
      </w:r>
      <w:r w:rsidR="00CD7EB0" w:rsidRPr="000E2B5A">
        <w:t xml:space="preserve"> i</w:t>
      </w:r>
      <w:r w:rsidRPr="000E2B5A">
        <w:t>s not unusual</w:t>
      </w:r>
      <w:r w:rsidR="00CD7EB0" w:rsidRPr="000E2B5A">
        <w:t xml:space="preserve"> </w:t>
      </w:r>
      <w:r w:rsidRPr="000E2B5A">
        <w:t>in the Sennacherib</w:t>
      </w:r>
      <w:r w:rsidR="00CD7EB0" w:rsidRPr="000E2B5A">
        <w:t xml:space="preserve"> </w:t>
      </w:r>
      <w:r w:rsidRPr="000E2B5A">
        <w:t>texts, the most striking</w:t>
      </w:r>
      <w:r w:rsidR="00CD7EB0" w:rsidRPr="000E2B5A">
        <w:t xml:space="preserve"> </w:t>
      </w:r>
      <w:r w:rsidRPr="000E2B5A">
        <w:t>example being the way the fate of Ashur-nadin-shumi is</w:t>
      </w:r>
      <w:r w:rsidR="00CD7EB0" w:rsidRPr="000E2B5A">
        <w:t xml:space="preserve"> </w:t>
      </w:r>
      <w:r w:rsidRPr="000E2B5A">
        <w:t>treated. But in this case the revisionism contains additional facts. Thus it would appear that in the time between the composition of the Bellino cylinder in viii/702 and the composition of the Rassam cylinder eighteen months later in ii/700, the situation in Chaldea had deteriorated sufficiently that Sennacherib had to reassert direct Assyrian control over the situation.</w:t>
      </w:r>
      <w:r w:rsidR="00CD7EB0" w:rsidRPr="000E2B5A">
        <w:rPr>
          <w:rStyle w:val="FootnoteReference"/>
        </w:rPr>
        <w:footnoteReference w:id="4"/>
      </w:r>
    </w:p>
    <w:p w:rsidR="00CD7EB0" w:rsidRPr="000E2B5A" w:rsidRDefault="00CD7EB0" w:rsidP="00CD7EB0">
      <w:pPr>
        <w:rPr>
          <w:lang w:val="en-GB" w:bidi="he-IL"/>
        </w:rPr>
      </w:pPr>
    </w:p>
    <w:p w:rsidR="00CD7EB0" w:rsidRPr="000E2B5A" w:rsidRDefault="00CD7EB0" w:rsidP="00CD7EB0">
      <w:pPr>
        <w:rPr>
          <w:lang w:val="en-GB" w:bidi="he-IL"/>
        </w:rPr>
      </w:pPr>
      <w:r w:rsidRPr="000E2B5A">
        <w:rPr>
          <w:lang w:val="en-GB" w:bidi="he-IL"/>
        </w:rPr>
        <w:t>What Sennacherib is doing during 70</w:t>
      </w:r>
      <w:r w:rsidR="000242C6" w:rsidRPr="000E2B5A">
        <w:rPr>
          <w:lang w:val="en-GB" w:bidi="he-IL"/>
        </w:rPr>
        <w:t xml:space="preserve">1 (perhaps in 702) </w:t>
      </w:r>
      <w:r w:rsidRPr="000E2B5A">
        <w:rPr>
          <w:lang w:val="en-GB" w:bidi="he-IL"/>
        </w:rPr>
        <w:t xml:space="preserve">is </w:t>
      </w:r>
      <w:r w:rsidR="00686F82" w:rsidRPr="000E2B5A">
        <w:rPr>
          <w:lang w:val="en-GB" w:bidi="he-IL"/>
        </w:rPr>
        <w:t xml:space="preserve">to </w:t>
      </w:r>
      <w:r w:rsidRPr="000E2B5A">
        <w:rPr>
          <w:lang w:val="en-GB" w:bidi="he-IL"/>
        </w:rPr>
        <w:t>send governors into the south</w:t>
      </w:r>
      <w:r w:rsidR="000242C6" w:rsidRPr="000E2B5A">
        <w:rPr>
          <w:lang w:val="en-GB" w:bidi="he-IL"/>
        </w:rPr>
        <w:t xml:space="preserve"> </w:t>
      </w:r>
      <w:r w:rsidRPr="000E2B5A">
        <w:rPr>
          <w:lang w:val="en-GB" w:bidi="he-IL"/>
        </w:rPr>
        <w:t>because of unrest. The appointment of Bel-ibni to the throne in Babylon in 702 was not enough to secure control. The deportation of Judahites to Babylonia during 701 with accompanying governors would explain the addition</w:t>
      </w:r>
      <w:r w:rsidR="000242C6" w:rsidRPr="000E2B5A">
        <w:rPr>
          <w:lang w:val="en-GB" w:bidi="he-IL"/>
        </w:rPr>
        <w:t>al</w:t>
      </w:r>
      <w:r w:rsidRPr="000E2B5A">
        <w:rPr>
          <w:lang w:val="en-GB" w:bidi="he-IL"/>
        </w:rPr>
        <w:t xml:space="preserve"> detail of the Rassam Cylinder. However, as Levine observes the extra governors had little effect because Sennacherib had to conduct military operations in the region in 700.</w:t>
      </w:r>
    </w:p>
    <w:p w:rsidR="00686F82" w:rsidRPr="000E2B5A" w:rsidRDefault="00686F82" w:rsidP="00CD7EB0">
      <w:pPr>
        <w:rPr>
          <w:lang w:val="en-GB" w:bidi="he-IL"/>
        </w:rPr>
      </w:pPr>
    </w:p>
    <w:p w:rsidR="007524DB" w:rsidRPr="000E2B5A" w:rsidRDefault="00CD7EB0" w:rsidP="00CD7EB0">
      <w:pPr>
        <w:rPr>
          <w:lang w:val="en-GB" w:bidi="he-IL"/>
        </w:rPr>
      </w:pPr>
      <w:r w:rsidRPr="000E2B5A">
        <w:rPr>
          <w:lang w:val="en-GB" w:bidi="he-IL"/>
        </w:rPr>
        <w:t xml:space="preserve">For some time during 700, Merodach-Baladan claimed the throne of Babylon; his claim was short-lived. Sennacherib was successful in restoring control over the area. </w:t>
      </w:r>
      <w:r w:rsidR="007524DB" w:rsidRPr="000E2B5A">
        <w:rPr>
          <w:lang w:val="en-GB" w:bidi="he-IL"/>
        </w:rPr>
        <w:t xml:space="preserve">Merodach-Baladan fled to Elam. </w:t>
      </w:r>
    </w:p>
    <w:p w:rsidR="007524DB" w:rsidRPr="000E2B5A" w:rsidRDefault="007524DB" w:rsidP="00CD7EB0">
      <w:pPr>
        <w:rPr>
          <w:rFonts w:ascii="Bradley Hand ITC" w:hAnsi="Bradley Hand ITC"/>
          <w:b/>
          <w:sz w:val="28"/>
          <w:lang w:val="en-GB" w:bidi="he-IL"/>
        </w:rPr>
      </w:pPr>
      <w:r w:rsidRPr="000E2B5A">
        <w:rPr>
          <w:rFonts w:ascii="Bradley Hand ITC" w:hAnsi="Bradley Hand ITC"/>
          <w:b/>
          <w:sz w:val="28"/>
          <w:lang w:val="en-GB" w:bidi="he-IL"/>
        </w:rPr>
        <w:lastRenderedPageBreak/>
        <w:t>Conclusion</w:t>
      </w:r>
    </w:p>
    <w:p w:rsidR="00CD7EB0" w:rsidRPr="000E2B5A" w:rsidRDefault="007524DB" w:rsidP="00CD7EB0">
      <w:pPr>
        <w:rPr>
          <w:lang w:val="en-GB" w:bidi="he-IL"/>
        </w:rPr>
      </w:pPr>
      <w:r w:rsidRPr="000E2B5A">
        <w:rPr>
          <w:lang w:val="en-GB" w:bidi="he-IL"/>
        </w:rPr>
        <w:t xml:space="preserve">Accepting the witness of the Bible for the reconstruction of history in Mesopotamia produces a fuller picture of what was happening in 700 and why Sennacherib had to conduct his fourth campaign in the region. Scholars have missed this because they have been misled by the German higher-critical division of the book of Isaiah into three parts with Isaiah 40-48 being assigned to the end of the Babylonian Exile. </w:t>
      </w:r>
    </w:p>
    <w:p w:rsidR="00056218" w:rsidRPr="000E2B5A" w:rsidRDefault="00056218" w:rsidP="00056218">
      <w:pPr>
        <w:jc w:val="center"/>
        <w:rPr>
          <w:sz w:val="22"/>
          <w:lang w:val="en-GB"/>
        </w:rPr>
      </w:pPr>
    </w:p>
    <w:p w:rsidR="00216350" w:rsidRPr="000E2B5A" w:rsidRDefault="00216350" w:rsidP="00056218">
      <w:pPr>
        <w:jc w:val="center"/>
        <w:rPr>
          <w:sz w:val="22"/>
          <w:lang w:val="en-GB"/>
        </w:rPr>
      </w:pPr>
    </w:p>
    <w:p w:rsidR="00CD7EB0" w:rsidRPr="000E2B5A" w:rsidRDefault="000D67BC" w:rsidP="000D67BC">
      <w:pPr>
        <w:jc w:val="center"/>
        <w:rPr>
          <w:rFonts w:ascii="Bradley Hand ITC" w:hAnsi="Bradley Hand ITC"/>
          <w:b/>
          <w:sz w:val="28"/>
          <w:szCs w:val="22"/>
          <w:lang w:val="en-GB"/>
        </w:rPr>
      </w:pPr>
      <w:r w:rsidRPr="000E2B5A">
        <w:rPr>
          <w:rFonts w:ascii="Bradley Hand ITC" w:hAnsi="Bradley Hand ITC"/>
          <w:b/>
          <w:sz w:val="28"/>
          <w:szCs w:val="22"/>
          <w:lang w:val="en-GB"/>
        </w:rPr>
        <w:t>Two Donkeys</w:t>
      </w:r>
    </w:p>
    <w:p w:rsidR="000D67BC" w:rsidRPr="000E2B5A" w:rsidRDefault="000D67BC" w:rsidP="000D67BC">
      <w:pPr>
        <w:jc w:val="center"/>
        <w:rPr>
          <w:rFonts w:ascii="Bradley Hand ITC" w:hAnsi="Bradley Hand ITC"/>
          <w:b/>
          <w:sz w:val="28"/>
          <w:szCs w:val="22"/>
          <w:lang w:val="en-GB"/>
        </w:rPr>
      </w:pPr>
      <w:r w:rsidRPr="000E2B5A">
        <w:rPr>
          <w:rFonts w:ascii="Bradley Hand ITC" w:hAnsi="Bradley Hand ITC"/>
          <w:b/>
          <w:sz w:val="28"/>
          <w:szCs w:val="22"/>
          <w:lang w:val="en-GB"/>
        </w:rPr>
        <w:t>P. Wyns</w:t>
      </w:r>
    </w:p>
    <w:p w:rsidR="00846554" w:rsidRPr="000E2B5A" w:rsidRDefault="00846554" w:rsidP="000D67BC">
      <w:pPr>
        <w:rPr>
          <w:rFonts w:ascii="Bradley Hand ITC" w:hAnsi="Bradley Hand ITC"/>
          <w:b/>
          <w:sz w:val="28"/>
          <w:szCs w:val="22"/>
          <w:lang w:val="en-GB"/>
        </w:rPr>
      </w:pPr>
    </w:p>
    <w:p w:rsidR="00056218" w:rsidRPr="000E2B5A" w:rsidRDefault="000D67BC" w:rsidP="000D67BC">
      <w:pPr>
        <w:rPr>
          <w:rFonts w:ascii="Bradley Hand ITC" w:hAnsi="Bradley Hand ITC"/>
          <w:b/>
          <w:sz w:val="28"/>
          <w:szCs w:val="22"/>
          <w:lang w:val="en-GB"/>
        </w:rPr>
      </w:pPr>
      <w:r w:rsidRPr="000E2B5A">
        <w:rPr>
          <w:rFonts w:ascii="Bradley Hand ITC" w:hAnsi="Bradley Hand ITC"/>
          <w:b/>
          <w:sz w:val="28"/>
          <w:szCs w:val="22"/>
          <w:lang w:val="en-GB"/>
        </w:rPr>
        <w:t>Introduction</w:t>
      </w:r>
    </w:p>
    <w:p w:rsidR="000D67BC" w:rsidRPr="000E2B5A" w:rsidRDefault="000D67BC" w:rsidP="000D67BC">
      <w:pPr>
        <w:rPr>
          <w:bCs/>
          <w:sz w:val="22"/>
          <w:szCs w:val="22"/>
          <w:lang w:eastAsia="en-GB"/>
        </w:rPr>
      </w:pPr>
      <w:r w:rsidRPr="000E2B5A">
        <w:rPr>
          <w:bCs/>
          <w:sz w:val="22"/>
          <w:szCs w:val="22"/>
          <w:lang w:eastAsia="en-GB"/>
        </w:rPr>
        <w:t xml:space="preserve">Biblical contradictions (real or perceived) are used by </w:t>
      </w:r>
      <w:r w:rsidRPr="000E2B5A">
        <w:rPr>
          <w:bCs/>
          <w:sz w:val="22"/>
          <w:szCs w:val="22"/>
          <w:lang w:val="en-GB" w:eastAsia="en-GB"/>
        </w:rPr>
        <w:t>sceptics</w:t>
      </w:r>
      <w:r w:rsidRPr="000E2B5A">
        <w:rPr>
          <w:bCs/>
          <w:sz w:val="22"/>
          <w:szCs w:val="22"/>
          <w:lang w:eastAsia="en-GB"/>
        </w:rPr>
        <w:t xml:space="preserve"> to deny the inspiration of Scriptures and the doctrine of inerrancy. Nowhere is this more apparent than with the Gospel narratives, as they cover much of the same ground. Harmonization is used to inter-relate the materials of the Gospels so that they tell a single and continuous story. The first attempt at synchronization was by Tatian (2</w:t>
      </w:r>
      <w:r w:rsidRPr="000E2B5A">
        <w:rPr>
          <w:bCs/>
          <w:sz w:val="22"/>
          <w:szCs w:val="22"/>
          <w:vertAlign w:val="superscript"/>
          <w:lang w:eastAsia="en-GB"/>
        </w:rPr>
        <w:t>nd</w:t>
      </w:r>
      <w:r w:rsidRPr="000E2B5A">
        <w:rPr>
          <w:bCs/>
          <w:sz w:val="22"/>
          <w:szCs w:val="22"/>
          <w:lang w:eastAsia="en-GB"/>
        </w:rPr>
        <w:t xml:space="preserve"> century), called the </w:t>
      </w:r>
      <w:r w:rsidRPr="000E2B5A">
        <w:rPr>
          <w:bCs/>
          <w:i/>
          <w:iCs/>
          <w:sz w:val="22"/>
          <w:szCs w:val="22"/>
          <w:lang w:eastAsia="en-GB"/>
        </w:rPr>
        <w:t>Diatessaron.</w:t>
      </w:r>
      <w:r w:rsidRPr="000E2B5A">
        <w:rPr>
          <w:bCs/>
          <w:sz w:val="22"/>
          <w:szCs w:val="22"/>
          <w:lang w:eastAsia="en-GB"/>
        </w:rPr>
        <w:t xml:space="preserve"> </w:t>
      </w:r>
      <w:r w:rsidRPr="000E2B5A">
        <w:rPr>
          <w:bCs/>
          <w:sz w:val="22"/>
          <w:szCs w:val="22"/>
          <w:lang w:val="en-GB" w:eastAsia="en-GB"/>
        </w:rPr>
        <w:t>Harmoni</w:t>
      </w:r>
      <w:r w:rsidR="00131080" w:rsidRPr="000E2B5A">
        <w:rPr>
          <w:bCs/>
          <w:sz w:val="22"/>
          <w:szCs w:val="22"/>
          <w:lang w:val="en-GB" w:eastAsia="en-GB"/>
        </w:rPr>
        <w:t>s</w:t>
      </w:r>
      <w:r w:rsidRPr="000E2B5A">
        <w:rPr>
          <w:bCs/>
          <w:sz w:val="22"/>
          <w:szCs w:val="22"/>
          <w:lang w:val="en-GB" w:eastAsia="en-GB"/>
        </w:rPr>
        <w:t>ation</w:t>
      </w:r>
      <w:r w:rsidRPr="000E2B5A">
        <w:rPr>
          <w:bCs/>
          <w:sz w:val="22"/>
          <w:szCs w:val="22"/>
          <w:lang w:eastAsia="en-GB"/>
        </w:rPr>
        <w:t xml:space="preserve"> is used to iron out perceived inconsistencies or contradictions; when appropriately applied it is a valid technique, but sometimes differences are </w:t>
      </w:r>
      <w:r w:rsidRPr="000E2B5A">
        <w:rPr>
          <w:b/>
          <w:i/>
          <w:iCs/>
          <w:sz w:val="22"/>
          <w:szCs w:val="22"/>
          <w:lang w:eastAsia="en-GB"/>
        </w:rPr>
        <w:t>meant to stand.</w:t>
      </w:r>
      <w:r w:rsidRPr="000E2B5A">
        <w:rPr>
          <w:bCs/>
          <w:sz w:val="22"/>
          <w:szCs w:val="22"/>
          <w:lang w:eastAsia="en-GB"/>
        </w:rPr>
        <w:t xml:space="preserve"> The fact that we have four different Gospels means that we should first try to understand the differences before explaining them away. Our study will look at one of these </w:t>
      </w:r>
      <w:r w:rsidR="005D74CB" w:rsidRPr="000E2B5A">
        <w:rPr>
          <w:bCs/>
          <w:sz w:val="22"/>
          <w:szCs w:val="22"/>
          <w:lang w:eastAsia="en-GB"/>
        </w:rPr>
        <w:t>“</w:t>
      </w:r>
      <w:r w:rsidRPr="000E2B5A">
        <w:rPr>
          <w:bCs/>
          <w:sz w:val="22"/>
          <w:szCs w:val="22"/>
          <w:lang w:eastAsia="en-GB"/>
        </w:rPr>
        <w:t>discrepancies</w:t>
      </w:r>
      <w:r w:rsidR="005D74CB" w:rsidRPr="000E2B5A">
        <w:rPr>
          <w:bCs/>
          <w:sz w:val="22"/>
          <w:szCs w:val="22"/>
          <w:lang w:eastAsia="en-GB"/>
        </w:rPr>
        <w:t>”</w:t>
      </w:r>
      <w:r w:rsidRPr="000E2B5A">
        <w:rPr>
          <w:bCs/>
          <w:sz w:val="22"/>
          <w:szCs w:val="22"/>
          <w:lang w:eastAsia="en-GB"/>
        </w:rPr>
        <w:t>—the triumphal entry of Jerusalem by Jesus on Palm Sunday.</w:t>
      </w:r>
    </w:p>
    <w:p w:rsidR="000D67BC" w:rsidRPr="000E2B5A" w:rsidRDefault="000D67BC" w:rsidP="000D67BC">
      <w:pPr>
        <w:rPr>
          <w:bCs/>
          <w:sz w:val="22"/>
          <w:szCs w:val="22"/>
          <w:lang w:eastAsia="en-GB"/>
        </w:rPr>
      </w:pPr>
    </w:p>
    <w:p w:rsidR="000D67BC" w:rsidRPr="000E2B5A" w:rsidRDefault="008F06B8" w:rsidP="000D67BC">
      <w:pPr>
        <w:rPr>
          <w:rFonts w:ascii="Bradley Hand ITC" w:hAnsi="Bradley Hand ITC"/>
          <w:b/>
          <w:bCs/>
          <w:sz w:val="28"/>
          <w:szCs w:val="22"/>
          <w:lang w:eastAsia="en-GB"/>
        </w:rPr>
      </w:pPr>
      <w:r w:rsidRPr="000E2B5A">
        <w:rPr>
          <w:rFonts w:ascii="Bradley Hand ITC" w:hAnsi="Bradley Hand ITC"/>
          <w:b/>
          <w:bCs/>
          <w:sz w:val="28"/>
          <w:szCs w:val="22"/>
          <w:lang w:eastAsia="en-GB"/>
        </w:rPr>
        <w:t>Two</w:t>
      </w:r>
      <w:r w:rsidR="00D33D13" w:rsidRPr="000E2B5A">
        <w:rPr>
          <w:rFonts w:ascii="Bradley Hand ITC" w:hAnsi="Bradley Hand ITC"/>
          <w:b/>
          <w:bCs/>
          <w:sz w:val="28"/>
          <w:szCs w:val="22"/>
          <w:lang w:eastAsia="en-GB"/>
        </w:rPr>
        <w:t xml:space="preserve"> Stories</w:t>
      </w:r>
    </w:p>
    <w:p w:rsidR="008F06B8" w:rsidRPr="000E2B5A" w:rsidRDefault="00D33D13" w:rsidP="000D67BC">
      <w:pPr>
        <w:rPr>
          <w:bCs/>
          <w:sz w:val="22"/>
          <w:szCs w:val="22"/>
          <w:lang w:eastAsia="en-GB"/>
        </w:rPr>
      </w:pPr>
      <w:r w:rsidRPr="000E2B5A">
        <w:rPr>
          <w:bCs/>
          <w:sz w:val="22"/>
          <w:szCs w:val="22"/>
          <w:lang w:eastAsia="en-GB"/>
        </w:rPr>
        <w:t>Matthew sometimes records two stories that are similar:</w:t>
      </w:r>
    </w:p>
    <w:p w:rsidR="008F06B8" w:rsidRPr="000E2B5A" w:rsidRDefault="008F06B8" w:rsidP="000D67BC">
      <w:pPr>
        <w:rPr>
          <w:bCs/>
          <w:sz w:val="22"/>
          <w:szCs w:val="22"/>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5"/>
      </w:tblGrid>
      <w:tr w:rsidR="008F06B8" w:rsidRPr="000E2B5A" w:rsidTr="00D33D13">
        <w:tc>
          <w:tcPr>
            <w:tcW w:w="5265" w:type="dxa"/>
            <w:shd w:val="pct12" w:color="auto" w:fill="auto"/>
          </w:tcPr>
          <w:p w:rsidR="008F06B8" w:rsidRPr="000E2B5A" w:rsidRDefault="008F06B8" w:rsidP="001E54B0">
            <w:pPr>
              <w:rPr>
                <w:b/>
                <w:bCs/>
                <w:sz w:val="22"/>
                <w:szCs w:val="22"/>
                <w:lang w:eastAsia="en-GB"/>
              </w:rPr>
            </w:pPr>
            <w:r w:rsidRPr="000E2B5A">
              <w:rPr>
                <w:b/>
                <w:bCs/>
                <w:sz w:val="22"/>
                <w:szCs w:val="22"/>
                <w:lang w:eastAsia="en-GB"/>
              </w:rPr>
              <w:t>Matthew</w:t>
            </w:r>
          </w:p>
        </w:tc>
      </w:tr>
      <w:tr w:rsidR="008F06B8" w:rsidRPr="000E2B5A" w:rsidTr="00D33D13">
        <w:tc>
          <w:tcPr>
            <w:tcW w:w="5265" w:type="dxa"/>
          </w:tcPr>
          <w:p w:rsidR="008F06B8" w:rsidRPr="000E2B5A" w:rsidRDefault="008F06B8" w:rsidP="008F06B8">
            <w:pPr>
              <w:rPr>
                <w:bCs/>
                <w:sz w:val="22"/>
                <w:szCs w:val="22"/>
                <w:lang w:eastAsia="en-GB"/>
              </w:rPr>
            </w:pPr>
            <w:r w:rsidRPr="000E2B5A">
              <w:rPr>
                <w:bCs/>
                <w:sz w:val="22"/>
                <w:szCs w:val="22"/>
                <w:lang w:eastAsia="en-GB"/>
              </w:rPr>
              <w:t>Matt 9:32-34; 12:22-34 – healing a dumb demoniac</w:t>
            </w:r>
          </w:p>
        </w:tc>
      </w:tr>
      <w:tr w:rsidR="008F06B8" w:rsidRPr="000E2B5A" w:rsidTr="00D33D13">
        <w:tc>
          <w:tcPr>
            <w:tcW w:w="5265" w:type="dxa"/>
          </w:tcPr>
          <w:p w:rsidR="008F06B8" w:rsidRPr="000E2B5A" w:rsidRDefault="008F06B8" w:rsidP="008F06B8">
            <w:pPr>
              <w:rPr>
                <w:bCs/>
                <w:sz w:val="22"/>
                <w:szCs w:val="22"/>
                <w:lang w:eastAsia="en-GB"/>
              </w:rPr>
            </w:pPr>
            <w:r w:rsidRPr="000E2B5A">
              <w:rPr>
                <w:bCs/>
                <w:sz w:val="22"/>
                <w:szCs w:val="22"/>
                <w:lang w:eastAsia="en-GB"/>
              </w:rPr>
              <w:t>Matt 9:27-31; 20:29-34 – healing of two blind men</w:t>
            </w:r>
          </w:p>
        </w:tc>
      </w:tr>
      <w:tr w:rsidR="008F06B8" w:rsidRPr="000E2B5A" w:rsidTr="00D33D13">
        <w:tc>
          <w:tcPr>
            <w:tcW w:w="5265" w:type="dxa"/>
          </w:tcPr>
          <w:p w:rsidR="008F06B8" w:rsidRPr="000E2B5A" w:rsidRDefault="008F06B8" w:rsidP="008F06B8">
            <w:pPr>
              <w:rPr>
                <w:bCs/>
                <w:sz w:val="22"/>
                <w:szCs w:val="22"/>
                <w:lang w:eastAsia="en-GB"/>
              </w:rPr>
            </w:pPr>
            <w:r w:rsidRPr="000E2B5A">
              <w:rPr>
                <w:bCs/>
                <w:sz w:val="22"/>
                <w:szCs w:val="22"/>
                <w:lang w:eastAsia="en-GB"/>
              </w:rPr>
              <w:t>Matt 12:38-39; 16:1-4 – request for a sign</w:t>
            </w:r>
          </w:p>
        </w:tc>
      </w:tr>
    </w:tbl>
    <w:p w:rsidR="008F06B8" w:rsidRPr="000E2B5A" w:rsidRDefault="008F06B8" w:rsidP="000D67BC">
      <w:pPr>
        <w:rPr>
          <w:bCs/>
          <w:sz w:val="22"/>
          <w:szCs w:val="22"/>
          <w:lang w:eastAsia="en-GB"/>
        </w:rPr>
      </w:pPr>
    </w:p>
    <w:p w:rsidR="000D67BC" w:rsidRPr="000E2B5A" w:rsidRDefault="00D33D13" w:rsidP="000D67BC">
      <w:pPr>
        <w:rPr>
          <w:bCs/>
          <w:sz w:val="22"/>
          <w:szCs w:val="22"/>
          <w:lang w:eastAsia="en-GB"/>
        </w:rPr>
      </w:pPr>
      <w:r w:rsidRPr="000E2B5A">
        <w:rPr>
          <w:bCs/>
          <w:sz w:val="22"/>
          <w:szCs w:val="22"/>
          <w:lang w:eastAsia="en-GB"/>
        </w:rPr>
        <w:t>This is not exceptionable and easily accounted for by the fact that Jesus must have said and done very similar things throughout his ministry.</w:t>
      </w:r>
    </w:p>
    <w:p w:rsidR="00D33D13" w:rsidRPr="000E2B5A" w:rsidRDefault="00D33D13" w:rsidP="000D67BC">
      <w:pPr>
        <w:rPr>
          <w:bCs/>
          <w:sz w:val="22"/>
          <w:szCs w:val="22"/>
          <w:lang w:eastAsia="en-GB"/>
        </w:rPr>
      </w:pPr>
    </w:p>
    <w:p w:rsidR="00D33D13" w:rsidRPr="000E2B5A" w:rsidRDefault="00D33D13" w:rsidP="000D67BC">
      <w:pPr>
        <w:rPr>
          <w:rFonts w:ascii="Bradley Hand ITC" w:hAnsi="Bradley Hand ITC"/>
          <w:b/>
          <w:bCs/>
          <w:sz w:val="28"/>
          <w:szCs w:val="22"/>
          <w:lang w:eastAsia="en-GB"/>
        </w:rPr>
      </w:pPr>
      <w:r w:rsidRPr="000E2B5A">
        <w:rPr>
          <w:rFonts w:ascii="Bradley Hand ITC" w:hAnsi="Bradley Hand ITC"/>
          <w:b/>
          <w:bCs/>
          <w:sz w:val="28"/>
          <w:szCs w:val="22"/>
          <w:lang w:eastAsia="en-GB"/>
        </w:rPr>
        <w:t>Two Characters</w:t>
      </w:r>
    </w:p>
    <w:p w:rsidR="00D33D13" w:rsidRPr="000E2B5A" w:rsidRDefault="00D33D13" w:rsidP="000D67BC">
      <w:pPr>
        <w:rPr>
          <w:bCs/>
          <w:sz w:val="22"/>
          <w:szCs w:val="22"/>
          <w:lang w:eastAsia="en-GB"/>
        </w:rPr>
      </w:pPr>
      <w:r w:rsidRPr="000E2B5A">
        <w:rPr>
          <w:bCs/>
          <w:sz w:val="22"/>
          <w:szCs w:val="22"/>
          <w:lang w:eastAsia="en-GB"/>
        </w:rPr>
        <w:t>Matthew also has stories with two characters where the other gospels have one:</w:t>
      </w:r>
    </w:p>
    <w:p w:rsidR="00D33D13" w:rsidRPr="000E2B5A" w:rsidRDefault="00D33D13" w:rsidP="000D67BC">
      <w:pPr>
        <w:rPr>
          <w:bCs/>
          <w:sz w:val="22"/>
          <w:szCs w:val="22"/>
          <w:lang w:eastAsia="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3124"/>
      </w:tblGrid>
      <w:tr w:rsidR="000D67BC" w:rsidRPr="000E2B5A" w:rsidTr="00383B5C">
        <w:tc>
          <w:tcPr>
            <w:tcW w:w="3822" w:type="dxa"/>
            <w:shd w:val="pct12" w:color="auto" w:fill="auto"/>
          </w:tcPr>
          <w:p w:rsidR="000D67BC" w:rsidRPr="000E2B5A" w:rsidRDefault="000D67BC" w:rsidP="000D67BC">
            <w:pPr>
              <w:rPr>
                <w:b/>
                <w:bCs/>
                <w:sz w:val="22"/>
                <w:szCs w:val="22"/>
                <w:lang w:eastAsia="en-GB"/>
              </w:rPr>
            </w:pPr>
            <w:r w:rsidRPr="000E2B5A">
              <w:rPr>
                <w:b/>
                <w:bCs/>
                <w:sz w:val="22"/>
                <w:szCs w:val="22"/>
                <w:lang w:eastAsia="en-GB"/>
              </w:rPr>
              <w:t>Matthew</w:t>
            </w:r>
          </w:p>
        </w:tc>
        <w:tc>
          <w:tcPr>
            <w:tcW w:w="3124" w:type="dxa"/>
            <w:shd w:val="pct12" w:color="auto" w:fill="auto"/>
          </w:tcPr>
          <w:p w:rsidR="000D67BC" w:rsidRPr="000E2B5A" w:rsidRDefault="000D67BC" w:rsidP="000D67BC">
            <w:pPr>
              <w:rPr>
                <w:b/>
                <w:bCs/>
                <w:sz w:val="22"/>
                <w:szCs w:val="22"/>
                <w:lang w:eastAsia="en-GB"/>
              </w:rPr>
            </w:pPr>
            <w:r w:rsidRPr="000E2B5A">
              <w:rPr>
                <w:b/>
                <w:bCs/>
                <w:sz w:val="22"/>
                <w:szCs w:val="22"/>
                <w:lang w:eastAsia="en-GB"/>
              </w:rPr>
              <w:t>Mark//Luke</w:t>
            </w:r>
          </w:p>
        </w:tc>
      </w:tr>
      <w:tr w:rsidR="000D67BC" w:rsidRPr="000E2B5A" w:rsidTr="00383B5C">
        <w:tc>
          <w:tcPr>
            <w:tcW w:w="3822" w:type="dxa"/>
          </w:tcPr>
          <w:p w:rsidR="000D67BC" w:rsidRPr="000E2B5A" w:rsidRDefault="008F06B8" w:rsidP="000D67BC">
            <w:pPr>
              <w:rPr>
                <w:bCs/>
                <w:sz w:val="22"/>
                <w:szCs w:val="22"/>
                <w:lang w:eastAsia="en-GB"/>
              </w:rPr>
            </w:pPr>
            <w:r w:rsidRPr="000E2B5A">
              <w:rPr>
                <w:bCs/>
                <w:sz w:val="22"/>
                <w:szCs w:val="22"/>
                <w:lang w:eastAsia="en-GB"/>
              </w:rPr>
              <w:t xml:space="preserve">Matt </w:t>
            </w:r>
            <w:r w:rsidR="000D67BC" w:rsidRPr="000E2B5A">
              <w:rPr>
                <w:bCs/>
                <w:sz w:val="22"/>
                <w:szCs w:val="22"/>
                <w:lang w:eastAsia="en-GB"/>
              </w:rPr>
              <w:t>8:28 –   two possessed with devils</w:t>
            </w:r>
          </w:p>
        </w:tc>
        <w:tc>
          <w:tcPr>
            <w:tcW w:w="3124" w:type="dxa"/>
          </w:tcPr>
          <w:p w:rsidR="000D67BC" w:rsidRPr="000E2B5A" w:rsidRDefault="000D67BC" w:rsidP="00383B5C">
            <w:pPr>
              <w:rPr>
                <w:bCs/>
                <w:sz w:val="22"/>
                <w:szCs w:val="22"/>
                <w:lang w:eastAsia="en-GB"/>
              </w:rPr>
            </w:pPr>
            <w:r w:rsidRPr="000E2B5A">
              <w:rPr>
                <w:bCs/>
                <w:sz w:val="22"/>
                <w:szCs w:val="22"/>
                <w:lang w:eastAsia="en-GB"/>
              </w:rPr>
              <w:t>M</w:t>
            </w:r>
            <w:r w:rsidR="00383B5C" w:rsidRPr="000E2B5A">
              <w:rPr>
                <w:bCs/>
                <w:sz w:val="22"/>
                <w:szCs w:val="22"/>
                <w:lang w:eastAsia="en-GB"/>
              </w:rPr>
              <w:t xml:space="preserve">ark </w:t>
            </w:r>
            <w:r w:rsidRPr="000E2B5A">
              <w:rPr>
                <w:bCs/>
                <w:sz w:val="22"/>
                <w:szCs w:val="22"/>
                <w:lang w:eastAsia="en-GB"/>
              </w:rPr>
              <w:t>5:2</w:t>
            </w:r>
            <w:r w:rsidRPr="000E2B5A">
              <w:rPr>
                <w:b/>
                <w:bCs/>
                <w:sz w:val="22"/>
                <w:szCs w:val="22"/>
                <w:lang w:eastAsia="en-GB"/>
              </w:rPr>
              <w:t>//</w:t>
            </w:r>
            <w:r w:rsidRPr="000E2B5A">
              <w:rPr>
                <w:bCs/>
                <w:sz w:val="22"/>
                <w:szCs w:val="22"/>
                <w:lang w:eastAsia="en-GB"/>
              </w:rPr>
              <w:t>L</w:t>
            </w:r>
            <w:r w:rsidR="00383B5C" w:rsidRPr="000E2B5A">
              <w:rPr>
                <w:bCs/>
                <w:sz w:val="22"/>
                <w:szCs w:val="22"/>
                <w:lang w:eastAsia="en-GB"/>
              </w:rPr>
              <w:t>u</w:t>
            </w:r>
            <w:r w:rsidRPr="000E2B5A">
              <w:rPr>
                <w:bCs/>
                <w:sz w:val="22"/>
                <w:szCs w:val="22"/>
                <w:lang w:eastAsia="en-GB"/>
              </w:rPr>
              <w:t>k</w:t>
            </w:r>
            <w:r w:rsidR="00383B5C" w:rsidRPr="000E2B5A">
              <w:rPr>
                <w:bCs/>
                <w:sz w:val="22"/>
                <w:szCs w:val="22"/>
                <w:lang w:eastAsia="en-GB"/>
              </w:rPr>
              <w:t xml:space="preserve">e </w:t>
            </w:r>
            <w:r w:rsidRPr="000E2B5A">
              <w:rPr>
                <w:bCs/>
                <w:sz w:val="22"/>
                <w:szCs w:val="22"/>
                <w:lang w:eastAsia="en-GB"/>
              </w:rPr>
              <w:t>8:27</w:t>
            </w:r>
          </w:p>
        </w:tc>
      </w:tr>
      <w:tr w:rsidR="000D67BC" w:rsidRPr="000E2B5A" w:rsidTr="00383B5C">
        <w:tc>
          <w:tcPr>
            <w:tcW w:w="3822" w:type="dxa"/>
          </w:tcPr>
          <w:p w:rsidR="000D67BC" w:rsidRPr="000E2B5A" w:rsidRDefault="008F06B8" w:rsidP="000D67BC">
            <w:pPr>
              <w:rPr>
                <w:bCs/>
                <w:sz w:val="22"/>
                <w:szCs w:val="22"/>
                <w:lang w:eastAsia="en-GB"/>
              </w:rPr>
            </w:pPr>
            <w:r w:rsidRPr="000E2B5A">
              <w:rPr>
                <w:bCs/>
                <w:sz w:val="22"/>
                <w:szCs w:val="22"/>
                <w:lang w:eastAsia="en-GB"/>
              </w:rPr>
              <w:t xml:space="preserve">Matt </w:t>
            </w:r>
            <w:r w:rsidR="000D67BC" w:rsidRPr="000E2B5A">
              <w:rPr>
                <w:bCs/>
                <w:sz w:val="22"/>
                <w:szCs w:val="22"/>
                <w:lang w:eastAsia="en-GB"/>
              </w:rPr>
              <w:t>20:30 – two blind men</w:t>
            </w:r>
            <w:r w:rsidR="00776080" w:rsidRPr="000E2B5A">
              <w:rPr>
                <w:bCs/>
                <w:sz w:val="22"/>
                <w:szCs w:val="22"/>
                <w:lang w:eastAsia="en-GB"/>
              </w:rPr>
              <w:t>; cf. 9:27-31</w:t>
            </w:r>
          </w:p>
        </w:tc>
        <w:tc>
          <w:tcPr>
            <w:tcW w:w="3124" w:type="dxa"/>
          </w:tcPr>
          <w:p w:rsidR="000D67BC" w:rsidRPr="000E2B5A" w:rsidRDefault="000D67BC" w:rsidP="00776080">
            <w:pPr>
              <w:rPr>
                <w:bCs/>
                <w:sz w:val="22"/>
                <w:szCs w:val="22"/>
                <w:lang w:eastAsia="en-GB"/>
              </w:rPr>
            </w:pPr>
            <w:r w:rsidRPr="000E2B5A">
              <w:rPr>
                <w:bCs/>
                <w:sz w:val="22"/>
                <w:szCs w:val="22"/>
                <w:lang w:eastAsia="en-GB"/>
              </w:rPr>
              <w:t>M</w:t>
            </w:r>
            <w:r w:rsidR="00383B5C" w:rsidRPr="000E2B5A">
              <w:rPr>
                <w:bCs/>
                <w:sz w:val="22"/>
                <w:szCs w:val="22"/>
                <w:lang w:eastAsia="en-GB"/>
              </w:rPr>
              <w:t>ar</w:t>
            </w:r>
            <w:r w:rsidRPr="000E2B5A">
              <w:rPr>
                <w:bCs/>
                <w:sz w:val="22"/>
                <w:szCs w:val="22"/>
                <w:lang w:eastAsia="en-GB"/>
              </w:rPr>
              <w:t>k.10:46-52</w:t>
            </w:r>
            <w:r w:rsidRPr="000E2B5A">
              <w:rPr>
                <w:b/>
                <w:bCs/>
                <w:sz w:val="22"/>
                <w:szCs w:val="22"/>
                <w:lang w:eastAsia="en-GB"/>
              </w:rPr>
              <w:t>//</w:t>
            </w:r>
            <w:r w:rsidRPr="000E2B5A">
              <w:rPr>
                <w:bCs/>
                <w:sz w:val="22"/>
                <w:szCs w:val="22"/>
                <w:lang w:eastAsia="en-GB"/>
              </w:rPr>
              <w:t>L</w:t>
            </w:r>
            <w:r w:rsidR="00776080" w:rsidRPr="000E2B5A">
              <w:rPr>
                <w:bCs/>
                <w:sz w:val="22"/>
                <w:szCs w:val="22"/>
                <w:lang w:eastAsia="en-GB"/>
              </w:rPr>
              <w:t>u</w:t>
            </w:r>
            <w:r w:rsidRPr="000E2B5A">
              <w:rPr>
                <w:bCs/>
                <w:sz w:val="22"/>
                <w:szCs w:val="22"/>
                <w:lang w:eastAsia="en-GB"/>
              </w:rPr>
              <w:t>k</w:t>
            </w:r>
            <w:r w:rsidR="00776080" w:rsidRPr="000E2B5A">
              <w:rPr>
                <w:bCs/>
                <w:sz w:val="22"/>
                <w:szCs w:val="22"/>
                <w:lang w:eastAsia="en-GB"/>
              </w:rPr>
              <w:t xml:space="preserve">e </w:t>
            </w:r>
            <w:r w:rsidRPr="000E2B5A">
              <w:rPr>
                <w:bCs/>
                <w:sz w:val="22"/>
                <w:szCs w:val="22"/>
                <w:lang w:eastAsia="en-GB"/>
              </w:rPr>
              <w:t>18:35-43</w:t>
            </w:r>
          </w:p>
        </w:tc>
      </w:tr>
      <w:tr w:rsidR="000D67BC" w:rsidRPr="000E2B5A" w:rsidTr="00383B5C">
        <w:tc>
          <w:tcPr>
            <w:tcW w:w="3822" w:type="dxa"/>
          </w:tcPr>
          <w:p w:rsidR="000D67BC" w:rsidRPr="000E2B5A" w:rsidRDefault="008F06B8" w:rsidP="000D67BC">
            <w:pPr>
              <w:rPr>
                <w:bCs/>
                <w:sz w:val="22"/>
                <w:szCs w:val="22"/>
                <w:lang w:eastAsia="en-GB"/>
              </w:rPr>
            </w:pPr>
            <w:r w:rsidRPr="000E2B5A">
              <w:rPr>
                <w:bCs/>
                <w:sz w:val="22"/>
                <w:szCs w:val="22"/>
                <w:lang w:eastAsia="en-GB"/>
              </w:rPr>
              <w:t xml:space="preserve">Matt </w:t>
            </w:r>
            <w:r w:rsidR="000D67BC" w:rsidRPr="000E2B5A">
              <w:rPr>
                <w:bCs/>
                <w:sz w:val="22"/>
                <w:szCs w:val="22"/>
                <w:lang w:eastAsia="en-GB"/>
              </w:rPr>
              <w:t>21:2 –   two animals</w:t>
            </w:r>
          </w:p>
        </w:tc>
        <w:tc>
          <w:tcPr>
            <w:tcW w:w="3124" w:type="dxa"/>
          </w:tcPr>
          <w:p w:rsidR="000D67BC" w:rsidRPr="000E2B5A" w:rsidRDefault="000D67BC" w:rsidP="00776080">
            <w:pPr>
              <w:rPr>
                <w:bCs/>
                <w:sz w:val="22"/>
                <w:szCs w:val="22"/>
                <w:lang w:eastAsia="en-GB"/>
              </w:rPr>
            </w:pPr>
            <w:r w:rsidRPr="000E2B5A">
              <w:rPr>
                <w:bCs/>
                <w:sz w:val="22"/>
                <w:szCs w:val="22"/>
                <w:lang w:eastAsia="en-GB"/>
              </w:rPr>
              <w:t>M</w:t>
            </w:r>
            <w:r w:rsidR="00383B5C" w:rsidRPr="000E2B5A">
              <w:rPr>
                <w:bCs/>
                <w:sz w:val="22"/>
                <w:szCs w:val="22"/>
                <w:lang w:eastAsia="en-GB"/>
              </w:rPr>
              <w:t>ar</w:t>
            </w:r>
            <w:r w:rsidRPr="000E2B5A">
              <w:rPr>
                <w:bCs/>
                <w:sz w:val="22"/>
                <w:szCs w:val="22"/>
                <w:lang w:eastAsia="en-GB"/>
              </w:rPr>
              <w:t>k.11:2-10</w:t>
            </w:r>
            <w:r w:rsidRPr="000E2B5A">
              <w:rPr>
                <w:b/>
                <w:bCs/>
                <w:sz w:val="22"/>
                <w:szCs w:val="22"/>
                <w:lang w:eastAsia="en-GB"/>
              </w:rPr>
              <w:t>//</w:t>
            </w:r>
            <w:r w:rsidRPr="000E2B5A">
              <w:rPr>
                <w:bCs/>
                <w:sz w:val="22"/>
                <w:szCs w:val="22"/>
                <w:lang w:eastAsia="en-GB"/>
              </w:rPr>
              <w:t>L</w:t>
            </w:r>
            <w:r w:rsidR="00776080" w:rsidRPr="000E2B5A">
              <w:rPr>
                <w:bCs/>
                <w:sz w:val="22"/>
                <w:szCs w:val="22"/>
                <w:lang w:eastAsia="en-GB"/>
              </w:rPr>
              <w:t>u</w:t>
            </w:r>
            <w:r w:rsidRPr="000E2B5A">
              <w:rPr>
                <w:bCs/>
                <w:sz w:val="22"/>
                <w:szCs w:val="22"/>
                <w:lang w:eastAsia="en-GB"/>
              </w:rPr>
              <w:t>k</w:t>
            </w:r>
            <w:r w:rsidR="00776080" w:rsidRPr="000E2B5A">
              <w:rPr>
                <w:bCs/>
                <w:sz w:val="22"/>
                <w:szCs w:val="22"/>
                <w:lang w:eastAsia="en-GB"/>
              </w:rPr>
              <w:t xml:space="preserve">e </w:t>
            </w:r>
            <w:r w:rsidRPr="000E2B5A">
              <w:rPr>
                <w:bCs/>
                <w:sz w:val="22"/>
                <w:szCs w:val="22"/>
                <w:lang w:eastAsia="en-GB"/>
              </w:rPr>
              <w:t>19:30-40</w:t>
            </w:r>
            <w:r w:rsidRPr="000E2B5A">
              <w:rPr>
                <w:b/>
                <w:bCs/>
                <w:sz w:val="22"/>
                <w:szCs w:val="22"/>
                <w:lang w:eastAsia="en-GB"/>
              </w:rPr>
              <w:t>//</w:t>
            </w:r>
            <w:r w:rsidR="00776080" w:rsidRPr="000E2B5A">
              <w:rPr>
                <w:b/>
                <w:bCs/>
                <w:sz w:val="22"/>
                <w:szCs w:val="22"/>
                <w:lang w:eastAsia="en-GB"/>
              </w:rPr>
              <w:t xml:space="preserve"> </w:t>
            </w:r>
            <w:r w:rsidRPr="000E2B5A">
              <w:rPr>
                <w:bCs/>
                <w:sz w:val="22"/>
                <w:szCs w:val="22"/>
                <w:lang w:eastAsia="en-GB"/>
              </w:rPr>
              <w:t>J</w:t>
            </w:r>
            <w:r w:rsidR="00776080" w:rsidRPr="000E2B5A">
              <w:rPr>
                <w:bCs/>
                <w:sz w:val="22"/>
                <w:szCs w:val="22"/>
                <w:lang w:eastAsia="en-GB"/>
              </w:rPr>
              <w:t>oh</w:t>
            </w:r>
            <w:r w:rsidRPr="000E2B5A">
              <w:rPr>
                <w:bCs/>
                <w:sz w:val="22"/>
                <w:szCs w:val="22"/>
                <w:lang w:eastAsia="en-GB"/>
              </w:rPr>
              <w:t>n</w:t>
            </w:r>
            <w:r w:rsidR="00776080" w:rsidRPr="000E2B5A">
              <w:rPr>
                <w:bCs/>
                <w:sz w:val="22"/>
                <w:szCs w:val="22"/>
                <w:lang w:eastAsia="en-GB"/>
              </w:rPr>
              <w:t xml:space="preserve"> </w:t>
            </w:r>
            <w:r w:rsidRPr="000E2B5A">
              <w:rPr>
                <w:bCs/>
                <w:sz w:val="22"/>
                <w:szCs w:val="22"/>
                <w:lang w:eastAsia="en-GB"/>
              </w:rPr>
              <w:t>12:12-15</w:t>
            </w:r>
          </w:p>
        </w:tc>
      </w:tr>
    </w:tbl>
    <w:p w:rsidR="00383B5C" w:rsidRPr="000E2B5A" w:rsidRDefault="00383B5C" w:rsidP="000D67BC">
      <w:pPr>
        <w:rPr>
          <w:rStyle w:val="sup"/>
          <w:sz w:val="22"/>
          <w:szCs w:val="22"/>
        </w:rPr>
      </w:pPr>
    </w:p>
    <w:p w:rsidR="008F06B8" w:rsidRPr="000E2B5A" w:rsidRDefault="00D33D13" w:rsidP="008F06B8">
      <w:pPr>
        <w:rPr>
          <w:sz w:val="22"/>
          <w:szCs w:val="22"/>
          <w:lang w:eastAsia="en-GB"/>
        </w:rPr>
      </w:pPr>
      <w:r w:rsidRPr="000E2B5A">
        <w:rPr>
          <w:sz w:val="22"/>
          <w:szCs w:val="22"/>
          <w:lang w:eastAsia="en-GB"/>
        </w:rPr>
        <w:t xml:space="preserve">This can lead to problems of harmonization. For example, </w:t>
      </w:r>
      <w:r w:rsidR="008F06B8" w:rsidRPr="000E2B5A">
        <w:rPr>
          <w:sz w:val="22"/>
          <w:szCs w:val="22"/>
          <w:lang w:eastAsia="en-GB"/>
        </w:rPr>
        <w:t>Matthew</w:t>
      </w:r>
      <w:r w:rsidRPr="000E2B5A">
        <w:rPr>
          <w:sz w:val="22"/>
          <w:szCs w:val="22"/>
          <w:lang w:eastAsia="en-GB"/>
        </w:rPr>
        <w:t xml:space="preserve"> </w:t>
      </w:r>
      <w:r w:rsidR="008F06B8" w:rsidRPr="000E2B5A">
        <w:rPr>
          <w:sz w:val="22"/>
          <w:szCs w:val="22"/>
          <w:lang w:eastAsia="en-GB"/>
        </w:rPr>
        <w:t>has two blind men</w:t>
      </w:r>
      <w:r w:rsidRPr="000E2B5A">
        <w:rPr>
          <w:sz w:val="22"/>
          <w:szCs w:val="22"/>
          <w:lang w:eastAsia="en-GB"/>
        </w:rPr>
        <w:t xml:space="preserve"> whereas th</w:t>
      </w:r>
      <w:r w:rsidR="008F06B8" w:rsidRPr="000E2B5A">
        <w:rPr>
          <w:sz w:val="22"/>
          <w:szCs w:val="22"/>
          <w:lang w:eastAsia="en-GB"/>
        </w:rPr>
        <w:t xml:space="preserve">e other </w:t>
      </w:r>
      <w:r w:rsidRPr="000E2B5A">
        <w:rPr>
          <w:sz w:val="22"/>
          <w:szCs w:val="22"/>
          <w:lang w:eastAsia="en-GB"/>
        </w:rPr>
        <w:t>synoptic have</w:t>
      </w:r>
      <w:r w:rsidR="008F06B8" w:rsidRPr="000E2B5A">
        <w:rPr>
          <w:sz w:val="22"/>
          <w:szCs w:val="22"/>
          <w:lang w:eastAsia="en-GB"/>
        </w:rPr>
        <w:t xml:space="preserve"> Blind Bartimaeus</w:t>
      </w:r>
      <w:r w:rsidRPr="000E2B5A">
        <w:rPr>
          <w:sz w:val="22"/>
          <w:szCs w:val="22"/>
          <w:lang w:eastAsia="en-GB"/>
        </w:rPr>
        <w:t>. V</w:t>
      </w:r>
      <w:r w:rsidR="008F06B8" w:rsidRPr="000E2B5A">
        <w:rPr>
          <w:sz w:val="22"/>
          <w:szCs w:val="22"/>
          <w:lang w:eastAsia="en-GB"/>
        </w:rPr>
        <w:t xml:space="preserve">arious attempts have been made to harmonize the accounts. Among the solutions proposed is that they are </w:t>
      </w:r>
      <w:r w:rsidRPr="000E2B5A">
        <w:rPr>
          <w:sz w:val="22"/>
          <w:szCs w:val="22"/>
          <w:lang w:eastAsia="en-GB"/>
        </w:rPr>
        <w:t>an extended</w:t>
      </w:r>
      <w:r w:rsidR="008F06B8" w:rsidRPr="000E2B5A">
        <w:rPr>
          <w:sz w:val="22"/>
          <w:szCs w:val="22"/>
          <w:lang w:eastAsia="en-GB"/>
        </w:rPr>
        <w:t xml:space="preserve"> account</w:t>
      </w:r>
      <w:r w:rsidRPr="000E2B5A">
        <w:rPr>
          <w:sz w:val="22"/>
          <w:szCs w:val="22"/>
          <w:lang w:eastAsia="en-GB"/>
        </w:rPr>
        <w:t xml:space="preserve">. </w:t>
      </w:r>
      <w:r w:rsidR="008F06B8" w:rsidRPr="000E2B5A">
        <w:rPr>
          <w:sz w:val="22"/>
          <w:szCs w:val="22"/>
          <w:lang w:eastAsia="en-GB"/>
        </w:rPr>
        <w:t>Bartimaeus appealed to Jesus as he entered the city (L</w:t>
      </w:r>
      <w:r w:rsidRPr="000E2B5A">
        <w:rPr>
          <w:sz w:val="22"/>
          <w:szCs w:val="22"/>
          <w:lang w:eastAsia="en-GB"/>
        </w:rPr>
        <w:t>u</w:t>
      </w:r>
      <w:r w:rsidR="008F06B8" w:rsidRPr="000E2B5A">
        <w:rPr>
          <w:sz w:val="22"/>
          <w:szCs w:val="22"/>
          <w:lang w:eastAsia="en-GB"/>
        </w:rPr>
        <w:t>k</w:t>
      </w:r>
      <w:r w:rsidRPr="000E2B5A">
        <w:rPr>
          <w:sz w:val="22"/>
          <w:szCs w:val="22"/>
          <w:lang w:eastAsia="en-GB"/>
        </w:rPr>
        <w:t>e</w:t>
      </w:r>
      <w:r w:rsidR="008F06B8" w:rsidRPr="000E2B5A">
        <w:rPr>
          <w:sz w:val="22"/>
          <w:szCs w:val="22"/>
          <w:lang w:eastAsia="en-GB"/>
        </w:rPr>
        <w:t>) but had no response. Later, when Jesus left Jericho (M</w:t>
      </w:r>
      <w:r w:rsidRPr="000E2B5A">
        <w:rPr>
          <w:sz w:val="22"/>
          <w:szCs w:val="22"/>
          <w:lang w:eastAsia="en-GB"/>
        </w:rPr>
        <w:t>at</w:t>
      </w:r>
      <w:r w:rsidR="008F06B8" w:rsidRPr="000E2B5A">
        <w:rPr>
          <w:sz w:val="22"/>
          <w:szCs w:val="22"/>
          <w:lang w:eastAsia="en-GB"/>
        </w:rPr>
        <w:t xml:space="preserve">t), Bartimaeus and a fellow sufferer were waiting by the Jerusalem gate and pleaded again to be healed. This is probable and is supported by the Greek verbs </w:t>
      </w:r>
      <w:r w:rsidR="005D74CB" w:rsidRPr="000E2B5A">
        <w:rPr>
          <w:iCs/>
          <w:sz w:val="22"/>
          <w:szCs w:val="22"/>
          <w:lang w:eastAsia="en-GB"/>
        </w:rPr>
        <w:t>‘</w:t>
      </w:r>
      <w:r w:rsidR="008F06B8" w:rsidRPr="000E2B5A">
        <w:rPr>
          <w:iCs/>
          <w:sz w:val="22"/>
          <w:szCs w:val="22"/>
          <w:lang w:eastAsia="en-GB"/>
        </w:rPr>
        <w:t>passing through</w:t>
      </w:r>
      <w:r w:rsidR="005D74CB" w:rsidRPr="000E2B5A">
        <w:rPr>
          <w:iCs/>
          <w:sz w:val="22"/>
          <w:szCs w:val="22"/>
          <w:lang w:eastAsia="en-GB"/>
        </w:rPr>
        <w:t>’</w:t>
      </w:r>
      <w:r w:rsidR="008F06B8" w:rsidRPr="000E2B5A">
        <w:rPr>
          <w:sz w:val="22"/>
          <w:szCs w:val="22"/>
          <w:lang w:eastAsia="en-GB"/>
        </w:rPr>
        <w:t xml:space="preserve"> (</w:t>
      </w:r>
      <w:r w:rsidRPr="000E2B5A">
        <w:rPr>
          <w:rFonts w:ascii="Bwgrkl" w:hAnsi="Bwgrkl" w:cs="Bwgrkl"/>
          <w:bCs/>
          <w:color w:val="auto"/>
          <w:sz w:val="22"/>
          <w:lang w:eastAsia="en-GB" w:bidi="he-IL"/>
        </w:rPr>
        <w:t>diaporeu,omai</w:t>
      </w:r>
      <w:r w:rsidRPr="000E2B5A">
        <w:rPr>
          <w:sz w:val="22"/>
          <w:szCs w:val="22"/>
          <w:lang w:eastAsia="en-GB"/>
        </w:rPr>
        <w:t xml:space="preserve">, </w:t>
      </w:r>
      <w:r w:rsidR="008F06B8" w:rsidRPr="000E2B5A">
        <w:rPr>
          <w:sz w:val="22"/>
          <w:szCs w:val="22"/>
          <w:lang w:eastAsia="en-GB"/>
        </w:rPr>
        <w:t>L</w:t>
      </w:r>
      <w:r w:rsidRPr="000E2B5A">
        <w:rPr>
          <w:sz w:val="22"/>
          <w:szCs w:val="22"/>
          <w:lang w:eastAsia="en-GB"/>
        </w:rPr>
        <w:t xml:space="preserve">uke </w:t>
      </w:r>
      <w:r w:rsidR="008F06B8" w:rsidRPr="000E2B5A">
        <w:rPr>
          <w:sz w:val="22"/>
          <w:szCs w:val="22"/>
          <w:lang w:eastAsia="en-GB"/>
        </w:rPr>
        <w:t xml:space="preserve">18:36) contrasting with </w:t>
      </w:r>
      <w:r w:rsidR="005D74CB" w:rsidRPr="000E2B5A">
        <w:rPr>
          <w:iCs/>
          <w:sz w:val="22"/>
          <w:szCs w:val="22"/>
          <w:lang w:eastAsia="en-GB"/>
        </w:rPr>
        <w:t>‘</w:t>
      </w:r>
      <w:r w:rsidR="008F06B8" w:rsidRPr="000E2B5A">
        <w:rPr>
          <w:iCs/>
          <w:sz w:val="22"/>
          <w:szCs w:val="22"/>
          <w:lang w:eastAsia="en-GB"/>
        </w:rPr>
        <w:t>leaving</w:t>
      </w:r>
      <w:r w:rsidR="005D74CB" w:rsidRPr="000E2B5A">
        <w:rPr>
          <w:iCs/>
          <w:sz w:val="22"/>
          <w:szCs w:val="22"/>
          <w:lang w:eastAsia="en-GB"/>
        </w:rPr>
        <w:t>’</w:t>
      </w:r>
      <w:r w:rsidR="008F06B8" w:rsidRPr="000E2B5A">
        <w:rPr>
          <w:sz w:val="22"/>
          <w:szCs w:val="22"/>
          <w:lang w:eastAsia="en-GB"/>
        </w:rPr>
        <w:t xml:space="preserve"> (</w:t>
      </w:r>
      <w:r w:rsidRPr="000E2B5A">
        <w:rPr>
          <w:rFonts w:ascii="Bwgrkl" w:hAnsi="Bwgrkl" w:cs="Bwgrkl"/>
          <w:bCs/>
          <w:color w:val="auto"/>
          <w:sz w:val="22"/>
          <w:lang w:eastAsia="en-GB" w:bidi="he-IL"/>
        </w:rPr>
        <w:t>para,gw</w:t>
      </w:r>
      <w:r w:rsidRPr="000E2B5A">
        <w:rPr>
          <w:sz w:val="22"/>
          <w:szCs w:val="22"/>
          <w:lang w:eastAsia="en-GB"/>
        </w:rPr>
        <w:t xml:space="preserve">, </w:t>
      </w:r>
      <w:r w:rsidR="008F06B8" w:rsidRPr="000E2B5A">
        <w:rPr>
          <w:sz w:val="22"/>
          <w:szCs w:val="22"/>
          <w:lang w:eastAsia="en-GB"/>
        </w:rPr>
        <w:t>M</w:t>
      </w:r>
      <w:r w:rsidRPr="000E2B5A">
        <w:rPr>
          <w:sz w:val="22"/>
          <w:szCs w:val="22"/>
          <w:lang w:eastAsia="en-GB"/>
        </w:rPr>
        <w:t xml:space="preserve">att </w:t>
      </w:r>
      <w:r w:rsidR="008F06B8" w:rsidRPr="000E2B5A">
        <w:rPr>
          <w:sz w:val="22"/>
          <w:szCs w:val="22"/>
          <w:lang w:eastAsia="en-GB"/>
        </w:rPr>
        <w:t>20:30</w:t>
      </w:r>
      <w:r w:rsidRPr="000E2B5A">
        <w:rPr>
          <w:sz w:val="22"/>
          <w:szCs w:val="22"/>
          <w:lang w:eastAsia="en-GB"/>
        </w:rPr>
        <w:t>;</w:t>
      </w:r>
      <w:r w:rsidR="008F06B8" w:rsidRPr="000E2B5A">
        <w:rPr>
          <w:sz w:val="22"/>
          <w:szCs w:val="22"/>
          <w:lang w:eastAsia="en-GB"/>
        </w:rPr>
        <w:t xml:space="preserve"> </w:t>
      </w:r>
      <w:r w:rsidRPr="000E2B5A">
        <w:rPr>
          <w:sz w:val="22"/>
          <w:szCs w:val="22"/>
          <w:lang w:eastAsia="en-GB"/>
        </w:rPr>
        <w:t xml:space="preserve">cf. </w:t>
      </w:r>
      <w:r w:rsidR="008F06B8" w:rsidRPr="000E2B5A">
        <w:rPr>
          <w:sz w:val="22"/>
          <w:szCs w:val="22"/>
          <w:lang w:eastAsia="en-GB"/>
        </w:rPr>
        <w:t>.9:27). However, although the attempt to harmonize is driven by our need to square the narratives, it is largely irrelevant to the point that Matthew is making. Jesus must have healed hundreds of blind men – but here, only in Matthew</w:t>
      </w:r>
      <w:r w:rsidR="005D74CB" w:rsidRPr="000E2B5A">
        <w:rPr>
          <w:sz w:val="22"/>
          <w:szCs w:val="22"/>
          <w:lang w:eastAsia="en-GB"/>
        </w:rPr>
        <w:t>’</w:t>
      </w:r>
      <w:r w:rsidR="008F06B8" w:rsidRPr="000E2B5A">
        <w:rPr>
          <w:sz w:val="22"/>
          <w:szCs w:val="22"/>
          <w:lang w:eastAsia="en-GB"/>
        </w:rPr>
        <w:t xml:space="preserve">s Gospel – two blind men; </w:t>
      </w:r>
      <w:r w:rsidR="008F06B8" w:rsidRPr="000E2B5A">
        <w:rPr>
          <w:b/>
          <w:bCs/>
          <w:i/>
          <w:iCs/>
          <w:sz w:val="22"/>
          <w:szCs w:val="22"/>
          <w:lang w:eastAsia="en-GB"/>
        </w:rPr>
        <w:t>Jew and Gentile</w:t>
      </w:r>
      <w:r w:rsidR="008F06B8" w:rsidRPr="000E2B5A">
        <w:rPr>
          <w:sz w:val="22"/>
          <w:szCs w:val="22"/>
          <w:lang w:eastAsia="en-GB"/>
        </w:rPr>
        <w:t xml:space="preserve"> at the place </w:t>
      </w:r>
      <w:r w:rsidRPr="000E2B5A">
        <w:rPr>
          <w:sz w:val="22"/>
          <w:szCs w:val="22"/>
          <w:lang w:eastAsia="en-GB"/>
        </w:rPr>
        <w:t>where</w:t>
      </w:r>
      <w:r w:rsidR="008F06B8" w:rsidRPr="000E2B5A">
        <w:rPr>
          <w:sz w:val="22"/>
          <w:szCs w:val="22"/>
          <w:lang w:eastAsia="en-GB"/>
        </w:rPr>
        <w:t xml:space="preserve"> the nation had first entered the kingdom (and where the faithful Gentile woman Rahab had been saved). </w:t>
      </w:r>
    </w:p>
    <w:p w:rsidR="00383B5C" w:rsidRPr="000E2B5A" w:rsidRDefault="00383B5C" w:rsidP="000D67BC">
      <w:pPr>
        <w:rPr>
          <w:rStyle w:val="sup"/>
          <w:sz w:val="22"/>
          <w:szCs w:val="22"/>
        </w:rPr>
      </w:pPr>
    </w:p>
    <w:p w:rsidR="00D33D13" w:rsidRPr="000E2B5A" w:rsidRDefault="00D33D13" w:rsidP="000D67BC">
      <w:pPr>
        <w:rPr>
          <w:rStyle w:val="sup"/>
          <w:rFonts w:ascii="Bradley Hand ITC" w:hAnsi="Bradley Hand ITC"/>
          <w:b/>
          <w:sz w:val="28"/>
          <w:szCs w:val="22"/>
        </w:rPr>
      </w:pPr>
      <w:r w:rsidRPr="000E2B5A">
        <w:rPr>
          <w:rStyle w:val="sup"/>
          <w:rFonts w:ascii="Bradley Hand ITC" w:hAnsi="Bradley Hand ITC"/>
          <w:b/>
          <w:sz w:val="28"/>
          <w:szCs w:val="22"/>
        </w:rPr>
        <w:t>Triumphal Entry</w:t>
      </w:r>
    </w:p>
    <w:p w:rsidR="00D33D13" w:rsidRPr="000E2B5A" w:rsidRDefault="00D33D13" w:rsidP="00D33D13">
      <w:pPr>
        <w:rPr>
          <w:bCs/>
          <w:sz w:val="22"/>
          <w:szCs w:val="22"/>
          <w:lang w:eastAsia="en-GB"/>
        </w:rPr>
      </w:pPr>
      <w:r w:rsidRPr="000E2B5A">
        <w:rPr>
          <w:bCs/>
          <w:sz w:val="22"/>
          <w:szCs w:val="22"/>
          <w:lang w:eastAsia="en-GB"/>
        </w:rPr>
        <w:t>Jesus entered Jerusalem riding an ass – this was obviously, consciously, done by Jesus in order to fulfill the prophecy in Zech 9:9. The people also understood the significance of the procession against its OT background.</w:t>
      </w:r>
      <w:bookmarkStart w:id="1" w:name="T13"/>
      <w:r w:rsidRPr="000E2B5A">
        <w:rPr>
          <w:bCs/>
          <w:sz w:val="22"/>
          <w:szCs w:val="22"/>
          <w:lang w:eastAsia="en-GB"/>
        </w:rPr>
        <w:t xml:space="preserve"> </w:t>
      </w:r>
      <w:bookmarkEnd w:id="1"/>
      <w:r w:rsidRPr="000E2B5A">
        <w:rPr>
          <w:bCs/>
          <w:sz w:val="22"/>
          <w:szCs w:val="22"/>
          <w:lang w:eastAsia="en-GB"/>
        </w:rPr>
        <w:t xml:space="preserve"> Why then does Matthew</w:t>
      </w:r>
      <w:r w:rsidR="005D74CB" w:rsidRPr="000E2B5A">
        <w:rPr>
          <w:bCs/>
          <w:sz w:val="22"/>
          <w:szCs w:val="22"/>
          <w:lang w:eastAsia="en-GB"/>
        </w:rPr>
        <w:t>’</w:t>
      </w:r>
      <w:r w:rsidRPr="000E2B5A">
        <w:rPr>
          <w:bCs/>
          <w:sz w:val="22"/>
          <w:szCs w:val="22"/>
          <w:lang w:eastAsia="en-GB"/>
        </w:rPr>
        <w:t xml:space="preserve">s report of the incident differ from that of the other Gospel accounts? Matthew reports Jesus riding on two donkeys (instead of one Matt 21:2-3, 5, 7) – naturally the </w:t>
      </w:r>
      <w:r w:rsidRPr="000E2B5A">
        <w:rPr>
          <w:bCs/>
          <w:sz w:val="22"/>
          <w:szCs w:val="22"/>
          <w:lang w:val="en-GB" w:eastAsia="en-GB"/>
        </w:rPr>
        <w:t>sceptics</w:t>
      </w:r>
      <w:r w:rsidRPr="000E2B5A">
        <w:rPr>
          <w:bCs/>
          <w:sz w:val="22"/>
          <w:szCs w:val="22"/>
          <w:lang w:eastAsia="en-GB"/>
        </w:rPr>
        <w:t xml:space="preserve"> have a field day with this, depicting Jesus astride two donkeys (like some sort of circus act).   Bad attempts have been made to harmonize the accounts; Clement of Alexander, for example, suggested that an oriental throne was supported by the two animals. Not only is this unlikely, it ignores the fact that Matthew often has duplicate stories and stories with two characters. </w:t>
      </w:r>
    </w:p>
    <w:p w:rsidR="00D33D13" w:rsidRPr="000E2B5A" w:rsidRDefault="00D33D13" w:rsidP="000D67BC">
      <w:pPr>
        <w:rPr>
          <w:rStyle w:val="sup"/>
          <w:sz w:val="22"/>
          <w:szCs w:val="22"/>
        </w:rPr>
      </w:pPr>
    </w:p>
    <w:p w:rsidR="000D67BC" w:rsidRPr="000E2B5A" w:rsidRDefault="000D67BC" w:rsidP="000D67BC">
      <w:pPr>
        <w:rPr>
          <w:rStyle w:val="sup"/>
          <w:sz w:val="22"/>
          <w:szCs w:val="22"/>
        </w:rPr>
      </w:pPr>
      <w:r w:rsidRPr="000E2B5A">
        <w:rPr>
          <w:rStyle w:val="sup"/>
          <w:sz w:val="22"/>
          <w:szCs w:val="22"/>
        </w:rPr>
        <w:t>The prophecy in Zechariah 9 is in the form of a parallelism</w:t>
      </w:r>
      <w:r w:rsidR="00776080" w:rsidRPr="000E2B5A">
        <w:rPr>
          <w:rStyle w:val="sup"/>
          <w:sz w:val="22"/>
          <w:szCs w:val="22"/>
        </w:rPr>
        <w:t xml:space="preserve">, </w:t>
      </w:r>
      <w:r w:rsidRPr="000E2B5A">
        <w:rPr>
          <w:rStyle w:val="sup"/>
          <w:sz w:val="22"/>
          <w:szCs w:val="22"/>
        </w:rPr>
        <w:t>referring to one animal not two:</w:t>
      </w:r>
    </w:p>
    <w:p w:rsidR="00776080" w:rsidRPr="000E2B5A" w:rsidRDefault="00776080" w:rsidP="000D67BC">
      <w:pPr>
        <w:rPr>
          <w:rStyle w:val="sup"/>
          <w:sz w:val="22"/>
          <w:szCs w:val="22"/>
        </w:rPr>
      </w:pPr>
    </w:p>
    <w:p w:rsidR="000D67BC" w:rsidRPr="000E2B5A" w:rsidRDefault="000D67BC" w:rsidP="00776080">
      <w:pPr>
        <w:pStyle w:val="Quote"/>
      </w:pPr>
      <w:r w:rsidRPr="000E2B5A">
        <w:t xml:space="preserve">Rejoice greatly, O daughter of Zion; shout, O daughter of Jerusalem: behold, thy King cometh unto thee: he is just, and having salvation; lowly, and riding upon an ass, and </w:t>
      </w:r>
      <w:r w:rsidR="00131080" w:rsidRPr="000E2B5A">
        <w:t xml:space="preserve">(even) </w:t>
      </w:r>
      <w:r w:rsidRPr="000E2B5A">
        <w:t>upon a colt the foal of an ass.</w:t>
      </w:r>
      <w:r w:rsidR="00776080" w:rsidRPr="000E2B5A">
        <w:t xml:space="preserve"> Zech 9:9 (KJV</w:t>
      </w:r>
      <w:r w:rsidR="00131080" w:rsidRPr="000E2B5A">
        <w:t xml:space="preserve"> revised</w:t>
      </w:r>
      <w:r w:rsidR="00776080" w:rsidRPr="000E2B5A">
        <w:t>)</w:t>
      </w:r>
    </w:p>
    <w:p w:rsidR="00776080" w:rsidRPr="000E2B5A" w:rsidRDefault="00776080" w:rsidP="000D67BC">
      <w:pPr>
        <w:rPr>
          <w:sz w:val="22"/>
          <w:szCs w:val="22"/>
        </w:rPr>
      </w:pPr>
    </w:p>
    <w:p w:rsidR="000D67BC" w:rsidRPr="000E2B5A" w:rsidRDefault="000D67BC" w:rsidP="000D67BC">
      <w:pPr>
        <w:rPr>
          <w:sz w:val="22"/>
          <w:szCs w:val="22"/>
          <w:lang w:eastAsia="en-GB"/>
        </w:rPr>
      </w:pPr>
      <w:r w:rsidRPr="000E2B5A">
        <w:rPr>
          <w:sz w:val="22"/>
          <w:szCs w:val="22"/>
          <w:lang w:eastAsia="en-GB"/>
        </w:rPr>
        <w:t>This prophecy becomes two animals in Matthew</w:t>
      </w:r>
      <w:r w:rsidR="005D74CB" w:rsidRPr="000E2B5A">
        <w:rPr>
          <w:sz w:val="22"/>
          <w:szCs w:val="22"/>
          <w:lang w:eastAsia="en-GB"/>
        </w:rPr>
        <w:t>’</w:t>
      </w:r>
      <w:r w:rsidRPr="000E2B5A">
        <w:rPr>
          <w:sz w:val="22"/>
          <w:szCs w:val="22"/>
          <w:lang w:eastAsia="en-GB"/>
        </w:rPr>
        <w:t>s version:</w:t>
      </w:r>
    </w:p>
    <w:p w:rsidR="000D67BC" w:rsidRPr="000E2B5A" w:rsidRDefault="000D67BC" w:rsidP="00776080">
      <w:pPr>
        <w:pStyle w:val="Quote"/>
        <w:rPr>
          <w:lang w:eastAsia="en-GB"/>
        </w:rPr>
      </w:pPr>
      <w:r w:rsidRPr="000E2B5A">
        <w:rPr>
          <w:lang w:eastAsia="en-GB"/>
        </w:rPr>
        <w:lastRenderedPageBreak/>
        <w:t xml:space="preserve">Tell ye the daughter of Sion, Behold, thy King cometh unto thee, meek, and sitting upon an ass, and a colt the foal of an ass. And the disciples went, and did as Jesus commanded them, </w:t>
      </w:r>
      <w:r w:rsidRPr="000E2B5A">
        <w:rPr>
          <w:b/>
          <w:lang w:eastAsia="en-GB"/>
        </w:rPr>
        <w:t>and brought the ass, and the colt,</w:t>
      </w:r>
      <w:r w:rsidRPr="000E2B5A">
        <w:rPr>
          <w:lang w:eastAsia="en-GB"/>
        </w:rPr>
        <w:t xml:space="preserve"> and put on them their clothes, and they set him thereon. M</w:t>
      </w:r>
      <w:r w:rsidR="00776080" w:rsidRPr="000E2B5A">
        <w:rPr>
          <w:lang w:eastAsia="en-GB"/>
        </w:rPr>
        <w:t>a</w:t>
      </w:r>
      <w:r w:rsidRPr="000E2B5A">
        <w:rPr>
          <w:lang w:eastAsia="en-GB"/>
        </w:rPr>
        <w:t>t</w:t>
      </w:r>
      <w:r w:rsidR="00776080" w:rsidRPr="000E2B5A">
        <w:rPr>
          <w:lang w:eastAsia="en-GB"/>
        </w:rPr>
        <w:t xml:space="preserve">t </w:t>
      </w:r>
      <w:r w:rsidRPr="000E2B5A">
        <w:rPr>
          <w:lang w:eastAsia="en-GB"/>
        </w:rPr>
        <w:t>21:5-7</w:t>
      </w:r>
      <w:r w:rsidR="00776080" w:rsidRPr="000E2B5A">
        <w:rPr>
          <w:lang w:eastAsia="en-GB"/>
        </w:rPr>
        <w:t xml:space="preserve"> (KJV</w:t>
      </w:r>
      <w:r w:rsidRPr="000E2B5A">
        <w:rPr>
          <w:lang w:eastAsia="en-GB"/>
        </w:rPr>
        <w:t xml:space="preserve">) </w:t>
      </w:r>
    </w:p>
    <w:p w:rsidR="00776080" w:rsidRPr="000E2B5A" w:rsidRDefault="00776080" w:rsidP="000D67BC">
      <w:pPr>
        <w:rPr>
          <w:sz w:val="22"/>
          <w:szCs w:val="22"/>
          <w:lang w:val="en-GB" w:eastAsia="en-GB"/>
        </w:rPr>
      </w:pPr>
    </w:p>
    <w:p w:rsidR="00131080" w:rsidRPr="000E2B5A" w:rsidRDefault="000D67BC" w:rsidP="000D67BC">
      <w:pPr>
        <w:rPr>
          <w:sz w:val="22"/>
          <w:szCs w:val="22"/>
          <w:lang w:eastAsia="en-GB"/>
        </w:rPr>
      </w:pPr>
      <w:r w:rsidRPr="000E2B5A">
        <w:rPr>
          <w:sz w:val="22"/>
          <w:szCs w:val="22"/>
          <w:lang w:eastAsia="en-GB"/>
        </w:rPr>
        <w:t>The donkey in the OT represents Israel</w:t>
      </w:r>
      <w:r w:rsidR="00776080" w:rsidRPr="000E2B5A">
        <w:rPr>
          <w:sz w:val="22"/>
          <w:szCs w:val="22"/>
          <w:lang w:eastAsia="en-GB"/>
        </w:rPr>
        <w:t>; riding</w:t>
      </w:r>
      <w:r w:rsidRPr="000E2B5A">
        <w:rPr>
          <w:sz w:val="22"/>
          <w:szCs w:val="22"/>
          <w:lang w:eastAsia="en-GB"/>
        </w:rPr>
        <w:t xml:space="preserve"> or owning a donkey is a metaphor for sovereignty over Israel, </w:t>
      </w:r>
      <w:r w:rsidR="00131080" w:rsidRPr="000E2B5A">
        <w:rPr>
          <w:sz w:val="22"/>
          <w:szCs w:val="22"/>
          <w:lang w:eastAsia="en-GB"/>
        </w:rPr>
        <w:t xml:space="preserve">and </w:t>
      </w:r>
      <w:r w:rsidRPr="000E2B5A">
        <w:rPr>
          <w:sz w:val="22"/>
          <w:szCs w:val="22"/>
          <w:lang w:eastAsia="en-GB"/>
        </w:rPr>
        <w:t>therefore by extension of the metaphor it symbolizes leadership or royalty.</w:t>
      </w:r>
      <w:r w:rsidRPr="000E2B5A">
        <w:rPr>
          <w:b/>
          <w:sz w:val="22"/>
          <w:szCs w:val="22"/>
          <w:lang w:eastAsia="en-GB"/>
        </w:rPr>
        <w:t xml:space="preserve"> </w:t>
      </w:r>
      <w:r w:rsidRPr="000E2B5A">
        <w:rPr>
          <w:sz w:val="22"/>
          <w:szCs w:val="22"/>
          <w:lang w:eastAsia="en-GB"/>
        </w:rPr>
        <w:t>Matthew was obviously aware of the parallelism in the Zechariah prophecy, yet he deliberately mentions two animals. Many scholars believe that Matthew</w:t>
      </w:r>
      <w:r w:rsidR="005D74CB" w:rsidRPr="000E2B5A">
        <w:rPr>
          <w:sz w:val="22"/>
          <w:szCs w:val="22"/>
          <w:lang w:eastAsia="en-GB"/>
        </w:rPr>
        <w:t>’</w:t>
      </w:r>
      <w:r w:rsidRPr="000E2B5A">
        <w:rPr>
          <w:sz w:val="22"/>
          <w:szCs w:val="22"/>
          <w:lang w:eastAsia="en-GB"/>
        </w:rPr>
        <w:t>s urge to duplicate rests on the OT validity of establishing everything on the testimony of two witnesses</w:t>
      </w:r>
      <w:r w:rsidR="00776080" w:rsidRPr="000E2B5A">
        <w:rPr>
          <w:sz w:val="22"/>
          <w:szCs w:val="22"/>
          <w:lang w:eastAsia="en-GB"/>
        </w:rPr>
        <w:t xml:space="preserve"> (Deut </w:t>
      </w:r>
      <w:r w:rsidRPr="000E2B5A">
        <w:rPr>
          <w:sz w:val="22"/>
          <w:szCs w:val="22"/>
          <w:lang w:eastAsia="en-GB"/>
        </w:rPr>
        <w:t xml:space="preserve">17:6). However, this seems very unlikely; a far more likely motive is that the urge to duplicate rests on the need to represent </w:t>
      </w:r>
      <w:r w:rsidRPr="000E2B5A">
        <w:rPr>
          <w:b/>
          <w:i/>
          <w:sz w:val="22"/>
          <w:szCs w:val="22"/>
          <w:lang w:eastAsia="en-GB"/>
        </w:rPr>
        <w:t>both Jew and Gentile.</w:t>
      </w:r>
      <w:r w:rsidRPr="000E2B5A">
        <w:rPr>
          <w:sz w:val="22"/>
          <w:szCs w:val="22"/>
          <w:lang w:eastAsia="en-GB"/>
        </w:rPr>
        <w:t xml:space="preserve">  </w:t>
      </w:r>
    </w:p>
    <w:p w:rsidR="00131080" w:rsidRPr="000E2B5A" w:rsidRDefault="00131080" w:rsidP="000D67BC">
      <w:pPr>
        <w:rPr>
          <w:sz w:val="22"/>
          <w:szCs w:val="22"/>
          <w:lang w:eastAsia="en-GB"/>
        </w:rPr>
      </w:pPr>
    </w:p>
    <w:p w:rsidR="000D67BC" w:rsidRPr="000E2B5A" w:rsidRDefault="00776080" w:rsidP="000D67BC">
      <w:pPr>
        <w:rPr>
          <w:sz w:val="22"/>
          <w:szCs w:val="22"/>
          <w:lang w:eastAsia="en-GB"/>
        </w:rPr>
      </w:pPr>
      <w:r w:rsidRPr="000E2B5A">
        <w:rPr>
          <w:sz w:val="22"/>
          <w:szCs w:val="22"/>
          <w:lang w:eastAsia="en-GB"/>
        </w:rPr>
        <w:t>Matthew</w:t>
      </w:r>
      <w:r w:rsidR="005D74CB" w:rsidRPr="000E2B5A">
        <w:rPr>
          <w:sz w:val="22"/>
          <w:szCs w:val="22"/>
          <w:lang w:eastAsia="en-GB"/>
        </w:rPr>
        <w:t>’</w:t>
      </w:r>
      <w:r w:rsidRPr="000E2B5A">
        <w:rPr>
          <w:sz w:val="22"/>
          <w:szCs w:val="22"/>
          <w:lang w:eastAsia="en-GB"/>
        </w:rPr>
        <w:t xml:space="preserve">s Gospel is </w:t>
      </w:r>
      <w:r w:rsidR="000D67BC" w:rsidRPr="000E2B5A">
        <w:rPr>
          <w:sz w:val="22"/>
          <w:szCs w:val="22"/>
          <w:lang w:eastAsia="en-GB"/>
        </w:rPr>
        <w:t>at one and the same time the most particu</w:t>
      </w:r>
      <w:r w:rsidR="00131080" w:rsidRPr="000E2B5A">
        <w:rPr>
          <w:sz w:val="22"/>
          <w:szCs w:val="22"/>
          <w:lang w:eastAsia="en-GB"/>
        </w:rPr>
        <w:t>lar and the most universal</w:t>
      </w:r>
      <w:r w:rsidR="000D67BC" w:rsidRPr="000E2B5A">
        <w:rPr>
          <w:sz w:val="22"/>
          <w:szCs w:val="22"/>
          <w:lang w:eastAsia="en-GB"/>
        </w:rPr>
        <w:t>. He includes statements in conjunction with his healings and those of his disciples which reserve their miracle working power for Israel (</w:t>
      </w:r>
      <w:r w:rsidRPr="000E2B5A">
        <w:rPr>
          <w:sz w:val="22"/>
          <w:szCs w:val="22"/>
          <w:lang w:eastAsia="en-GB"/>
        </w:rPr>
        <w:t xml:space="preserve">Matt </w:t>
      </w:r>
      <w:r w:rsidR="000D67BC" w:rsidRPr="000E2B5A">
        <w:rPr>
          <w:sz w:val="22"/>
          <w:szCs w:val="22"/>
          <w:lang w:eastAsia="en-GB"/>
        </w:rPr>
        <w:t xml:space="preserve">10:5-6; 15:24). In his healing ministry </w:t>
      </w:r>
      <w:r w:rsidRPr="000E2B5A">
        <w:rPr>
          <w:sz w:val="22"/>
          <w:szCs w:val="22"/>
          <w:lang w:eastAsia="en-GB"/>
        </w:rPr>
        <w:t>towards</w:t>
      </w:r>
      <w:r w:rsidR="000D67BC" w:rsidRPr="000E2B5A">
        <w:rPr>
          <w:sz w:val="22"/>
          <w:szCs w:val="22"/>
          <w:lang w:eastAsia="en-GB"/>
        </w:rPr>
        <w:t xml:space="preserve"> the crowds, he </w:t>
      </w:r>
      <w:r w:rsidRPr="000E2B5A">
        <w:rPr>
          <w:sz w:val="22"/>
          <w:szCs w:val="22"/>
          <w:lang w:eastAsia="en-GB"/>
        </w:rPr>
        <w:t>is</w:t>
      </w:r>
      <w:r w:rsidR="000D67BC" w:rsidRPr="000E2B5A">
        <w:rPr>
          <w:sz w:val="22"/>
          <w:szCs w:val="22"/>
          <w:lang w:eastAsia="en-GB"/>
        </w:rPr>
        <w:t xml:space="preserve"> presenting himself as the healer of Israel, where the nation</w:t>
      </w:r>
      <w:r w:rsidR="005D74CB" w:rsidRPr="000E2B5A">
        <w:rPr>
          <w:sz w:val="22"/>
          <w:szCs w:val="22"/>
          <w:lang w:eastAsia="en-GB"/>
        </w:rPr>
        <w:t>’</w:t>
      </w:r>
      <w:r w:rsidR="000D67BC" w:rsidRPr="000E2B5A">
        <w:rPr>
          <w:sz w:val="22"/>
          <w:szCs w:val="22"/>
          <w:lang w:eastAsia="en-GB"/>
        </w:rPr>
        <w:t>s healers have failed. Yet, upon seeing the Canaanite woman</w:t>
      </w:r>
      <w:r w:rsidR="005D74CB" w:rsidRPr="000E2B5A">
        <w:rPr>
          <w:sz w:val="22"/>
          <w:szCs w:val="22"/>
          <w:lang w:eastAsia="en-GB"/>
        </w:rPr>
        <w:t>’</w:t>
      </w:r>
      <w:r w:rsidR="000D67BC" w:rsidRPr="000E2B5A">
        <w:rPr>
          <w:sz w:val="22"/>
          <w:szCs w:val="22"/>
          <w:lang w:eastAsia="en-GB"/>
        </w:rPr>
        <w:t>s faith, he is persuaded to heal her daughter (</w:t>
      </w:r>
      <w:r w:rsidRPr="000E2B5A">
        <w:rPr>
          <w:sz w:val="22"/>
          <w:szCs w:val="22"/>
          <w:lang w:eastAsia="en-GB"/>
        </w:rPr>
        <w:t xml:space="preserve">Matt </w:t>
      </w:r>
      <w:r w:rsidR="000D67BC" w:rsidRPr="000E2B5A">
        <w:rPr>
          <w:sz w:val="22"/>
          <w:szCs w:val="22"/>
          <w:lang w:eastAsia="en-GB"/>
        </w:rPr>
        <w:t>15:28). The resolution of this apparent tension is to recognize Matthew</w:t>
      </w:r>
      <w:r w:rsidR="005D74CB" w:rsidRPr="000E2B5A">
        <w:rPr>
          <w:sz w:val="22"/>
          <w:szCs w:val="22"/>
          <w:lang w:eastAsia="en-GB"/>
        </w:rPr>
        <w:t>’</w:t>
      </w:r>
      <w:r w:rsidR="000D67BC" w:rsidRPr="000E2B5A">
        <w:rPr>
          <w:sz w:val="22"/>
          <w:szCs w:val="22"/>
          <w:lang w:eastAsia="en-GB"/>
        </w:rPr>
        <w:t>s view of salvation</w:t>
      </w:r>
      <w:r w:rsidRPr="000E2B5A">
        <w:rPr>
          <w:sz w:val="22"/>
          <w:szCs w:val="22"/>
          <w:lang w:eastAsia="en-GB"/>
        </w:rPr>
        <w:t>-</w:t>
      </w:r>
      <w:r w:rsidR="000D67BC" w:rsidRPr="000E2B5A">
        <w:rPr>
          <w:sz w:val="22"/>
          <w:szCs w:val="22"/>
          <w:lang w:eastAsia="en-GB"/>
        </w:rPr>
        <w:t>history</w:t>
      </w:r>
      <w:r w:rsidRPr="000E2B5A">
        <w:rPr>
          <w:sz w:val="22"/>
          <w:szCs w:val="22"/>
          <w:lang w:eastAsia="en-GB"/>
        </w:rPr>
        <w:t>:</w:t>
      </w:r>
      <w:r w:rsidR="000D67BC" w:rsidRPr="000E2B5A">
        <w:rPr>
          <w:sz w:val="22"/>
          <w:szCs w:val="22"/>
          <w:lang w:eastAsia="en-GB"/>
        </w:rPr>
        <w:t xml:space="preserve"> God</w:t>
      </w:r>
      <w:r w:rsidR="005D74CB" w:rsidRPr="000E2B5A">
        <w:rPr>
          <w:sz w:val="22"/>
          <w:szCs w:val="22"/>
          <w:lang w:eastAsia="en-GB"/>
        </w:rPr>
        <w:t>’</w:t>
      </w:r>
      <w:r w:rsidR="000D67BC" w:rsidRPr="000E2B5A">
        <w:rPr>
          <w:sz w:val="22"/>
          <w:szCs w:val="22"/>
          <w:lang w:eastAsia="en-GB"/>
        </w:rPr>
        <w:t xml:space="preserve">s call for repentance comes to the Jews first, but after they have had a chance to respond it must go forth into </w:t>
      </w:r>
      <w:r w:rsidRPr="000E2B5A">
        <w:rPr>
          <w:sz w:val="22"/>
          <w:szCs w:val="22"/>
          <w:lang w:eastAsia="en-GB"/>
        </w:rPr>
        <w:t>the entire world.</w:t>
      </w:r>
    </w:p>
    <w:p w:rsidR="00131080" w:rsidRPr="000E2B5A" w:rsidRDefault="00131080" w:rsidP="000D67BC">
      <w:pPr>
        <w:rPr>
          <w:sz w:val="22"/>
          <w:szCs w:val="22"/>
          <w:lang w:eastAsia="en-GB"/>
        </w:rPr>
      </w:pPr>
    </w:p>
    <w:p w:rsidR="000D67BC" w:rsidRPr="000E2B5A" w:rsidRDefault="000D67BC" w:rsidP="000D67BC">
      <w:pPr>
        <w:rPr>
          <w:sz w:val="22"/>
          <w:szCs w:val="22"/>
          <w:lang w:eastAsia="en-GB"/>
        </w:rPr>
      </w:pPr>
      <w:r w:rsidRPr="000E2B5A">
        <w:rPr>
          <w:sz w:val="22"/>
          <w:szCs w:val="22"/>
          <w:lang w:eastAsia="en-GB"/>
        </w:rPr>
        <w:t xml:space="preserve">Jesus was presented with the first animal – which refused to move (the Jews rejecting Jesus) and then was brought the foal (the Gentiles) which carried him into Jerusalem. This would be a valid explanation but we cannot know this for sure – the facts are largely irrelevant to Matthews point – the greater Son of David brings salvation to </w:t>
      </w:r>
      <w:r w:rsidRPr="000E2B5A">
        <w:rPr>
          <w:b/>
          <w:bCs/>
          <w:i/>
          <w:iCs/>
          <w:sz w:val="22"/>
          <w:szCs w:val="22"/>
          <w:lang w:eastAsia="en-GB"/>
        </w:rPr>
        <w:t>both</w:t>
      </w:r>
      <w:r w:rsidRPr="000E2B5A">
        <w:rPr>
          <w:sz w:val="22"/>
          <w:szCs w:val="22"/>
          <w:lang w:eastAsia="en-GB"/>
        </w:rPr>
        <w:t xml:space="preserve"> </w:t>
      </w:r>
      <w:r w:rsidRPr="000E2B5A">
        <w:rPr>
          <w:b/>
          <w:bCs/>
          <w:i/>
          <w:iCs/>
          <w:sz w:val="22"/>
          <w:szCs w:val="22"/>
          <w:lang w:eastAsia="en-GB"/>
        </w:rPr>
        <w:t>Jew and Gentile</w:t>
      </w:r>
      <w:r w:rsidRPr="000E2B5A">
        <w:rPr>
          <w:sz w:val="22"/>
          <w:szCs w:val="22"/>
          <w:lang w:eastAsia="en-GB"/>
        </w:rPr>
        <w:t xml:space="preserve"> and is sovereign over both.</w:t>
      </w:r>
    </w:p>
    <w:p w:rsidR="000D67BC" w:rsidRPr="000E2B5A" w:rsidRDefault="000D67BC" w:rsidP="000D67BC">
      <w:pPr>
        <w:rPr>
          <w:sz w:val="22"/>
          <w:szCs w:val="22"/>
          <w:lang w:eastAsia="en-GB"/>
        </w:rPr>
      </w:pPr>
    </w:p>
    <w:p w:rsidR="00131080" w:rsidRPr="000E2B5A" w:rsidRDefault="00131080" w:rsidP="000D67BC">
      <w:pPr>
        <w:rPr>
          <w:rFonts w:ascii="Bradley Hand ITC" w:hAnsi="Bradley Hand ITC"/>
          <w:b/>
          <w:sz w:val="28"/>
          <w:szCs w:val="22"/>
          <w:lang w:eastAsia="en-GB"/>
        </w:rPr>
      </w:pPr>
      <w:r w:rsidRPr="000E2B5A">
        <w:rPr>
          <w:rFonts w:ascii="Bradley Hand ITC" w:hAnsi="Bradley Hand ITC"/>
          <w:b/>
          <w:sz w:val="28"/>
          <w:szCs w:val="22"/>
          <w:lang w:eastAsia="en-GB"/>
        </w:rPr>
        <w:t>Conclusion</w:t>
      </w:r>
    </w:p>
    <w:p w:rsidR="00E87803" w:rsidRPr="000E2B5A" w:rsidRDefault="00131080" w:rsidP="000D67BC">
      <w:pPr>
        <w:rPr>
          <w:sz w:val="22"/>
          <w:szCs w:val="22"/>
          <w:lang w:val="en-GB"/>
        </w:rPr>
      </w:pPr>
      <w:r w:rsidRPr="000E2B5A">
        <w:rPr>
          <w:sz w:val="22"/>
          <w:szCs w:val="22"/>
          <w:lang w:val="en-GB"/>
        </w:rPr>
        <w:t>Scholars of the Gospels are too quick to dismiss the accounts when there is an apparent inconsistency or contradiction. The differences force the reader to think outside the box and look for an inspired deeper harmony.</w:t>
      </w:r>
    </w:p>
    <w:p w:rsidR="00E87803" w:rsidRPr="000E2B5A" w:rsidRDefault="00E87803">
      <w:pPr>
        <w:jc w:val="left"/>
        <w:rPr>
          <w:sz w:val="22"/>
          <w:szCs w:val="22"/>
          <w:lang w:val="en-GB"/>
        </w:rPr>
      </w:pPr>
      <w:r w:rsidRPr="000E2B5A">
        <w:rPr>
          <w:sz w:val="22"/>
          <w:szCs w:val="22"/>
          <w:lang w:val="en-GB"/>
        </w:rPr>
        <w:br w:type="page"/>
      </w:r>
    </w:p>
    <w:p w:rsidR="00E87803" w:rsidRPr="000E2B5A" w:rsidRDefault="00E87803" w:rsidP="00E87803">
      <w:pPr>
        <w:pStyle w:val="DefaultText"/>
        <w:jc w:val="center"/>
        <w:rPr>
          <w:sz w:val="32"/>
        </w:rPr>
      </w:pPr>
      <w:r w:rsidRPr="000E2B5A">
        <w:rPr>
          <w:rFonts w:ascii="Bradley Hand ITC" w:hAnsi="Bradley Hand ITC"/>
          <w:b/>
          <w:sz w:val="28"/>
        </w:rPr>
        <w:lastRenderedPageBreak/>
        <w:t>Complementary Difference: Why New Testament quotations often differ from their Old Testament source</w:t>
      </w:r>
      <w:r w:rsidRPr="000E2B5A">
        <w:rPr>
          <w:rStyle w:val="FootnoteReference"/>
          <w:rFonts w:ascii="Garamond" w:hAnsi="Garamond"/>
        </w:rPr>
        <w:footnoteReference w:id="5"/>
      </w:r>
    </w:p>
    <w:p w:rsidR="004B6769" w:rsidRPr="000E2B5A" w:rsidRDefault="005D74CB" w:rsidP="005D74CB">
      <w:pPr>
        <w:pStyle w:val="DefaultText"/>
        <w:jc w:val="center"/>
        <w:rPr>
          <w:rFonts w:ascii="Bradley Hand ITC" w:hAnsi="Bradley Hand ITC"/>
          <w:b/>
          <w:sz w:val="28"/>
        </w:rPr>
      </w:pPr>
      <w:r w:rsidRPr="000E2B5A">
        <w:rPr>
          <w:rFonts w:ascii="Bradley Hand ITC" w:hAnsi="Bradley Hand ITC"/>
          <w:b/>
          <w:sz w:val="28"/>
        </w:rPr>
        <w:t>J. W. Adey</w:t>
      </w:r>
    </w:p>
    <w:p w:rsidR="005D74CB" w:rsidRPr="000E2B5A" w:rsidRDefault="005D74CB" w:rsidP="00D3182B">
      <w:pPr>
        <w:pStyle w:val="DefaultText"/>
        <w:jc w:val="both"/>
        <w:rPr>
          <w:rFonts w:ascii="Bradley Hand ITC" w:hAnsi="Bradley Hand ITC"/>
          <w:b/>
          <w:sz w:val="22"/>
        </w:rPr>
      </w:pPr>
    </w:p>
    <w:p w:rsidR="00E87803" w:rsidRPr="000E2B5A" w:rsidRDefault="00E87803" w:rsidP="00D3182B">
      <w:pPr>
        <w:pStyle w:val="DefaultText"/>
        <w:jc w:val="both"/>
        <w:rPr>
          <w:rFonts w:ascii="Bradley Hand ITC" w:hAnsi="Bradley Hand ITC"/>
          <w:sz w:val="28"/>
        </w:rPr>
      </w:pPr>
      <w:r w:rsidRPr="000E2B5A">
        <w:rPr>
          <w:rFonts w:ascii="Bradley Hand ITC" w:hAnsi="Bradley Hand ITC"/>
          <w:b/>
          <w:sz w:val="28"/>
        </w:rPr>
        <w:t>Introduction</w:t>
      </w:r>
    </w:p>
    <w:p w:rsidR="005D74CB" w:rsidRPr="000E2B5A" w:rsidRDefault="00E87803" w:rsidP="00D3182B">
      <w:pPr>
        <w:pStyle w:val="DefaultText"/>
        <w:jc w:val="both"/>
        <w:rPr>
          <w:rFonts w:ascii="Garamond" w:hAnsi="Garamond"/>
          <w:sz w:val="22"/>
          <w:szCs w:val="22"/>
        </w:rPr>
      </w:pPr>
      <w:r w:rsidRPr="000E2B5A">
        <w:rPr>
          <w:rFonts w:ascii="Garamond" w:hAnsi="Garamond"/>
          <w:sz w:val="22"/>
          <w:szCs w:val="22"/>
        </w:rPr>
        <w:t>On Jesus</w:t>
      </w:r>
      <w:r w:rsidR="005D74CB" w:rsidRPr="000E2B5A">
        <w:rPr>
          <w:rFonts w:ascii="Garamond" w:hAnsi="Garamond"/>
          <w:sz w:val="22"/>
          <w:szCs w:val="22"/>
        </w:rPr>
        <w:t>’</w:t>
      </w:r>
      <w:r w:rsidRPr="000E2B5A">
        <w:rPr>
          <w:rFonts w:ascii="Garamond" w:hAnsi="Garamond"/>
          <w:sz w:val="22"/>
          <w:szCs w:val="22"/>
        </w:rPr>
        <w:t xml:space="preserve"> authority (</w:t>
      </w:r>
      <w:r w:rsidR="00846554" w:rsidRPr="000E2B5A">
        <w:rPr>
          <w:rFonts w:ascii="Garamond" w:hAnsi="Garamond"/>
          <w:sz w:val="22"/>
          <w:szCs w:val="22"/>
        </w:rPr>
        <w:t>d</w:t>
      </w:r>
      <w:r w:rsidRPr="000E2B5A">
        <w:rPr>
          <w:rFonts w:ascii="Garamond" w:hAnsi="Garamond"/>
          <w:sz w:val="22"/>
          <w:szCs w:val="22"/>
        </w:rPr>
        <w:t xml:space="preserve">ivinely inspired) </w:t>
      </w:r>
      <w:r w:rsidR="005D74CB" w:rsidRPr="000E2B5A">
        <w:rPr>
          <w:rFonts w:ascii="Garamond" w:hAnsi="Garamond"/>
          <w:sz w:val="22"/>
          <w:szCs w:val="22"/>
        </w:rPr>
        <w:t>“</w:t>
      </w:r>
      <w:r w:rsidRPr="000E2B5A">
        <w:rPr>
          <w:rFonts w:ascii="Garamond" w:hAnsi="Garamond"/>
          <w:sz w:val="22"/>
          <w:szCs w:val="22"/>
        </w:rPr>
        <w:t>Scripture cannot be broken</w:t>
      </w:r>
      <w:r w:rsidR="005D74CB" w:rsidRPr="000E2B5A">
        <w:rPr>
          <w:rFonts w:ascii="Garamond" w:hAnsi="Garamond"/>
          <w:sz w:val="22"/>
          <w:szCs w:val="22"/>
        </w:rPr>
        <w:t>”</w:t>
      </w:r>
      <w:r w:rsidRPr="000E2B5A">
        <w:rPr>
          <w:rFonts w:ascii="Garamond" w:hAnsi="Garamond"/>
          <w:sz w:val="22"/>
          <w:szCs w:val="22"/>
        </w:rPr>
        <w:t xml:space="preserve"> (</w:t>
      </w:r>
      <w:r w:rsidR="00693D7C" w:rsidRPr="000E2B5A">
        <w:rPr>
          <w:rFonts w:ascii="Garamond" w:hAnsi="Garamond"/>
          <w:sz w:val="22"/>
          <w:szCs w:val="22"/>
        </w:rPr>
        <w:t>John 10:35</w:t>
      </w:r>
      <w:r w:rsidRPr="000E2B5A">
        <w:rPr>
          <w:rFonts w:ascii="Garamond" w:hAnsi="Garamond"/>
          <w:sz w:val="22"/>
          <w:szCs w:val="22"/>
        </w:rPr>
        <w:t xml:space="preserve">).  Yet this perspective may seem difficult to reconcile with New Testament (NT) </w:t>
      </w:r>
      <w:r w:rsidR="005D74CB" w:rsidRPr="000E2B5A">
        <w:rPr>
          <w:rFonts w:ascii="Garamond" w:hAnsi="Garamond"/>
          <w:sz w:val="22"/>
          <w:szCs w:val="22"/>
        </w:rPr>
        <w:t>‘</w:t>
      </w:r>
      <w:r w:rsidRPr="000E2B5A">
        <w:rPr>
          <w:rFonts w:ascii="Garamond" w:hAnsi="Garamond"/>
          <w:sz w:val="22"/>
          <w:szCs w:val="22"/>
        </w:rPr>
        <w:t>quotations</w:t>
      </w:r>
      <w:r w:rsidR="005D74CB" w:rsidRPr="000E2B5A">
        <w:rPr>
          <w:rFonts w:ascii="Garamond" w:hAnsi="Garamond"/>
          <w:sz w:val="22"/>
          <w:szCs w:val="22"/>
        </w:rPr>
        <w:t>’</w:t>
      </w:r>
      <w:r w:rsidRPr="000E2B5A">
        <w:rPr>
          <w:rFonts w:ascii="Garamond" w:hAnsi="Garamond"/>
          <w:sz w:val="22"/>
          <w:szCs w:val="22"/>
          <w:vertAlign w:val="superscript"/>
        </w:rPr>
        <w:footnoteReference w:id="6"/>
      </w:r>
      <w:r w:rsidRPr="000E2B5A">
        <w:rPr>
          <w:rFonts w:ascii="Garamond" w:hAnsi="Garamond"/>
          <w:sz w:val="22"/>
          <w:szCs w:val="22"/>
        </w:rPr>
        <w:t xml:space="preserve"> of the Old Testament (OT) which differ from the OT as we have it, based on the Hebrew Masoretic text (MT).   For example, some may feel that a quotation has to be a verbatim (word-for-word) repetition of something previously expressed.  On this view, any variation in quotation fractures expectations about how inspired Scripture should behave.    However, not only is this to impose a strict view of </w:t>
      </w:r>
      <w:r w:rsidR="005D74CB" w:rsidRPr="000E2B5A">
        <w:rPr>
          <w:rFonts w:ascii="Garamond" w:hAnsi="Garamond"/>
          <w:sz w:val="22"/>
          <w:szCs w:val="22"/>
        </w:rPr>
        <w:t>‘</w:t>
      </w:r>
      <w:r w:rsidRPr="000E2B5A">
        <w:rPr>
          <w:rFonts w:ascii="Garamond" w:hAnsi="Garamond"/>
          <w:sz w:val="22"/>
          <w:szCs w:val="22"/>
        </w:rPr>
        <w:t>quotation</w:t>
      </w:r>
      <w:r w:rsidR="005D74CB" w:rsidRPr="000E2B5A">
        <w:rPr>
          <w:rFonts w:ascii="Garamond" w:hAnsi="Garamond"/>
          <w:sz w:val="22"/>
          <w:szCs w:val="22"/>
        </w:rPr>
        <w:t>’</w:t>
      </w:r>
      <w:r w:rsidRPr="000E2B5A">
        <w:rPr>
          <w:rFonts w:ascii="Garamond" w:hAnsi="Garamond"/>
          <w:sz w:val="22"/>
          <w:szCs w:val="22"/>
        </w:rPr>
        <w:t xml:space="preserve"> onto the Bible, but can misdirect unedifyingly into criticism of the text of the Hebrew Bible, as per </w:t>
      </w:r>
      <w:r w:rsidR="00846554" w:rsidRPr="000E2B5A">
        <w:rPr>
          <w:rFonts w:ascii="Garamond" w:hAnsi="Garamond"/>
          <w:sz w:val="22"/>
          <w:szCs w:val="22"/>
        </w:rPr>
        <w:t xml:space="preserve">the </w:t>
      </w:r>
      <w:r w:rsidRPr="000E2B5A">
        <w:rPr>
          <w:rFonts w:ascii="Garamond" w:hAnsi="Garamond"/>
          <w:sz w:val="22"/>
          <w:szCs w:val="22"/>
        </w:rPr>
        <w:t>MT. Neither reaction (</w:t>
      </w:r>
      <w:r w:rsidR="00846554" w:rsidRPr="000E2B5A">
        <w:rPr>
          <w:rFonts w:ascii="Garamond" w:hAnsi="Garamond"/>
          <w:sz w:val="22"/>
          <w:szCs w:val="22"/>
        </w:rPr>
        <w:t>insistence on the verbatim</w:t>
      </w:r>
      <w:r w:rsidRPr="000E2B5A">
        <w:rPr>
          <w:rFonts w:ascii="Garamond" w:hAnsi="Garamond"/>
          <w:sz w:val="22"/>
          <w:szCs w:val="22"/>
        </w:rPr>
        <w:t xml:space="preserve"> or finding fault with the text) I hope to show is consistent with the nature of Scripture. </w:t>
      </w:r>
    </w:p>
    <w:p w:rsidR="005D74CB" w:rsidRPr="000E2B5A" w:rsidRDefault="005D74CB" w:rsidP="00D3182B">
      <w:pPr>
        <w:pStyle w:val="DefaultText"/>
        <w:jc w:val="both"/>
        <w:rPr>
          <w:rFonts w:ascii="Garamond" w:hAnsi="Garamond"/>
          <w:sz w:val="22"/>
          <w:szCs w:val="22"/>
        </w:rPr>
      </w:pPr>
    </w:p>
    <w:p w:rsidR="00E87803" w:rsidRPr="000E2B5A" w:rsidRDefault="00185B78" w:rsidP="00D3182B">
      <w:pPr>
        <w:pStyle w:val="DefaultText"/>
        <w:jc w:val="both"/>
        <w:rPr>
          <w:rFonts w:ascii="Garamond" w:hAnsi="Garamond"/>
          <w:sz w:val="22"/>
          <w:szCs w:val="22"/>
        </w:rPr>
      </w:pPr>
      <w:r w:rsidRPr="000E2B5A">
        <w:rPr>
          <w:rFonts w:ascii="Garamond" w:hAnsi="Garamond"/>
          <w:sz w:val="22"/>
          <w:szCs w:val="22"/>
        </w:rPr>
        <w:t>There are types of q</w:t>
      </w:r>
      <w:r w:rsidR="00E87803" w:rsidRPr="000E2B5A">
        <w:rPr>
          <w:rFonts w:ascii="Garamond" w:hAnsi="Garamond"/>
          <w:sz w:val="22"/>
          <w:szCs w:val="22"/>
        </w:rPr>
        <w:t>uotation</w:t>
      </w:r>
      <w:r w:rsidRPr="000E2B5A">
        <w:rPr>
          <w:rFonts w:ascii="Garamond" w:hAnsi="Garamond"/>
          <w:sz w:val="22"/>
          <w:szCs w:val="22"/>
        </w:rPr>
        <w:t xml:space="preserve">. </w:t>
      </w:r>
      <w:r w:rsidR="00E87803" w:rsidRPr="000E2B5A">
        <w:rPr>
          <w:rFonts w:ascii="Garamond" w:hAnsi="Garamond"/>
          <w:sz w:val="22"/>
          <w:szCs w:val="22"/>
        </w:rPr>
        <w:t xml:space="preserve">Some, indeed, are in word-for-word correspondence, but the majority of NT quotations do not exactly match the OT, or the Hebrew </w:t>
      </w:r>
      <w:r w:rsidR="00E87803" w:rsidRPr="000E2B5A">
        <w:rPr>
          <w:rFonts w:ascii="Garamond" w:hAnsi="Garamond"/>
          <w:sz w:val="22"/>
          <w:szCs w:val="22"/>
        </w:rPr>
        <w:lastRenderedPageBreak/>
        <w:t>Masoretic Text (MT)</w:t>
      </w:r>
      <w:r w:rsidR="00E87803" w:rsidRPr="000E2B5A">
        <w:rPr>
          <w:rFonts w:ascii="Garamond" w:hAnsi="Garamond"/>
          <w:sz w:val="22"/>
          <w:szCs w:val="22"/>
          <w:vertAlign w:val="superscript"/>
        </w:rPr>
        <w:footnoteReference w:id="7"/>
      </w:r>
      <w:r w:rsidR="00E87803" w:rsidRPr="000E2B5A">
        <w:rPr>
          <w:rFonts w:ascii="Garamond" w:hAnsi="Garamond"/>
          <w:sz w:val="22"/>
          <w:szCs w:val="22"/>
        </w:rPr>
        <w:t xml:space="preserve"> upon which English OT versions are generally based.  A well-known example of quotatio</w:t>
      </w:r>
      <w:r w:rsidR="00F71B19" w:rsidRPr="000E2B5A">
        <w:rPr>
          <w:rFonts w:ascii="Garamond" w:hAnsi="Garamond"/>
          <w:sz w:val="22"/>
          <w:szCs w:val="22"/>
        </w:rPr>
        <w:t>nal change is Heb 10:5 from Ps</w:t>
      </w:r>
      <w:r w:rsidR="00E87803" w:rsidRPr="000E2B5A">
        <w:rPr>
          <w:rFonts w:ascii="Garamond" w:hAnsi="Garamond"/>
          <w:sz w:val="22"/>
          <w:szCs w:val="22"/>
        </w:rPr>
        <w:t xml:space="preserve"> 40:6:</w:t>
      </w:r>
    </w:p>
    <w:p w:rsidR="00E87803" w:rsidRPr="000E2B5A" w:rsidRDefault="00E87803" w:rsidP="00D3182B">
      <w:pPr>
        <w:pStyle w:val="DefaultText"/>
        <w:tabs>
          <w:tab w:val="left" w:pos="2151"/>
        </w:tabs>
        <w:jc w:val="both"/>
        <w:rPr>
          <w:rFonts w:ascii="Garamond" w:hAnsi="Garamond"/>
          <w:sz w:val="22"/>
          <w:szCs w:val="22"/>
        </w:rPr>
      </w:pPr>
      <w:r w:rsidRPr="000E2B5A">
        <w:rPr>
          <w:rFonts w:ascii="Garamond" w:hAnsi="Garamond"/>
          <w:sz w:val="22"/>
          <w:szCs w:val="22"/>
        </w:rPr>
        <w:tab/>
      </w:r>
    </w:p>
    <w:p w:rsidR="00E87803" w:rsidRPr="000E2B5A" w:rsidRDefault="00E87803" w:rsidP="00D3182B">
      <w:pPr>
        <w:pStyle w:val="DefaultText"/>
        <w:tabs>
          <w:tab w:val="left" w:pos="1134"/>
        </w:tabs>
        <w:jc w:val="both"/>
        <w:rPr>
          <w:rFonts w:ascii="Garamond" w:hAnsi="Garamond"/>
          <w:sz w:val="22"/>
          <w:szCs w:val="22"/>
        </w:rPr>
      </w:pPr>
      <w:r w:rsidRPr="000E2B5A">
        <w:rPr>
          <w:rFonts w:ascii="Garamond" w:hAnsi="Garamond"/>
          <w:sz w:val="22"/>
          <w:szCs w:val="22"/>
        </w:rPr>
        <w:tab/>
        <w:t>(KJV) NT Heb 10:5   ... A body hast thou prepared me.</w:t>
      </w:r>
      <w:r w:rsidRPr="000E2B5A">
        <w:rPr>
          <w:rStyle w:val="FootnoteReference"/>
          <w:rFonts w:ascii="Garamond" w:hAnsi="Garamond"/>
          <w:sz w:val="22"/>
          <w:szCs w:val="22"/>
        </w:rPr>
        <w:footnoteReference w:id="8"/>
      </w:r>
    </w:p>
    <w:p w:rsidR="00E87803" w:rsidRPr="000E2B5A" w:rsidRDefault="00E87803" w:rsidP="00D3182B">
      <w:pPr>
        <w:pStyle w:val="DefaultText"/>
        <w:tabs>
          <w:tab w:val="left" w:pos="1134"/>
        </w:tabs>
        <w:jc w:val="both"/>
        <w:rPr>
          <w:rFonts w:ascii="Garamond" w:hAnsi="Garamond"/>
          <w:sz w:val="22"/>
          <w:szCs w:val="22"/>
        </w:rPr>
      </w:pPr>
      <w:r w:rsidRPr="000E2B5A">
        <w:rPr>
          <w:rFonts w:ascii="Garamond" w:hAnsi="Garamond"/>
          <w:sz w:val="22"/>
          <w:szCs w:val="22"/>
        </w:rPr>
        <w:tab/>
        <w:t xml:space="preserve">(KJV) OT Ps 40:6 </w:t>
      </w:r>
      <w:r w:rsidRPr="000E2B5A">
        <w:rPr>
          <w:rFonts w:ascii="Garamond" w:hAnsi="Garamond"/>
          <w:b/>
          <w:sz w:val="22"/>
          <w:szCs w:val="22"/>
        </w:rPr>
        <w:t xml:space="preserve">   </w:t>
      </w:r>
      <w:r w:rsidRPr="000E2B5A">
        <w:rPr>
          <w:rFonts w:ascii="Garamond" w:hAnsi="Garamond"/>
          <w:sz w:val="22"/>
          <w:szCs w:val="22"/>
        </w:rPr>
        <w:t>...mine ears</w:t>
      </w:r>
      <w:r w:rsidRPr="000E2B5A">
        <w:rPr>
          <w:rFonts w:ascii="Garamond" w:hAnsi="Garamond"/>
          <w:b/>
          <w:sz w:val="22"/>
          <w:szCs w:val="22"/>
        </w:rPr>
        <w:t xml:space="preserve"> </w:t>
      </w:r>
      <w:r w:rsidRPr="000E2B5A">
        <w:rPr>
          <w:rFonts w:ascii="Garamond" w:hAnsi="Garamond"/>
          <w:sz w:val="22"/>
          <w:szCs w:val="22"/>
        </w:rPr>
        <w:t xml:space="preserve">hast thou opened (or </w:t>
      </w:r>
      <w:r w:rsidR="005D74CB" w:rsidRPr="000E2B5A">
        <w:rPr>
          <w:rFonts w:ascii="Garamond" w:hAnsi="Garamond"/>
          <w:sz w:val="22"/>
          <w:szCs w:val="22"/>
        </w:rPr>
        <w:t>‘</w:t>
      </w:r>
      <w:r w:rsidRPr="000E2B5A">
        <w:rPr>
          <w:rFonts w:ascii="Garamond" w:hAnsi="Garamond"/>
          <w:sz w:val="22"/>
          <w:szCs w:val="22"/>
        </w:rPr>
        <w:t>prepared</w:t>
      </w:r>
      <w:r w:rsidR="005D74CB" w:rsidRPr="000E2B5A">
        <w:rPr>
          <w:rFonts w:ascii="Garamond" w:hAnsi="Garamond"/>
          <w:sz w:val="22"/>
          <w:szCs w:val="22"/>
        </w:rPr>
        <w:t>’</w:t>
      </w:r>
      <w:r w:rsidRPr="000E2B5A">
        <w:rPr>
          <w:rFonts w:ascii="Garamond" w:hAnsi="Garamond"/>
          <w:sz w:val="22"/>
          <w:szCs w:val="22"/>
        </w:rPr>
        <w:t xml:space="preserve">).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lastRenderedPageBreak/>
        <w:t xml:space="preserve">When confronted by changes in the language of a NT quotation from the OT, various responses result or resolutions are attempted.  Sometimes a strict view of what a quotation should be, e.g., </w:t>
      </w:r>
      <w:r w:rsidR="00EA0DEB" w:rsidRPr="000E2B5A">
        <w:rPr>
          <w:rFonts w:ascii="Garamond" w:hAnsi="Garamond"/>
          <w:sz w:val="22"/>
          <w:szCs w:val="22"/>
        </w:rPr>
        <w:t xml:space="preserve">that it is </w:t>
      </w:r>
      <w:r w:rsidRPr="000E2B5A">
        <w:rPr>
          <w:rFonts w:ascii="Garamond" w:hAnsi="Garamond"/>
          <w:sz w:val="22"/>
          <w:szCs w:val="22"/>
        </w:rPr>
        <w:t xml:space="preserve">a necessarily verbatim or closely corresponding reproduction, lends weight to positing a faulty MT, </w:t>
      </w:r>
      <w:r w:rsidRPr="000E2B5A">
        <w:rPr>
          <w:rFonts w:ascii="Garamond" w:hAnsi="Garamond"/>
          <w:sz w:val="22"/>
          <w:szCs w:val="22"/>
          <w:lang w:val="en-GB"/>
        </w:rPr>
        <w:t>favouring</w:t>
      </w:r>
      <w:r w:rsidRPr="000E2B5A">
        <w:rPr>
          <w:rFonts w:ascii="Garamond" w:hAnsi="Garamond"/>
          <w:sz w:val="22"/>
          <w:szCs w:val="22"/>
        </w:rPr>
        <w:t xml:space="preserve"> conjectural emendation of its text or a quest for alternative OT sources. The alternative sources proposed might be OT Greek translations in the Septuagint (LXX)</w:t>
      </w:r>
      <w:r w:rsidR="00EA0DEB" w:rsidRPr="000E2B5A">
        <w:rPr>
          <w:rFonts w:ascii="Garamond" w:hAnsi="Garamond"/>
          <w:sz w:val="22"/>
          <w:szCs w:val="22"/>
        </w:rPr>
        <w:t xml:space="preserve">, </w:t>
      </w:r>
      <w:r w:rsidRPr="000E2B5A">
        <w:rPr>
          <w:rFonts w:ascii="Garamond" w:hAnsi="Garamond"/>
          <w:sz w:val="22"/>
          <w:szCs w:val="22"/>
        </w:rPr>
        <w:t>tradition, fragmentary Hebrew manuscripts from the Judean Desert (some of which occasionally agree with LXX), or hypothesizing about possible temple (and synagogue) scrolls different from MT. E. W</w:t>
      </w:r>
      <w:r w:rsidRPr="000E2B5A">
        <w:rPr>
          <w:rFonts w:ascii="Garamond" w:hAnsi="Garamond" w:cs="Arial"/>
          <w:sz w:val="22"/>
          <w:szCs w:val="22"/>
        </w:rPr>
        <w:t>ü</w:t>
      </w:r>
      <w:r w:rsidRPr="000E2B5A">
        <w:rPr>
          <w:rFonts w:ascii="Garamond" w:hAnsi="Garamond"/>
          <w:sz w:val="22"/>
          <w:szCs w:val="22"/>
        </w:rPr>
        <w:t>rthwein, within a qualified scholarly  overview of MT, states:</w:t>
      </w:r>
      <w:r w:rsidR="00EA0DEB" w:rsidRPr="000E2B5A">
        <w:rPr>
          <w:rStyle w:val="FootnoteReference"/>
          <w:rFonts w:ascii="Garamond" w:hAnsi="Garamond"/>
          <w:sz w:val="22"/>
          <w:szCs w:val="22"/>
        </w:rPr>
        <w:footnoteReference w:id="9"/>
      </w:r>
    </w:p>
    <w:p w:rsidR="00E87803" w:rsidRPr="000E2B5A" w:rsidRDefault="00E87803" w:rsidP="00D3182B">
      <w:pPr>
        <w:pStyle w:val="DefaultText"/>
        <w:jc w:val="both"/>
        <w:rPr>
          <w:rFonts w:ascii="Garamond" w:hAnsi="Garamond"/>
          <w:sz w:val="22"/>
          <w:szCs w:val="22"/>
        </w:rPr>
      </w:pPr>
    </w:p>
    <w:p w:rsidR="00E87803" w:rsidRPr="000E2B5A" w:rsidRDefault="00E87803" w:rsidP="0015441A">
      <w:pPr>
        <w:pStyle w:val="Quote"/>
      </w:pPr>
      <w:r w:rsidRPr="000E2B5A">
        <w:t>The earlier tendency to undervalue [the MT] in favor of the Greek [LXX] version or even of modern conjectures has now been almost entirely abandoned, because [MT] has repeatedly been demonstrated to be the best witness to the text. Any deviation from it requires justification.</w:t>
      </w:r>
      <w:r w:rsidRPr="000E2B5A">
        <w:rPr>
          <w:vertAlign w:val="superscript"/>
        </w:rPr>
        <w:footnoteReference w:id="10"/>
      </w:r>
      <w:r w:rsidRPr="000E2B5A">
        <w:t xml:space="preserve">  </w:t>
      </w: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lastRenderedPageBreak/>
        <w:t>However, at least English OT versions follow the Hebrew text</w:t>
      </w:r>
      <w:r w:rsidR="005D74CB" w:rsidRPr="000E2B5A">
        <w:rPr>
          <w:rFonts w:ascii="Garamond" w:hAnsi="Garamond"/>
          <w:sz w:val="22"/>
          <w:szCs w:val="22"/>
        </w:rPr>
        <w:t>’</w:t>
      </w:r>
      <w:r w:rsidRPr="000E2B5A">
        <w:rPr>
          <w:rFonts w:ascii="Garamond" w:hAnsi="Garamond"/>
          <w:sz w:val="22"/>
          <w:szCs w:val="22"/>
        </w:rPr>
        <w:t xml:space="preserve">s form (as per </w:t>
      </w:r>
      <w:r w:rsidR="0015441A" w:rsidRPr="000E2B5A">
        <w:rPr>
          <w:rFonts w:ascii="Garamond" w:hAnsi="Garamond"/>
          <w:sz w:val="22"/>
          <w:szCs w:val="22"/>
        </w:rPr>
        <w:t xml:space="preserve">the </w:t>
      </w:r>
      <w:r w:rsidRPr="000E2B5A">
        <w:rPr>
          <w:rFonts w:ascii="Garamond" w:hAnsi="Garamond"/>
          <w:sz w:val="22"/>
          <w:szCs w:val="22"/>
        </w:rPr>
        <w:t>MT) and thus any textual differences in a NT quotation are evident for comparison!</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Bradley Hand ITC" w:hAnsi="Bradley Hand ITC"/>
          <w:sz w:val="28"/>
          <w:szCs w:val="22"/>
        </w:rPr>
      </w:pPr>
      <w:r w:rsidRPr="000E2B5A">
        <w:rPr>
          <w:rFonts w:ascii="Bradley Hand ITC" w:hAnsi="Bradley Hand ITC"/>
          <w:b/>
          <w:sz w:val="28"/>
          <w:szCs w:val="22"/>
        </w:rPr>
        <w:t xml:space="preserve">The </w:t>
      </w:r>
      <w:r w:rsidR="001F403C" w:rsidRPr="000E2B5A">
        <w:rPr>
          <w:rFonts w:ascii="Bradley Hand ITC" w:hAnsi="Bradley Hand ITC"/>
          <w:b/>
          <w:sz w:val="28"/>
          <w:szCs w:val="22"/>
        </w:rPr>
        <w:t>A</w:t>
      </w:r>
      <w:r w:rsidRPr="000E2B5A">
        <w:rPr>
          <w:rFonts w:ascii="Bradley Hand ITC" w:hAnsi="Bradley Hand ITC"/>
          <w:b/>
          <w:sz w:val="28"/>
          <w:szCs w:val="22"/>
        </w:rPr>
        <w:t>rgument</w:t>
      </w: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In this article I argue that the NT alone is responsible for changing the form of the OT it re-uses, so there is no point in challenging the textual integrity of MT,</w:t>
      </w:r>
      <w:r w:rsidRPr="000E2B5A">
        <w:rPr>
          <w:rFonts w:ascii="Garamond" w:hAnsi="Garamond"/>
          <w:sz w:val="22"/>
          <w:szCs w:val="22"/>
          <w:vertAlign w:val="superscript"/>
        </w:rPr>
        <w:footnoteReference w:id="11"/>
      </w:r>
      <w:r w:rsidRPr="000E2B5A">
        <w:rPr>
          <w:rFonts w:ascii="Garamond" w:hAnsi="Garamond"/>
          <w:sz w:val="22"/>
          <w:szCs w:val="22"/>
        </w:rPr>
        <w:t xml:space="preserve"> or seeking alternative sources which may correspond word-for-word with </w:t>
      </w:r>
      <w:r w:rsidR="005D74CB" w:rsidRPr="000E2B5A">
        <w:rPr>
          <w:rFonts w:ascii="Garamond" w:hAnsi="Garamond"/>
          <w:sz w:val="22"/>
          <w:szCs w:val="22"/>
        </w:rPr>
        <w:t>‘</w:t>
      </w:r>
      <w:r w:rsidRPr="000E2B5A">
        <w:rPr>
          <w:rFonts w:ascii="Garamond" w:hAnsi="Garamond"/>
          <w:sz w:val="22"/>
          <w:szCs w:val="22"/>
        </w:rPr>
        <w:t>variant</w:t>
      </w:r>
      <w:r w:rsidR="005D74CB" w:rsidRPr="000E2B5A">
        <w:rPr>
          <w:rFonts w:ascii="Garamond" w:hAnsi="Garamond"/>
          <w:sz w:val="22"/>
          <w:szCs w:val="22"/>
        </w:rPr>
        <w:t>’</w:t>
      </w:r>
      <w:r w:rsidRPr="000E2B5A">
        <w:rPr>
          <w:rFonts w:ascii="Garamond" w:hAnsi="Garamond"/>
          <w:sz w:val="22"/>
          <w:szCs w:val="22"/>
        </w:rPr>
        <w:t xml:space="preserve"> NT quotations. The NT</w:t>
      </w:r>
      <w:r w:rsidR="005D74CB" w:rsidRPr="000E2B5A">
        <w:rPr>
          <w:rFonts w:ascii="Garamond" w:hAnsi="Garamond"/>
          <w:sz w:val="22"/>
          <w:szCs w:val="22"/>
        </w:rPr>
        <w:t>’</w:t>
      </w:r>
      <w:r w:rsidRPr="000E2B5A">
        <w:rPr>
          <w:rFonts w:ascii="Garamond" w:hAnsi="Garamond"/>
          <w:sz w:val="22"/>
          <w:szCs w:val="22"/>
        </w:rPr>
        <w:t>s modified re-use of a fragment of the OT will complement the earlier usage, bringing to the surface an underlying (</w:t>
      </w:r>
      <w:r w:rsidR="0015441A" w:rsidRPr="000E2B5A">
        <w:rPr>
          <w:rFonts w:ascii="Garamond" w:hAnsi="Garamond"/>
          <w:sz w:val="22"/>
          <w:szCs w:val="22"/>
        </w:rPr>
        <w:t>d</w:t>
      </w:r>
      <w:r w:rsidRPr="000E2B5A">
        <w:rPr>
          <w:rFonts w:ascii="Garamond" w:hAnsi="Garamond"/>
          <w:sz w:val="22"/>
          <w:szCs w:val="22"/>
        </w:rPr>
        <w:t xml:space="preserve">ivinely foreknown) presupposition, or an associated aspect of meaning.  Whilst I present </w:t>
      </w:r>
      <w:r w:rsidR="005D74CB" w:rsidRPr="000E2B5A">
        <w:rPr>
          <w:rFonts w:ascii="Garamond" w:hAnsi="Garamond"/>
          <w:sz w:val="22"/>
          <w:szCs w:val="22"/>
        </w:rPr>
        <w:t>‘</w:t>
      </w:r>
      <w:r w:rsidRPr="000E2B5A">
        <w:rPr>
          <w:rFonts w:ascii="Garamond" w:hAnsi="Garamond"/>
          <w:sz w:val="22"/>
          <w:szCs w:val="22"/>
        </w:rPr>
        <w:t>complementary difference</w:t>
      </w:r>
      <w:r w:rsidR="005D74CB" w:rsidRPr="000E2B5A">
        <w:rPr>
          <w:rFonts w:ascii="Garamond" w:hAnsi="Garamond"/>
          <w:sz w:val="22"/>
          <w:szCs w:val="22"/>
        </w:rPr>
        <w:t>’</w:t>
      </w:r>
      <w:r w:rsidR="0015441A" w:rsidRPr="000E2B5A">
        <w:rPr>
          <w:rFonts w:ascii="Garamond" w:hAnsi="Garamond"/>
          <w:sz w:val="22"/>
          <w:szCs w:val="22"/>
        </w:rPr>
        <w:t xml:space="preserve"> </w:t>
      </w:r>
      <w:r w:rsidRPr="000E2B5A">
        <w:rPr>
          <w:rFonts w:ascii="Garamond" w:hAnsi="Garamond"/>
          <w:sz w:val="22"/>
          <w:szCs w:val="22"/>
        </w:rPr>
        <w:t>as a phenomenon applicable to quotations, I also take it to be characteristic of Scripture as a whole. We are into issues of authorial intention or handling (manifested) in the Biblical text</w:t>
      </w:r>
      <w:r w:rsidR="005D74CB" w:rsidRPr="000E2B5A">
        <w:rPr>
          <w:rFonts w:ascii="Garamond" w:hAnsi="Garamond"/>
          <w:sz w:val="22"/>
          <w:szCs w:val="22"/>
        </w:rPr>
        <w:t>’</w:t>
      </w:r>
      <w:r w:rsidRPr="000E2B5A">
        <w:rPr>
          <w:rFonts w:ascii="Garamond" w:hAnsi="Garamond"/>
          <w:sz w:val="22"/>
          <w:szCs w:val="22"/>
        </w:rPr>
        <w:t xml:space="preserve">s mode of presentation. Hence, if such variations stand, then any theory that </w:t>
      </w:r>
      <w:r w:rsidRPr="000E2B5A">
        <w:rPr>
          <w:rFonts w:ascii="Garamond" w:hAnsi="Garamond"/>
          <w:sz w:val="22"/>
          <w:szCs w:val="22"/>
          <w:lang w:val="en-GB"/>
        </w:rPr>
        <w:t>endeavours</w:t>
      </w:r>
      <w:r w:rsidRPr="000E2B5A">
        <w:rPr>
          <w:rFonts w:ascii="Garamond" w:hAnsi="Garamond"/>
          <w:sz w:val="22"/>
          <w:szCs w:val="22"/>
        </w:rPr>
        <w:t xml:space="preserve"> to eliminate them (e.g., opposing such </w:t>
      </w:r>
      <w:r w:rsidRPr="000E2B5A">
        <w:rPr>
          <w:rFonts w:ascii="Garamond" w:hAnsi="Garamond"/>
          <w:i/>
          <w:sz w:val="22"/>
          <w:szCs w:val="22"/>
        </w:rPr>
        <w:t>difference</w:t>
      </w:r>
      <w:r w:rsidRPr="000E2B5A">
        <w:rPr>
          <w:rFonts w:ascii="Garamond" w:hAnsi="Garamond"/>
          <w:sz w:val="22"/>
          <w:szCs w:val="22"/>
        </w:rPr>
        <w:t xml:space="preserve"> in principle) is to be rejected; this would only divide Scripture against itself.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From the perspective of this article</w:t>
      </w:r>
      <w:r w:rsidR="0015441A" w:rsidRPr="000E2B5A">
        <w:rPr>
          <w:rFonts w:ascii="Garamond" w:hAnsi="Garamond"/>
          <w:sz w:val="22"/>
          <w:szCs w:val="22"/>
        </w:rPr>
        <w:t>,</w:t>
      </w:r>
      <w:r w:rsidRPr="000E2B5A">
        <w:rPr>
          <w:rFonts w:ascii="Garamond" w:hAnsi="Garamond"/>
          <w:sz w:val="22"/>
          <w:szCs w:val="22"/>
          <w:lang w:val="en-GB"/>
        </w:rPr>
        <w:t xml:space="preserve"> and with Jesus</w:t>
      </w:r>
      <w:r w:rsidRPr="000E2B5A">
        <w:rPr>
          <w:rFonts w:ascii="Garamond" w:hAnsi="Garamond"/>
          <w:sz w:val="22"/>
          <w:szCs w:val="22"/>
        </w:rPr>
        <w:t>, it must be the beginning of wisdom to acknowledge</w:t>
      </w:r>
      <w:r w:rsidRPr="000E2B5A">
        <w:rPr>
          <w:rFonts w:ascii="Garamond" w:hAnsi="Garamond"/>
          <w:sz w:val="22"/>
          <w:szCs w:val="22"/>
          <w:lang w:val="en-GB"/>
        </w:rPr>
        <w:t xml:space="preserve"> that</w:t>
      </w:r>
      <w:r w:rsidRPr="000E2B5A">
        <w:rPr>
          <w:rFonts w:ascii="Garamond" w:hAnsi="Garamond"/>
          <w:sz w:val="22"/>
          <w:szCs w:val="22"/>
        </w:rPr>
        <w:t xml:space="preserve"> the text of </w:t>
      </w:r>
      <w:r w:rsidR="0015441A" w:rsidRPr="000E2B5A">
        <w:rPr>
          <w:rFonts w:ascii="Garamond" w:hAnsi="Garamond"/>
          <w:sz w:val="22"/>
          <w:szCs w:val="22"/>
        </w:rPr>
        <w:t>S</w:t>
      </w:r>
      <w:r w:rsidRPr="000E2B5A">
        <w:rPr>
          <w:rFonts w:ascii="Garamond" w:hAnsi="Garamond"/>
          <w:sz w:val="22"/>
          <w:szCs w:val="22"/>
        </w:rPr>
        <w:t xml:space="preserve">cripture cannot be broken and to regard such (e.g., quotational or Synoptic Gospel) differences as a counter-intuitive hallmark of (what it is to be) Divine </w:t>
      </w:r>
      <w:r w:rsidR="0015441A" w:rsidRPr="000E2B5A">
        <w:rPr>
          <w:rFonts w:ascii="Garamond" w:hAnsi="Garamond"/>
          <w:sz w:val="22"/>
          <w:szCs w:val="22"/>
        </w:rPr>
        <w:t>R</w:t>
      </w:r>
      <w:r w:rsidRPr="000E2B5A">
        <w:rPr>
          <w:rFonts w:ascii="Garamond" w:hAnsi="Garamond"/>
          <w:sz w:val="22"/>
          <w:szCs w:val="22"/>
        </w:rPr>
        <w:t xml:space="preserve">evelation:  </w:t>
      </w:r>
    </w:p>
    <w:p w:rsidR="00E87803" w:rsidRPr="000E2B5A" w:rsidRDefault="00E87803" w:rsidP="00D3182B">
      <w:pPr>
        <w:pStyle w:val="DefaultText"/>
        <w:jc w:val="both"/>
        <w:rPr>
          <w:rFonts w:ascii="Garamond" w:hAnsi="Garamond"/>
          <w:sz w:val="22"/>
          <w:szCs w:val="22"/>
        </w:rPr>
      </w:pPr>
    </w:p>
    <w:p w:rsidR="00E87803" w:rsidRPr="000E2B5A" w:rsidRDefault="00E87803" w:rsidP="0015441A">
      <w:pPr>
        <w:pStyle w:val="Quote"/>
      </w:pPr>
      <w:r w:rsidRPr="000E2B5A">
        <w:t>[God] refuses to be understood merely from within the conceptual framework of our natural thought and language but demands of that framework a logical reconstruction in accordance with His Word.</w:t>
      </w:r>
      <w:r w:rsidRPr="000E2B5A">
        <w:rPr>
          <w:rStyle w:val="FootnoteReference"/>
          <w:szCs w:val="22"/>
        </w:rPr>
        <w:footnoteReference w:id="12"/>
      </w:r>
      <w:r w:rsidRPr="000E2B5A">
        <w:t xml:space="preserve">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My thesis, then, is that</w:t>
      </w:r>
      <w:r w:rsidR="00527FB9" w:rsidRPr="000E2B5A">
        <w:rPr>
          <w:rFonts w:ascii="Garamond" w:hAnsi="Garamond"/>
          <w:sz w:val="22"/>
          <w:szCs w:val="22"/>
        </w:rPr>
        <w:t>,</w:t>
      </w:r>
      <w:r w:rsidRPr="000E2B5A">
        <w:rPr>
          <w:rFonts w:ascii="Garamond" w:hAnsi="Garamond"/>
          <w:sz w:val="22"/>
          <w:szCs w:val="22"/>
        </w:rPr>
        <w:t xml:space="preserve"> concerning variations in quotations (as with the differences between the Gospels), a plurality of minds (</w:t>
      </w:r>
      <w:r w:rsidR="00390E02" w:rsidRPr="000E2B5A">
        <w:rPr>
          <w:rFonts w:ascii="Garamond" w:hAnsi="Garamond"/>
          <w:sz w:val="22"/>
          <w:szCs w:val="22"/>
        </w:rPr>
        <w:t>d</w:t>
      </w:r>
      <w:r w:rsidRPr="000E2B5A">
        <w:rPr>
          <w:rFonts w:ascii="Garamond" w:hAnsi="Garamond"/>
          <w:sz w:val="22"/>
          <w:szCs w:val="22"/>
        </w:rPr>
        <w:t>ivinely inspired agents)</w:t>
      </w:r>
      <w:r w:rsidR="00390E02" w:rsidRPr="000E2B5A">
        <w:rPr>
          <w:rFonts w:ascii="Garamond" w:hAnsi="Garamond"/>
          <w:sz w:val="22"/>
          <w:szCs w:val="22"/>
        </w:rPr>
        <w:t>,</w:t>
      </w:r>
      <w:r w:rsidRPr="000E2B5A">
        <w:rPr>
          <w:rFonts w:ascii="Garamond" w:hAnsi="Garamond"/>
          <w:sz w:val="22"/>
          <w:szCs w:val="22"/>
        </w:rPr>
        <w:t xml:space="preserve"> under the control of one mind (God</w:t>
      </w:r>
      <w:r w:rsidR="005D74CB" w:rsidRPr="000E2B5A">
        <w:rPr>
          <w:rFonts w:ascii="Garamond" w:hAnsi="Garamond"/>
          <w:sz w:val="22"/>
          <w:szCs w:val="22"/>
        </w:rPr>
        <w:t>’</w:t>
      </w:r>
      <w:r w:rsidRPr="000E2B5A">
        <w:rPr>
          <w:rFonts w:ascii="Garamond" w:hAnsi="Garamond"/>
          <w:sz w:val="22"/>
          <w:szCs w:val="22"/>
        </w:rPr>
        <w:t>s)</w:t>
      </w:r>
      <w:r w:rsidR="00390E02" w:rsidRPr="000E2B5A">
        <w:rPr>
          <w:rFonts w:ascii="Garamond" w:hAnsi="Garamond"/>
          <w:sz w:val="22"/>
          <w:szCs w:val="22"/>
        </w:rPr>
        <w:t>,</w:t>
      </w:r>
      <w:r w:rsidRPr="000E2B5A">
        <w:rPr>
          <w:rFonts w:ascii="Garamond" w:hAnsi="Garamond"/>
          <w:sz w:val="22"/>
          <w:szCs w:val="22"/>
        </w:rPr>
        <w:t xml:space="preserve"> and for His purposes exclusively, express such </w:t>
      </w:r>
      <w:r w:rsidRPr="000E2B5A">
        <w:rPr>
          <w:rFonts w:ascii="Garamond" w:hAnsi="Garamond"/>
          <w:sz w:val="22"/>
          <w:szCs w:val="22"/>
        </w:rPr>
        <w:lastRenderedPageBreak/>
        <w:t>variations consistent with truth.</w:t>
      </w:r>
      <w:r w:rsidRPr="000E2B5A">
        <w:rPr>
          <w:rFonts w:ascii="Garamond" w:hAnsi="Garamond"/>
          <w:sz w:val="22"/>
          <w:szCs w:val="22"/>
          <w:vertAlign w:val="superscript"/>
        </w:rPr>
        <w:footnoteReference w:id="13"/>
      </w:r>
      <w:r w:rsidRPr="000E2B5A">
        <w:rPr>
          <w:rFonts w:ascii="Garamond" w:hAnsi="Garamond"/>
          <w:sz w:val="22"/>
          <w:szCs w:val="22"/>
        </w:rPr>
        <w:t xml:space="preserve">  Attempts to smooth out differences create a clash of authority over the Biblical text, ultimately treating Holy Scripture as if it is, or can be, broken.</w:t>
      </w:r>
    </w:p>
    <w:p w:rsidR="00E87803" w:rsidRPr="000E2B5A" w:rsidRDefault="00E87803" w:rsidP="00D3182B">
      <w:pPr>
        <w:pStyle w:val="DefaultText"/>
        <w:jc w:val="both"/>
        <w:rPr>
          <w:rFonts w:ascii="Garamond" w:hAnsi="Garamond"/>
          <w:b/>
          <w:sz w:val="22"/>
          <w:szCs w:val="22"/>
        </w:rPr>
      </w:pPr>
    </w:p>
    <w:p w:rsidR="00E87803" w:rsidRPr="000E2B5A" w:rsidRDefault="00E87803" w:rsidP="00D3182B">
      <w:pPr>
        <w:pStyle w:val="DefaultText"/>
        <w:jc w:val="both"/>
        <w:rPr>
          <w:rFonts w:ascii="Bradley Hand ITC" w:hAnsi="Bradley Hand ITC"/>
          <w:sz w:val="28"/>
          <w:szCs w:val="22"/>
        </w:rPr>
      </w:pPr>
      <w:r w:rsidRPr="000E2B5A">
        <w:rPr>
          <w:rFonts w:ascii="Bradley Hand ITC" w:hAnsi="Bradley Hand ITC"/>
          <w:b/>
          <w:sz w:val="28"/>
          <w:szCs w:val="22"/>
        </w:rPr>
        <w:t xml:space="preserve">The </w:t>
      </w:r>
      <w:r w:rsidR="00527FB9" w:rsidRPr="000E2B5A">
        <w:rPr>
          <w:rFonts w:ascii="Bradley Hand ITC" w:hAnsi="Bradley Hand ITC"/>
          <w:b/>
          <w:sz w:val="28"/>
          <w:szCs w:val="22"/>
        </w:rPr>
        <w:t>E</w:t>
      </w:r>
      <w:r w:rsidRPr="000E2B5A">
        <w:rPr>
          <w:rFonts w:ascii="Bradley Hand ITC" w:hAnsi="Bradley Hand ITC"/>
          <w:b/>
          <w:sz w:val="28"/>
          <w:szCs w:val="22"/>
        </w:rPr>
        <w:t>vidence</w:t>
      </w: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That NT quotational variation (a phenomenon which has its precedent in the OT) is a complementary feature of the Biblical text is demonstrated by the case of around forty NT </w:t>
      </w:r>
      <w:r w:rsidR="005D74CB" w:rsidRPr="000E2B5A">
        <w:rPr>
          <w:rFonts w:ascii="Garamond" w:hAnsi="Garamond"/>
          <w:sz w:val="22"/>
          <w:szCs w:val="22"/>
        </w:rPr>
        <w:t>‘</w:t>
      </w:r>
      <w:r w:rsidRPr="000E2B5A">
        <w:rPr>
          <w:rFonts w:ascii="Garamond" w:hAnsi="Garamond"/>
          <w:sz w:val="22"/>
          <w:szCs w:val="22"/>
        </w:rPr>
        <w:t>parallel quotations</w:t>
      </w:r>
      <w:r w:rsidR="005D74CB" w:rsidRPr="000E2B5A">
        <w:rPr>
          <w:rFonts w:ascii="Garamond" w:hAnsi="Garamond"/>
          <w:sz w:val="22"/>
          <w:szCs w:val="22"/>
        </w:rPr>
        <w:t>’</w:t>
      </w:r>
      <w:r w:rsidRPr="000E2B5A">
        <w:rPr>
          <w:rFonts w:ascii="Garamond" w:hAnsi="Garamond"/>
          <w:sz w:val="22"/>
          <w:szCs w:val="22"/>
        </w:rPr>
        <w:t xml:space="preserve"> (some of which will be discussed below). A </w:t>
      </w:r>
      <w:r w:rsidR="005D74CB" w:rsidRPr="000E2B5A">
        <w:rPr>
          <w:rFonts w:ascii="Garamond" w:hAnsi="Garamond"/>
          <w:sz w:val="22"/>
          <w:szCs w:val="22"/>
        </w:rPr>
        <w:t>‘</w:t>
      </w:r>
      <w:r w:rsidRPr="000E2B5A">
        <w:rPr>
          <w:rFonts w:ascii="Garamond" w:hAnsi="Garamond"/>
          <w:sz w:val="22"/>
          <w:szCs w:val="22"/>
        </w:rPr>
        <w:t>parallel quotation</w:t>
      </w:r>
      <w:r w:rsidR="005D74CB" w:rsidRPr="000E2B5A">
        <w:rPr>
          <w:rFonts w:ascii="Garamond" w:hAnsi="Garamond"/>
          <w:sz w:val="22"/>
          <w:szCs w:val="22"/>
        </w:rPr>
        <w:t>’</w:t>
      </w:r>
      <w:r w:rsidRPr="000E2B5A">
        <w:rPr>
          <w:rFonts w:ascii="Garamond" w:hAnsi="Garamond"/>
          <w:sz w:val="22"/>
          <w:szCs w:val="22"/>
        </w:rPr>
        <w:t xml:space="preserve"> is where the NT makes repeated use, twice or more, of the same fragment of the OT.  It may exhibit the   same characteristics (verbatim wording, or free variation) found in the non-parallel variety.  </w:t>
      </w:r>
    </w:p>
    <w:p w:rsidR="00E87803" w:rsidRPr="000E2B5A" w:rsidRDefault="00E87803" w:rsidP="00D3182B">
      <w:pPr>
        <w:pStyle w:val="DefaultText"/>
        <w:jc w:val="both"/>
        <w:rPr>
          <w:rFonts w:ascii="Garamond" w:hAnsi="Garamond"/>
          <w:sz w:val="22"/>
          <w:szCs w:val="22"/>
        </w:rPr>
      </w:pPr>
    </w:p>
    <w:p w:rsidR="00E87803" w:rsidRPr="000E2B5A" w:rsidRDefault="00527FB9" w:rsidP="00D3182B">
      <w:pPr>
        <w:pStyle w:val="DefaultText"/>
        <w:jc w:val="both"/>
        <w:rPr>
          <w:rFonts w:ascii="Garamond" w:hAnsi="Garamond"/>
          <w:sz w:val="22"/>
          <w:szCs w:val="22"/>
        </w:rPr>
      </w:pPr>
      <w:r w:rsidRPr="000E2B5A">
        <w:rPr>
          <w:rFonts w:ascii="Garamond" w:hAnsi="Garamond"/>
          <w:sz w:val="22"/>
          <w:szCs w:val="22"/>
        </w:rPr>
        <w:t>W</w:t>
      </w:r>
      <w:r w:rsidR="00E87803" w:rsidRPr="000E2B5A">
        <w:rPr>
          <w:rFonts w:ascii="Garamond" w:hAnsi="Garamond"/>
          <w:sz w:val="22"/>
          <w:szCs w:val="22"/>
        </w:rPr>
        <w:t xml:space="preserve">hat is of interest here is </w:t>
      </w:r>
      <w:r w:rsidRPr="000E2B5A">
        <w:rPr>
          <w:rFonts w:ascii="Garamond" w:hAnsi="Garamond"/>
          <w:sz w:val="22"/>
          <w:szCs w:val="22"/>
        </w:rPr>
        <w:t xml:space="preserve">that </w:t>
      </w:r>
      <w:r w:rsidR="00E87803" w:rsidRPr="000E2B5A">
        <w:rPr>
          <w:rFonts w:ascii="Garamond" w:hAnsi="Garamond"/>
          <w:sz w:val="22"/>
          <w:szCs w:val="22"/>
        </w:rPr>
        <w:t xml:space="preserve">a single OT quotation can be differently worded, or treated, within its several NT presentations. This is evidence for showing the NT </w:t>
      </w:r>
      <w:r w:rsidRPr="000E2B5A">
        <w:rPr>
          <w:rFonts w:ascii="Garamond" w:hAnsi="Garamond"/>
          <w:sz w:val="22"/>
          <w:szCs w:val="22"/>
        </w:rPr>
        <w:t>producing quotational variation</w:t>
      </w:r>
      <w:r w:rsidR="00443D41" w:rsidRPr="000E2B5A">
        <w:rPr>
          <w:rFonts w:ascii="Garamond" w:hAnsi="Garamond"/>
          <w:sz w:val="22"/>
          <w:szCs w:val="22"/>
        </w:rPr>
        <w:t>. T</w:t>
      </w:r>
      <w:r w:rsidRPr="000E2B5A">
        <w:rPr>
          <w:rFonts w:ascii="Garamond" w:hAnsi="Garamond"/>
          <w:sz w:val="22"/>
          <w:szCs w:val="22"/>
        </w:rPr>
        <w:t xml:space="preserve">hus, </w:t>
      </w:r>
      <w:r w:rsidR="00E87803" w:rsidRPr="000E2B5A">
        <w:rPr>
          <w:rFonts w:ascii="Garamond" w:hAnsi="Garamond"/>
          <w:sz w:val="22"/>
          <w:szCs w:val="22"/>
        </w:rPr>
        <w:t xml:space="preserve">the NT is responsible for the alterations to the repeated OT passage cited.  Therefore, since the NT does this for parallel quotations within the NT, it is quite consistent to accept that it does so for non-parallel quotations (e.g. </w:t>
      </w:r>
      <w:r w:rsidRPr="000E2B5A">
        <w:rPr>
          <w:rFonts w:ascii="Garamond" w:hAnsi="Garamond"/>
          <w:sz w:val="22"/>
          <w:szCs w:val="22"/>
        </w:rPr>
        <w:t xml:space="preserve">in </w:t>
      </w:r>
      <w:r w:rsidR="00E87803" w:rsidRPr="000E2B5A">
        <w:rPr>
          <w:rFonts w:ascii="Garamond" w:hAnsi="Garamond"/>
          <w:sz w:val="22"/>
          <w:szCs w:val="22"/>
        </w:rPr>
        <w:t>Heb 10:5</w:t>
      </w:r>
      <w:r w:rsidRPr="000E2B5A">
        <w:rPr>
          <w:rFonts w:ascii="Garamond" w:hAnsi="Garamond"/>
          <w:sz w:val="22"/>
          <w:szCs w:val="22"/>
        </w:rPr>
        <w:t xml:space="preserve"> and</w:t>
      </w:r>
      <w:r w:rsidR="00E87803" w:rsidRPr="000E2B5A">
        <w:rPr>
          <w:rFonts w:ascii="Garamond" w:hAnsi="Garamond"/>
          <w:sz w:val="22"/>
          <w:szCs w:val="22"/>
        </w:rPr>
        <w:t xml:space="preserve"> Ps 40:6).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Parallel quotations support the view that variation in quotation should be accepted as the way </w:t>
      </w:r>
      <w:r w:rsidR="00527FB9" w:rsidRPr="000E2B5A">
        <w:rPr>
          <w:rFonts w:ascii="Garamond" w:hAnsi="Garamond"/>
          <w:sz w:val="22"/>
          <w:szCs w:val="22"/>
        </w:rPr>
        <w:t>d</w:t>
      </w:r>
      <w:r w:rsidRPr="000E2B5A">
        <w:rPr>
          <w:rFonts w:ascii="Garamond" w:hAnsi="Garamond"/>
          <w:sz w:val="22"/>
          <w:szCs w:val="22"/>
        </w:rPr>
        <w:t>ivine revelation works.  Such a view can be related to Gospel parallels.  Having more than one Gospel and with variations between the Gospels</w:t>
      </w:r>
      <w:r w:rsidR="005D74CB" w:rsidRPr="000E2B5A">
        <w:rPr>
          <w:rFonts w:ascii="Garamond" w:hAnsi="Garamond"/>
          <w:sz w:val="22"/>
          <w:szCs w:val="22"/>
        </w:rPr>
        <w:t>’</w:t>
      </w:r>
      <w:r w:rsidRPr="000E2B5A">
        <w:rPr>
          <w:rFonts w:ascii="Garamond" w:hAnsi="Garamond"/>
          <w:sz w:val="22"/>
          <w:szCs w:val="22"/>
        </w:rPr>
        <w:t xml:space="preserve"> accounts of the same moment, </w:t>
      </w:r>
      <w:r w:rsidRPr="000E2B5A">
        <w:rPr>
          <w:rFonts w:ascii="Garamond" w:hAnsi="Garamond"/>
          <w:i/>
          <w:sz w:val="22"/>
          <w:szCs w:val="22"/>
        </w:rPr>
        <w:t>can</w:t>
      </w:r>
      <w:r w:rsidRPr="000E2B5A">
        <w:rPr>
          <w:rFonts w:ascii="Garamond" w:hAnsi="Garamond"/>
          <w:sz w:val="22"/>
          <w:szCs w:val="22"/>
        </w:rPr>
        <w:t xml:space="preserve"> be construed (e.g., not as a </w:t>
      </w:r>
      <w:r w:rsidR="005D74CB" w:rsidRPr="000E2B5A">
        <w:rPr>
          <w:rFonts w:ascii="Garamond" w:hAnsi="Garamond"/>
          <w:sz w:val="22"/>
          <w:szCs w:val="22"/>
        </w:rPr>
        <w:t>“</w:t>
      </w:r>
      <w:r w:rsidRPr="000E2B5A">
        <w:rPr>
          <w:rFonts w:ascii="Garamond" w:hAnsi="Garamond"/>
          <w:sz w:val="22"/>
          <w:szCs w:val="22"/>
        </w:rPr>
        <w:t>Synoptic problem</w:t>
      </w:r>
      <w:r w:rsidR="005D74CB" w:rsidRPr="000E2B5A">
        <w:rPr>
          <w:rFonts w:ascii="Garamond" w:hAnsi="Garamond"/>
          <w:sz w:val="22"/>
          <w:szCs w:val="22"/>
        </w:rPr>
        <w:t>”</w:t>
      </w:r>
      <w:r w:rsidRPr="000E2B5A">
        <w:rPr>
          <w:rFonts w:ascii="Garamond" w:hAnsi="Garamond"/>
          <w:sz w:val="22"/>
          <w:szCs w:val="22"/>
        </w:rPr>
        <w:t xml:space="preserve"> but) as a mode of presentation with complementary facets of that circumstance.  Sometimes they may seem difficult to understand, or to piece together, nevertheless, their different elements combine to expound the moment, or to complete (God</w:t>
      </w:r>
      <w:r w:rsidR="005D74CB" w:rsidRPr="000E2B5A">
        <w:rPr>
          <w:rFonts w:ascii="Garamond" w:hAnsi="Garamond"/>
          <w:sz w:val="22"/>
          <w:szCs w:val="22"/>
        </w:rPr>
        <w:t>’</w:t>
      </w:r>
      <w:r w:rsidRPr="000E2B5A">
        <w:rPr>
          <w:rFonts w:ascii="Garamond" w:hAnsi="Garamond"/>
          <w:sz w:val="22"/>
          <w:szCs w:val="22"/>
        </w:rPr>
        <w:t xml:space="preserve">s view of) the picture. </w:t>
      </w:r>
    </w:p>
    <w:p w:rsidR="00204411" w:rsidRPr="000E2B5A" w:rsidRDefault="00204411" w:rsidP="00D3182B">
      <w:pPr>
        <w:pStyle w:val="DefaultText"/>
        <w:jc w:val="both"/>
        <w:rPr>
          <w:rFonts w:ascii="Garamond" w:hAnsi="Garamond"/>
          <w:sz w:val="22"/>
          <w:szCs w:val="22"/>
        </w:rPr>
      </w:pPr>
    </w:p>
    <w:p w:rsidR="00E87803" w:rsidRPr="000E2B5A" w:rsidRDefault="00204411" w:rsidP="00D3182B">
      <w:pPr>
        <w:pStyle w:val="DefaultText"/>
        <w:jc w:val="both"/>
        <w:rPr>
          <w:rFonts w:ascii="Bradley Hand ITC" w:hAnsi="Bradley Hand ITC"/>
          <w:b/>
          <w:sz w:val="28"/>
          <w:szCs w:val="22"/>
        </w:rPr>
      </w:pPr>
      <w:r w:rsidRPr="000E2B5A">
        <w:rPr>
          <w:rFonts w:ascii="Bradley Hand ITC" w:hAnsi="Bradley Hand ITC"/>
          <w:b/>
          <w:sz w:val="28"/>
          <w:szCs w:val="22"/>
        </w:rPr>
        <w:t>Gospel Parallels</w:t>
      </w: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A parallel Gospel account is itself like </w:t>
      </w:r>
      <w:r w:rsidR="005D74CB" w:rsidRPr="000E2B5A">
        <w:rPr>
          <w:rFonts w:ascii="Garamond" w:hAnsi="Garamond"/>
          <w:sz w:val="22"/>
          <w:szCs w:val="22"/>
        </w:rPr>
        <w:t>‘</w:t>
      </w:r>
      <w:r w:rsidRPr="000E2B5A">
        <w:rPr>
          <w:rFonts w:ascii="Garamond" w:hAnsi="Garamond"/>
          <w:sz w:val="22"/>
          <w:szCs w:val="22"/>
        </w:rPr>
        <w:t>quotation</w:t>
      </w:r>
      <w:r w:rsidR="005D74CB" w:rsidRPr="000E2B5A">
        <w:rPr>
          <w:rFonts w:ascii="Garamond" w:hAnsi="Garamond"/>
          <w:sz w:val="22"/>
          <w:szCs w:val="22"/>
        </w:rPr>
        <w:t>’</w:t>
      </w:r>
      <w:r w:rsidRPr="000E2B5A">
        <w:rPr>
          <w:rFonts w:ascii="Garamond" w:hAnsi="Garamond"/>
          <w:sz w:val="22"/>
          <w:szCs w:val="22"/>
        </w:rPr>
        <w:t xml:space="preserve"> of what took place; its variations are informative.</w:t>
      </w:r>
      <w:r w:rsidRPr="000E2B5A">
        <w:rPr>
          <w:rFonts w:ascii="Garamond" w:hAnsi="Garamond"/>
          <w:sz w:val="22"/>
          <w:szCs w:val="22"/>
          <w:vertAlign w:val="superscript"/>
        </w:rPr>
        <w:footnoteReference w:id="14"/>
      </w:r>
    </w:p>
    <w:p w:rsidR="00E87803" w:rsidRPr="000E2B5A" w:rsidRDefault="00443D41" w:rsidP="00443D41">
      <w:pPr>
        <w:pStyle w:val="DefaultText"/>
        <w:rPr>
          <w:rFonts w:ascii="Garamond" w:hAnsi="Garamond"/>
          <w:sz w:val="22"/>
          <w:szCs w:val="22"/>
          <w:u w:val="single"/>
        </w:rPr>
      </w:pPr>
      <w:r w:rsidRPr="000E2B5A">
        <w:rPr>
          <w:rFonts w:ascii="Garamond" w:hAnsi="Garamond"/>
          <w:sz w:val="22"/>
          <w:szCs w:val="22"/>
        </w:rPr>
        <w:lastRenderedPageBreak/>
        <w:t xml:space="preserve">(1) </w:t>
      </w:r>
      <w:r w:rsidR="00E87803" w:rsidRPr="000E2B5A">
        <w:rPr>
          <w:rFonts w:ascii="Garamond" w:hAnsi="Garamond"/>
          <w:sz w:val="22"/>
          <w:szCs w:val="22"/>
          <w:u w:val="single"/>
        </w:rPr>
        <w:t>Gospel parallels and their application to quotations</w:t>
      </w:r>
    </w:p>
    <w:p w:rsidR="00185B78" w:rsidRPr="000E2B5A" w:rsidRDefault="00185B78"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The differences often fou</w:t>
      </w:r>
      <w:r w:rsidR="00E87750" w:rsidRPr="000E2B5A">
        <w:rPr>
          <w:rFonts w:ascii="Garamond" w:hAnsi="Garamond"/>
          <w:sz w:val="22"/>
          <w:szCs w:val="22"/>
        </w:rPr>
        <w:t>nd in NT quotations from the OT</w:t>
      </w:r>
      <w:r w:rsidRPr="000E2B5A">
        <w:rPr>
          <w:rFonts w:ascii="Garamond" w:hAnsi="Garamond"/>
          <w:sz w:val="22"/>
          <w:szCs w:val="22"/>
        </w:rPr>
        <w:t xml:space="preserve"> are comparable with the nature</w:t>
      </w:r>
      <w:r w:rsidR="00AB2A8D" w:rsidRPr="000E2B5A">
        <w:rPr>
          <w:rFonts w:ascii="Garamond" w:hAnsi="Garamond"/>
          <w:sz w:val="22"/>
          <w:szCs w:val="22"/>
        </w:rPr>
        <w:t xml:space="preserve"> and</w:t>
      </w:r>
      <w:r w:rsidRPr="000E2B5A">
        <w:rPr>
          <w:rFonts w:ascii="Garamond" w:hAnsi="Garamond"/>
          <w:sz w:val="22"/>
          <w:szCs w:val="22"/>
        </w:rPr>
        <w:t xml:space="preserve"> range of differences which exist in the Gospel accounts of the life of Christ.  </w:t>
      </w:r>
      <w:r w:rsidRPr="000E2B5A">
        <w:rPr>
          <w:rFonts w:ascii="Garamond" w:hAnsi="Garamond"/>
          <w:i/>
          <w:sz w:val="22"/>
          <w:szCs w:val="22"/>
        </w:rPr>
        <w:t>Nazareth Revisited</w:t>
      </w:r>
      <w:r w:rsidRPr="000E2B5A">
        <w:rPr>
          <w:rFonts w:ascii="Garamond" w:hAnsi="Garamond"/>
          <w:sz w:val="22"/>
          <w:szCs w:val="22"/>
        </w:rPr>
        <w:t xml:space="preserve"> is R</w:t>
      </w:r>
      <w:r w:rsidR="00AB2A8D" w:rsidRPr="000E2B5A">
        <w:rPr>
          <w:rFonts w:ascii="Garamond" w:hAnsi="Garamond"/>
          <w:sz w:val="22"/>
          <w:szCs w:val="22"/>
        </w:rPr>
        <w:t>.</w:t>
      </w:r>
      <w:r w:rsidRPr="000E2B5A">
        <w:rPr>
          <w:rFonts w:ascii="Garamond" w:hAnsi="Garamond"/>
          <w:sz w:val="22"/>
          <w:szCs w:val="22"/>
        </w:rPr>
        <w:t xml:space="preserve"> Roberts</w:t>
      </w:r>
      <w:r w:rsidR="005D74CB" w:rsidRPr="000E2B5A">
        <w:rPr>
          <w:rFonts w:ascii="Garamond" w:hAnsi="Garamond"/>
          <w:sz w:val="22"/>
          <w:szCs w:val="22"/>
        </w:rPr>
        <w:t>’</w:t>
      </w:r>
      <w:r w:rsidR="00AB2A8D" w:rsidRPr="000E2B5A">
        <w:rPr>
          <w:rFonts w:ascii="Garamond" w:hAnsi="Garamond"/>
          <w:sz w:val="22"/>
          <w:szCs w:val="22"/>
        </w:rPr>
        <w:t xml:space="preserve"> </w:t>
      </w:r>
      <w:r w:rsidRPr="000E2B5A">
        <w:rPr>
          <w:rFonts w:ascii="Garamond" w:hAnsi="Garamond"/>
          <w:sz w:val="22"/>
          <w:szCs w:val="22"/>
        </w:rPr>
        <w:t xml:space="preserve">portrayal of </w:t>
      </w:r>
      <w:r w:rsidR="005D74CB" w:rsidRPr="000E2B5A">
        <w:rPr>
          <w:rFonts w:ascii="Garamond" w:hAnsi="Garamond"/>
          <w:sz w:val="22"/>
          <w:szCs w:val="22"/>
        </w:rPr>
        <w:t>“</w:t>
      </w:r>
      <w:r w:rsidRPr="000E2B5A">
        <w:rPr>
          <w:rFonts w:ascii="Garamond" w:hAnsi="Garamond"/>
          <w:sz w:val="22"/>
          <w:szCs w:val="22"/>
        </w:rPr>
        <w:t>Christ</w:t>
      </w:r>
      <w:r w:rsidR="005D74CB" w:rsidRPr="000E2B5A">
        <w:rPr>
          <w:rFonts w:ascii="Garamond" w:hAnsi="Garamond"/>
          <w:sz w:val="22"/>
          <w:szCs w:val="22"/>
        </w:rPr>
        <w:t>’</w:t>
      </w:r>
      <w:r w:rsidRPr="000E2B5A">
        <w:rPr>
          <w:rFonts w:ascii="Garamond" w:hAnsi="Garamond"/>
          <w:sz w:val="22"/>
          <w:szCs w:val="22"/>
        </w:rPr>
        <w:t>s wonderful life in biographical form</w:t>
      </w:r>
      <w:r w:rsidR="005D74CB" w:rsidRPr="000E2B5A">
        <w:rPr>
          <w:rFonts w:ascii="Garamond" w:hAnsi="Garamond"/>
          <w:sz w:val="22"/>
          <w:szCs w:val="22"/>
        </w:rPr>
        <w:t>”</w:t>
      </w:r>
      <w:r w:rsidRPr="000E2B5A">
        <w:rPr>
          <w:rFonts w:ascii="Garamond" w:hAnsi="Garamond"/>
          <w:sz w:val="22"/>
          <w:szCs w:val="22"/>
        </w:rPr>
        <w:t>.</w:t>
      </w:r>
      <w:r w:rsidRPr="000E2B5A">
        <w:rPr>
          <w:rFonts w:ascii="Garamond" w:hAnsi="Garamond"/>
          <w:sz w:val="22"/>
          <w:szCs w:val="22"/>
          <w:vertAlign w:val="superscript"/>
        </w:rPr>
        <w:footnoteReference w:id="15"/>
      </w:r>
      <w:r w:rsidRPr="000E2B5A">
        <w:rPr>
          <w:rFonts w:ascii="Garamond" w:hAnsi="Garamond"/>
          <w:sz w:val="22"/>
          <w:szCs w:val="22"/>
        </w:rPr>
        <w:t xml:space="preserve"> In his Preface, Roberts confronts the fact of variations of reportage in the Gospels, whilst observing that </w:t>
      </w:r>
      <w:r w:rsidR="005D74CB" w:rsidRPr="000E2B5A">
        <w:rPr>
          <w:rFonts w:ascii="Garamond" w:hAnsi="Garamond"/>
          <w:sz w:val="22"/>
          <w:szCs w:val="22"/>
        </w:rPr>
        <w:t>“</w:t>
      </w:r>
      <w:r w:rsidRPr="000E2B5A">
        <w:rPr>
          <w:rFonts w:ascii="Garamond" w:hAnsi="Garamond"/>
          <w:sz w:val="22"/>
          <w:szCs w:val="22"/>
        </w:rPr>
        <w:t xml:space="preserve">there is no </w:t>
      </w:r>
      <w:r w:rsidR="00AB2A8D" w:rsidRPr="000E2B5A">
        <w:rPr>
          <w:rFonts w:ascii="Garamond" w:hAnsi="Garamond"/>
          <w:sz w:val="22"/>
          <w:szCs w:val="22"/>
        </w:rPr>
        <w:t>profession of a verbatim report</w:t>
      </w:r>
      <w:r w:rsidR="005D74CB" w:rsidRPr="000E2B5A">
        <w:rPr>
          <w:rFonts w:ascii="Garamond" w:hAnsi="Garamond"/>
          <w:sz w:val="22"/>
          <w:szCs w:val="22"/>
        </w:rPr>
        <w:t>”</w:t>
      </w:r>
      <w:r w:rsidR="00AB2A8D" w:rsidRPr="000E2B5A">
        <w:rPr>
          <w:rFonts w:ascii="Garamond" w:hAnsi="Garamond"/>
          <w:sz w:val="22"/>
          <w:szCs w:val="22"/>
        </w:rPr>
        <w:t>.</w:t>
      </w:r>
      <w:r w:rsidRPr="000E2B5A">
        <w:rPr>
          <w:rFonts w:ascii="Garamond" w:hAnsi="Garamond"/>
          <w:sz w:val="22"/>
          <w:szCs w:val="22"/>
          <w:vertAlign w:val="superscript"/>
        </w:rPr>
        <w:footnoteReference w:id="16"/>
      </w:r>
      <w:r w:rsidRPr="000E2B5A">
        <w:rPr>
          <w:rFonts w:ascii="Garamond" w:hAnsi="Garamond"/>
          <w:sz w:val="22"/>
          <w:szCs w:val="22"/>
        </w:rPr>
        <w:t xml:space="preserve">  His words are a useful prelude to this present discussion:  </w:t>
      </w:r>
    </w:p>
    <w:p w:rsidR="00E87803" w:rsidRPr="000E2B5A" w:rsidRDefault="00E87803" w:rsidP="00D3182B">
      <w:pPr>
        <w:pStyle w:val="DefaultText"/>
        <w:jc w:val="both"/>
        <w:rPr>
          <w:rFonts w:ascii="Garamond" w:hAnsi="Garamond"/>
          <w:sz w:val="22"/>
          <w:szCs w:val="22"/>
        </w:rPr>
      </w:pPr>
    </w:p>
    <w:p w:rsidR="00E87803" w:rsidRPr="000E2B5A" w:rsidRDefault="00E87803" w:rsidP="00AB2A8D">
      <w:pPr>
        <w:pStyle w:val="DefaultText"/>
        <w:ind w:left="612" w:right="604"/>
        <w:jc w:val="both"/>
        <w:rPr>
          <w:rFonts w:ascii="Garamond" w:hAnsi="Garamond"/>
          <w:sz w:val="22"/>
          <w:szCs w:val="22"/>
        </w:rPr>
      </w:pPr>
      <w:r w:rsidRPr="000E2B5A">
        <w:rPr>
          <w:rFonts w:ascii="Garamond" w:hAnsi="Garamond"/>
          <w:sz w:val="22"/>
          <w:szCs w:val="22"/>
        </w:rPr>
        <w:t>...the Spirit</w:t>
      </w:r>
      <w:r w:rsidR="005D74CB" w:rsidRPr="000E2B5A">
        <w:rPr>
          <w:rFonts w:ascii="Garamond" w:hAnsi="Garamond"/>
          <w:sz w:val="22"/>
          <w:szCs w:val="22"/>
        </w:rPr>
        <w:t>’</w:t>
      </w:r>
      <w:r w:rsidRPr="000E2B5A">
        <w:rPr>
          <w:rFonts w:ascii="Garamond" w:hAnsi="Garamond"/>
          <w:sz w:val="22"/>
          <w:szCs w:val="22"/>
        </w:rPr>
        <w:t xml:space="preserve">s union with the apostles in the authorship...imparted a liberty of variation not permissible to a merely human reporter. The Spirit was the author of all the sayings and doings recorded, and could therefore paraphrase or vary the descriptions of His own acts or utterances, with the liberty that any author exercises in reference to his own productions.  It is the failure to </w:t>
      </w:r>
      <w:r w:rsidRPr="000E2B5A">
        <w:rPr>
          <w:rFonts w:ascii="Garamond" w:hAnsi="Garamond"/>
          <w:sz w:val="22"/>
          <w:szCs w:val="22"/>
          <w:lang w:val="en-GB"/>
        </w:rPr>
        <w:t>recognise</w:t>
      </w:r>
      <w:r w:rsidRPr="000E2B5A">
        <w:rPr>
          <w:rFonts w:ascii="Garamond" w:hAnsi="Garamond"/>
          <w:sz w:val="22"/>
          <w:szCs w:val="22"/>
        </w:rPr>
        <w:t xml:space="preserve"> the all-prevailing presence of the Spirit of God in the production of these writings that creates the difficulties of criticism. Rules applicable to merely human productions are applied to a class of composition which is outside the ordinary literary category altogether.  There is no parallel between a human writer who puts down his own thoughts and impressions merely, and one whose mentality is fused for the time being with a guiding mind outside his own, whose servant he is, and under whose influence he may even write things he does not understand.</w:t>
      </w:r>
      <w:r w:rsidRPr="000E2B5A">
        <w:rPr>
          <w:rFonts w:ascii="Garamond" w:hAnsi="Garamond"/>
          <w:sz w:val="22"/>
          <w:szCs w:val="22"/>
          <w:vertAlign w:val="superscript"/>
        </w:rPr>
        <w:footnoteReference w:id="17"/>
      </w:r>
      <w:r w:rsidRPr="000E2B5A">
        <w:rPr>
          <w:rFonts w:ascii="Garamond" w:hAnsi="Garamond"/>
          <w:sz w:val="22"/>
          <w:szCs w:val="22"/>
        </w:rPr>
        <w:t xml:space="preserve">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Roberts</w:t>
      </w:r>
      <w:r w:rsidR="005D74CB" w:rsidRPr="000E2B5A">
        <w:rPr>
          <w:rFonts w:ascii="Garamond" w:hAnsi="Garamond"/>
          <w:sz w:val="22"/>
          <w:szCs w:val="22"/>
        </w:rPr>
        <w:t>’</w:t>
      </w:r>
      <w:r w:rsidRPr="000E2B5A">
        <w:rPr>
          <w:rFonts w:ascii="Garamond" w:hAnsi="Garamond"/>
          <w:sz w:val="22"/>
          <w:szCs w:val="22"/>
        </w:rPr>
        <w:t xml:space="preserve"> main thrust is illustrative of an understanding of </w:t>
      </w:r>
      <w:r w:rsidR="005D74CB" w:rsidRPr="000E2B5A">
        <w:rPr>
          <w:rFonts w:ascii="Garamond" w:hAnsi="Garamond"/>
          <w:sz w:val="22"/>
          <w:szCs w:val="22"/>
        </w:rPr>
        <w:t>“</w:t>
      </w:r>
      <w:r w:rsidRPr="000E2B5A">
        <w:rPr>
          <w:rFonts w:ascii="Garamond" w:hAnsi="Garamond"/>
          <w:sz w:val="22"/>
          <w:szCs w:val="22"/>
        </w:rPr>
        <w:t>verbal inspiration</w:t>
      </w:r>
      <w:r w:rsidR="005D74CB" w:rsidRPr="000E2B5A">
        <w:rPr>
          <w:rFonts w:ascii="Garamond" w:hAnsi="Garamond"/>
          <w:sz w:val="22"/>
          <w:szCs w:val="22"/>
        </w:rPr>
        <w:t>”</w:t>
      </w:r>
      <w:r w:rsidRPr="000E2B5A">
        <w:rPr>
          <w:rFonts w:ascii="Garamond" w:hAnsi="Garamond"/>
          <w:sz w:val="22"/>
          <w:szCs w:val="22"/>
        </w:rPr>
        <w:t xml:space="preserve"> which lies behind the Christadelphian Statement of Faith.  In this particular matter he contrasts the limitations of human literary composition with Divine revelation.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What should count as truth in inspired texts is not determined by narrative expectations based on human creativity, or fallible reportage</w:t>
      </w:r>
      <w:r w:rsidR="00AB2A8D" w:rsidRPr="000E2B5A">
        <w:rPr>
          <w:rFonts w:ascii="Garamond" w:hAnsi="Garamond"/>
          <w:sz w:val="22"/>
          <w:szCs w:val="22"/>
        </w:rPr>
        <w:t>, hence,</w:t>
      </w:r>
      <w:r w:rsidRPr="000E2B5A">
        <w:rPr>
          <w:rFonts w:ascii="Garamond" w:hAnsi="Garamond"/>
          <w:sz w:val="22"/>
          <w:szCs w:val="22"/>
        </w:rPr>
        <w:t xml:space="preserve"> </w:t>
      </w:r>
      <w:r w:rsidR="005D74CB" w:rsidRPr="000E2B5A">
        <w:rPr>
          <w:rFonts w:ascii="Garamond" w:hAnsi="Garamond"/>
          <w:sz w:val="22"/>
          <w:szCs w:val="22"/>
        </w:rPr>
        <w:t>“</w:t>
      </w:r>
      <w:r w:rsidRPr="000E2B5A">
        <w:rPr>
          <w:rFonts w:ascii="Garamond" w:hAnsi="Garamond"/>
          <w:sz w:val="22"/>
          <w:szCs w:val="22"/>
        </w:rPr>
        <w:t xml:space="preserve">Difficulty only </w:t>
      </w:r>
      <w:r w:rsidRPr="000E2B5A">
        <w:rPr>
          <w:rFonts w:ascii="Garamond" w:hAnsi="Garamond"/>
          <w:sz w:val="22"/>
          <w:szCs w:val="22"/>
        </w:rPr>
        <w:lastRenderedPageBreak/>
        <w:t>arises when a false assumption is introduced as to what an inspired account ought to be</w:t>
      </w:r>
      <w:r w:rsidR="005D74CB" w:rsidRPr="000E2B5A">
        <w:rPr>
          <w:rFonts w:ascii="Garamond" w:hAnsi="Garamond"/>
          <w:sz w:val="22"/>
          <w:szCs w:val="22"/>
        </w:rPr>
        <w:t>”</w:t>
      </w:r>
      <w:r w:rsidR="00AB2A8D" w:rsidRPr="000E2B5A">
        <w:rPr>
          <w:rFonts w:ascii="Garamond" w:hAnsi="Garamond"/>
          <w:sz w:val="22"/>
          <w:szCs w:val="22"/>
        </w:rPr>
        <w:t>.</w:t>
      </w:r>
      <w:r w:rsidRPr="000E2B5A">
        <w:rPr>
          <w:rFonts w:ascii="Garamond" w:hAnsi="Garamond"/>
          <w:sz w:val="22"/>
          <w:szCs w:val="22"/>
          <w:vertAlign w:val="superscript"/>
        </w:rPr>
        <w:footnoteReference w:id="18"/>
      </w:r>
      <w:r w:rsidRPr="000E2B5A">
        <w:rPr>
          <w:rFonts w:ascii="Garamond" w:hAnsi="Garamond"/>
          <w:sz w:val="22"/>
          <w:szCs w:val="22"/>
        </w:rPr>
        <w:t xml:space="preserve">  Th</w:t>
      </w:r>
      <w:r w:rsidR="00AB2A8D" w:rsidRPr="000E2B5A">
        <w:rPr>
          <w:rFonts w:ascii="Garamond" w:hAnsi="Garamond"/>
          <w:sz w:val="22"/>
          <w:szCs w:val="22"/>
        </w:rPr>
        <w:t>i</w:t>
      </w:r>
      <w:r w:rsidRPr="000E2B5A">
        <w:rPr>
          <w:rFonts w:ascii="Garamond" w:hAnsi="Garamond"/>
          <w:sz w:val="22"/>
          <w:szCs w:val="22"/>
        </w:rPr>
        <w:t>s said, he adds:</w:t>
      </w:r>
    </w:p>
    <w:p w:rsidR="00E87750" w:rsidRPr="000E2B5A" w:rsidRDefault="00E87750" w:rsidP="00D3182B">
      <w:pPr>
        <w:pStyle w:val="DefaultText"/>
        <w:jc w:val="both"/>
        <w:rPr>
          <w:rFonts w:ascii="Garamond" w:hAnsi="Garamond"/>
          <w:sz w:val="22"/>
          <w:szCs w:val="22"/>
        </w:rPr>
      </w:pPr>
    </w:p>
    <w:p w:rsidR="00E87803" w:rsidRPr="000E2B5A" w:rsidRDefault="00E87803" w:rsidP="00D3182B">
      <w:pPr>
        <w:pStyle w:val="DefaultText"/>
        <w:ind w:left="555" w:right="490"/>
        <w:jc w:val="both"/>
        <w:rPr>
          <w:rFonts w:ascii="Garamond" w:hAnsi="Garamond"/>
          <w:sz w:val="22"/>
          <w:szCs w:val="22"/>
        </w:rPr>
      </w:pPr>
      <w:r w:rsidRPr="000E2B5A">
        <w:rPr>
          <w:rFonts w:ascii="Garamond" w:hAnsi="Garamond"/>
          <w:sz w:val="22"/>
          <w:szCs w:val="22"/>
        </w:rPr>
        <w:t>It is impossible to impute [the apostolic writings] to error if we allow the participation of the Spirit of God in the work...There are variations in the apostolic narratives, but variation is not error. Four men necessarily relate the same matter in different ways...Mental operation is too subtle a thing to be held in stereotyped grooves...their diversities</w:t>
      </w:r>
      <w:r w:rsidR="0058608C" w:rsidRPr="000E2B5A">
        <w:rPr>
          <w:rStyle w:val="FootnoteReference"/>
          <w:rFonts w:ascii="Garamond" w:hAnsi="Garamond"/>
          <w:sz w:val="22"/>
          <w:szCs w:val="22"/>
        </w:rPr>
        <w:footnoteReference w:id="19"/>
      </w:r>
      <w:r w:rsidR="0058608C" w:rsidRPr="000E2B5A">
        <w:rPr>
          <w:rFonts w:ascii="Garamond" w:hAnsi="Garamond"/>
          <w:sz w:val="22"/>
          <w:szCs w:val="22"/>
        </w:rPr>
        <w:t xml:space="preserve"> </w:t>
      </w:r>
      <w:r w:rsidRPr="000E2B5A">
        <w:rPr>
          <w:rFonts w:ascii="Garamond" w:hAnsi="Garamond"/>
          <w:sz w:val="22"/>
          <w:szCs w:val="22"/>
        </w:rPr>
        <w:t xml:space="preserve"> are held in strict subordination to truth. Their narrative was controlled by the Spirit.  The Spirit knowing all meanings can secure the exact meaning in a diversity of forms...Hence, the variations are not inconsistent with the Spirit</w:t>
      </w:r>
      <w:r w:rsidR="005D74CB" w:rsidRPr="000E2B5A">
        <w:rPr>
          <w:rFonts w:ascii="Garamond" w:hAnsi="Garamond"/>
          <w:sz w:val="22"/>
          <w:szCs w:val="22"/>
        </w:rPr>
        <w:t>’</w:t>
      </w:r>
      <w:r w:rsidRPr="000E2B5A">
        <w:rPr>
          <w:rFonts w:ascii="Garamond" w:hAnsi="Garamond"/>
          <w:sz w:val="22"/>
          <w:szCs w:val="22"/>
        </w:rPr>
        <w:t>s guidance.</w:t>
      </w:r>
      <w:r w:rsidRPr="000E2B5A">
        <w:rPr>
          <w:rFonts w:ascii="Garamond" w:hAnsi="Garamond"/>
          <w:sz w:val="22"/>
          <w:szCs w:val="22"/>
          <w:vertAlign w:val="superscript"/>
        </w:rPr>
        <w:footnoteReference w:id="20"/>
      </w:r>
    </w:p>
    <w:p w:rsidR="00E87803" w:rsidRPr="000E2B5A" w:rsidRDefault="00E87803" w:rsidP="00D3182B">
      <w:pPr>
        <w:pStyle w:val="DefaultText"/>
        <w:ind w:left="555" w:right="490"/>
        <w:jc w:val="both"/>
        <w:rPr>
          <w:rFonts w:ascii="Garamond" w:hAnsi="Garamond"/>
          <w:sz w:val="22"/>
          <w:szCs w:val="22"/>
        </w:rPr>
      </w:pPr>
    </w:p>
    <w:p w:rsidR="00E87803" w:rsidRPr="000E2B5A" w:rsidRDefault="00E87803" w:rsidP="00D3182B">
      <w:pPr>
        <w:pStyle w:val="DefaultText"/>
        <w:jc w:val="both"/>
        <w:rPr>
          <w:rFonts w:ascii="Garamond" w:hAnsi="Garamond"/>
          <w:sz w:val="22"/>
          <w:szCs w:val="22"/>
          <w:u w:val="single"/>
        </w:rPr>
      </w:pPr>
      <w:r w:rsidRPr="000E2B5A">
        <w:rPr>
          <w:rFonts w:ascii="Garamond" w:hAnsi="Garamond"/>
          <w:sz w:val="22"/>
          <w:szCs w:val="22"/>
        </w:rPr>
        <w:t xml:space="preserve">We rarely relate this kind of phenomenon (textual variation) found in the Synoptic Gospels to Scripture as a whole or to quotations in particular.  Yet, the implications of </w:t>
      </w:r>
      <w:r w:rsidRPr="000E2B5A">
        <w:rPr>
          <w:rFonts w:ascii="Garamond" w:hAnsi="Garamond"/>
          <w:i/>
          <w:sz w:val="22"/>
          <w:szCs w:val="22"/>
        </w:rPr>
        <w:t>difference</w:t>
      </w:r>
      <w:r w:rsidRPr="000E2B5A">
        <w:rPr>
          <w:rFonts w:ascii="Garamond" w:hAnsi="Garamond"/>
          <w:sz w:val="22"/>
          <w:szCs w:val="22"/>
        </w:rPr>
        <w:t xml:space="preserve"> within a single Testament are similar to those which transpire when the New reuses the Old</w:t>
      </w:r>
      <w:r w:rsidR="0058608C" w:rsidRPr="000E2B5A">
        <w:rPr>
          <w:rFonts w:ascii="Garamond" w:hAnsi="Garamond"/>
          <w:sz w:val="22"/>
          <w:szCs w:val="22"/>
        </w:rPr>
        <w:t>,</w:t>
      </w:r>
      <w:r w:rsidRPr="000E2B5A">
        <w:rPr>
          <w:rFonts w:ascii="Garamond" w:hAnsi="Garamond"/>
          <w:sz w:val="22"/>
          <w:szCs w:val="22"/>
        </w:rPr>
        <w:t xml:space="preserve"> as I hope to show in the analysis from the Gospels offered below.  </w:t>
      </w:r>
    </w:p>
    <w:p w:rsidR="00E87803" w:rsidRPr="000E2B5A" w:rsidRDefault="00E87803" w:rsidP="00D3182B">
      <w:pPr>
        <w:pStyle w:val="DefaultText"/>
        <w:jc w:val="center"/>
        <w:rPr>
          <w:rFonts w:ascii="Garamond" w:hAnsi="Garamond"/>
          <w:sz w:val="22"/>
          <w:szCs w:val="22"/>
          <w:u w:val="single"/>
        </w:rPr>
      </w:pPr>
    </w:p>
    <w:p w:rsidR="00E87803" w:rsidRPr="000E2B5A" w:rsidRDefault="0058608C" w:rsidP="0058608C">
      <w:pPr>
        <w:pStyle w:val="DefaultText"/>
        <w:rPr>
          <w:rFonts w:ascii="Garamond" w:hAnsi="Garamond"/>
          <w:sz w:val="22"/>
          <w:szCs w:val="22"/>
        </w:rPr>
      </w:pPr>
      <w:r w:rsidRPr="000E2B5A">
        <w:rPr>
          <w:rFonts w:ascii="Garamond" w:hAnsi="Garamond"/>
          <w:sz w:val="22"/>
          <w:szCs w:val="22"/>
        </w:rPr>
        <w:t xml:space="preserve">(2) </w:t>
      </w:r>
      <w:r w:rsidR="00E87803" w:rsidRPr="000E2B5A">
        <w:rPr>
          <w:rFonts w:ascii="Garamond" w:hAnsi="Garamond"/>
          <w:sz w:val="22"/>
          <w:szCs w:val="22"/>
          <w:u w:val="single"/>
        </w:rPr>
        <w:t>The nature and range of variations in the Gospel parallels</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Typically, Gospel narrative parallels, like quotations (parallel, or otherwise), will differ in the addition, omission, changes to the word-order and grammar, of the linguistic material. In the parallel passages shown below (M</w:t>
      </w:r>
      <w:r w:rsidR="000535F2" w:rsidRPr="000E2B5A">
        <w:rPr>
          <w:rFonts w:ascii="Garamond" w:hAnsi="Garamond"/>
          <w:sz w:val="22"/>
          <w:szCs w:val="22"/>
        </w:rPr>
        <w:t>a</w:t>
      </w:r>
      <w:r w:rsidRPr="000E2B5A">
        <w:rPr>
          <w:rFonts w:ascii="Garamond" w:hAnsi="Garamond"/>
          <w:sz w:val="22"/>
          <w:szCs w:val="22"/>
        </w:rPr>
        <w:t>tt 12:46-50; M</w:t>
      </w:r>
      <w:r w:rsidR="000535F2" w:rsidRPr="000E2B5A">
        <w:rPr>
          <w:rFonts w:ascii="Garamond" w:hAnsi="Garamond"/>
          <w:sz w:val="22"/>
          <w:szCs w:val="22"/>
        </w:rPr>
        <w:t>ar</w:t>
      </w:r>
      <w:r w:rsidRPr="000E2B5A">
        <w:rPr>
          <w:rFonts w:ascii="Garamond" w:hAnsi="Garamond"/>
          <w:sz w:val="22"/>
          <w:szCs w:val="22"/>
        </w:rPr>
        <w:t>k 3:31-35 &amp; L</w:t>
      </w:r>
      <w:r w:rsidR="000535F2" w:rsidRPr="000E2B5A">
        <w:rPr>
          <w:rFonts w:ascii="Garamond" w:hAnsi="Garamond"/>
          <w:sz w:val="22"/>
          <w:szCs w:val="22"/>
        </w:rPr>
        <w:t>u</w:t>
      </w:r>
      <w:r w:rsidRPr="000E2B5A">
        <w:rPr>
          <w:rFonts w:ascii="Garamond" w:hAnsi="Garamond"/>
          <w:sz w:val="22"/>
          <w:szCs w:val="22"/>
        </w:rPr>
        <w:t>k</w:t>
      </w:r>
      <w:r w:rsidR="000535F2" w:rsidRPr="000E2B5A">
        <w:rPr>
          <w:rFonts w:ascii="Garamond" w:hAnsi="Garamond"/>
          <w:sz w:val="22"/>
          <w:szCs w:val="22"/>
        </w:rPr>
        <w:t>e</w:t>
      </w:r>
      <w:r w:rsidRPr="000E2B5A">
        <w:rPr>
          <w:rFonts w:ascii="Garamond" w:hAnsi="Garamond"/>
          <w:sz w:val="22"/>
          <w:szCs w:val="22"/>
        </w:rPr>
        <w:t xml:space="preserve"> 8:19-21), such differences are readily apparent.</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p>
    <w:p w:rsidR="00E87803" w:rsidRPr="000E2B5A" w:rsidRDefault="005A4F9B" w:rsidP="00D3182B">
      <w:pPr>
        <w:pStyle w:val="DefaultText"/>
        <w:jc w:val="both"/>
        <w:rPr>
          <w:rFonts w:ascii="Garamond" w:hAnsi="Garamond"/>
          <w:sz w:val="22"/>
          <w:szCs w:val="22"/>
        </w:rPr>
      </w:pPr>
      <w:r>
        <w:rPr>
          <w:rFonts w:ascii="Garamond" w:hAnsi="Garamond"/>
          <w:noProof/>
          <w:snapToGrid/>
          <w:sz w:val="22"/>
          <w:szCs w:val="22"/>
          <w:lang w:val="en-GB" w:eastAsia="en-GB"/>
        </w:rPr>
        <w:pict>
          <v:shape id="_x0000_s1156" type="#_x0000_t202" style="position:absolute;left:0;text-align:left;margin-left:254.35pt;margin-top:51.45pt;width:103.65pt;height:466pt;z-index:251672064;mso-position-vertical-relative:page" o:allowincell="f">
            <v:textbox style="mso-next-textbox:#_x0000_s1156">
              <w:txbxContent>
                <w:p w:rsidR="00E35D87" w:rsidRPr="003D567A" w:rsidRDefault="00E35D87" w:rsidP="00E87803">
                  <w:pPr>
                    <w:pStyle w:val="DefaultText"/>
                    <w:jc w:val="center"/>
                    <w:rPr>
                      <w:rFonts w:ascii="Garamond" w:hAnsi="Garamond"/>
                      <w:sz w:val="22"/>
                      <w:szCs w:val="22"/>
                    </w:rPr>
                  </w:pPr>
                  <w:r w:rsidRPr="003D567A">
                    <w:rPr>
                      <w:rFonts w:ascii="Garamond" w:hAnsi="Garamond"/>
                      <w:sz w:val="22"/>
                      <w:szCs w:val="22"/>
                      <w:u w:val="single"/>
                    </w:rPr>
                    <w:t>Luke 8:19-21</w:t>
                  </w:r>
                </w:p>
                <w:p w:rsidR="00E35D87" w:rsidRDefault="00E35D87" w:rsidP="00E87803">
                  <w:pPr>
                    <w:pStyle w:val="DefaultText"/>
                    <w:spacing w:line="216" w:lineRule="exact"/>
                    <w:jc w:val="both"/>
                    <w:rPr>
                      <w:rFonts w:ascii="Garamond" w:hAnsi="Garamond"/>
                      <w:sz w:val="22"/>
                      <w:szCs w:val="22"/>
                    </w:rPr>
                  </w:pPr>
                </w:p>
                <w:p w:rsidR="00E35D87" w:rsidRPr="003D567A" w:rsidRDefault="00E35D87" w:rsidP="008C0AC0">
                  <w:pPr>
                    <w:pStyle w:val="DefaultText"/>
                    <w:spacing w:line="276" w:lineRule="auto"/>
                    <w:jc w:val="both"/>
                    <w:rPr>
                      <w:rFonts w:ascii="Garamond" w:hAnsi="Garamond"/>
                      <w:sz w:val="22"/>
                      <w:szCs w:val="22"/>
                    </w:rPr>
                  </w:pPr>
                  <w:r w:rsidRPr="003D567A">
                    <w:rPr>
                      <w:rFonts w:ascii="Garamond" w:hAnsi="Garamond"/>
                      <w:sz w:val="22"/>
                      <w:szCs w:val="22"/>
                    </w:rPr>
                    <w:t>Then his mother and his brothers came to him, but they could not reach him for the crowd.</w:t>
                  </w:r>
                </w:p>
                <w:p w:rsidR="00E35D87" w:rsidRPr="003D567A"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r w:rsidRPr="003D567A">
                    <w:rPr>
                      <w:rFonts w:ascii="Garamond" w:hAnsi="Garamond"/>
                      <w:sz w:val="22"/>
                      <w:szCs w:val="22"/>
                    </w:rPr>
                    <w:t xml:space="preserve">And he was told, </w:t>
                  </w: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r>
                    <w:rPr>
                      <w:rFonts w:ascii="Garamond" w:hAnsi="Garamond"/>
                      <w:sz w:val="22"/>
                      <w:szCs w:val="22"/>
                    </w:rPr>
                    <w:t>“</w:t>
                  </w:r>
                  <w:r w:rsidRPr="003D567A">
                    <w:rPr>
                      <w:rFonts w:ascii="Garamond" w:hAnsi="Garamond"/>
                      <w:sz w:val="22"/>
                      <w:szCs w:val="22"/>
                    </w:rPr>
                    <w:t>Your mother and your brothers are standing outside, desiring to see you.</w:t>
                  </w:r>
                  <w:r>
                    <w:rPr>
                      <w:rFonts w:ascii="Garamond" w:hAnsi="Garamond"/>
                      <w:sz w:val="22"/>
                      <w:szCs w:val="22"/>
                    </w:rPr>
                    <w:t>”</w:t>
                  </w:r>
                </w:p>
                <w:p w:rsidR="00E35D87" w:rsidRPr="003D567A" w:rsidRDefault="00E35D87" w:rsidP="008C0AC0">
                  <w:pPr>
                    <w:pStyle w:val="DefaultText"/>
                    <w:spacing w:line="276" w:lineRule="auto"/>
                    <w:jc w:val="both"/>
                    <w:rPr>
                      <w:rFonts w:ascii="Garamond" w:hAnsi="Garamond"/>
                      <w:sz w:val="22"/>
                      <w:szCs w:val="22"/>
                    </w:rPr>
                  </w:pPr>
                  <w:r w:rsidRPr="003D567A">
                    <w:rPr>
                      <w:rFonts w:ascii="Garamond" w:hAnsi="Garamond"/>
                      <w:sz w:val="22"/>
                      <w:szCs w:val="22"/>
                    </w:rPr>
                    <w:t xml:space="preserve">  </w:t>
                  </w:r>
                </w:p>
                <w:p w:rsidR="00E35D87" w:rsidRPr="003D567A" w:rsidRDefault="00E35D87" w:rsidP="008C0AC0">
                  <w:pPr>
                    <w:pStyle w:val="DefaultText"/>
                    <w:spacing w:line="276" w:lineRule="auto"/>
                    <w:jc w:val="both"/>
                    <w:rPr>
                      <w:rFonts w:ascii="Garamond" w:hAnsi="Garamond"/>
                      <w:sz w:val="22"/>
                      <w:szCs w:val="22"/>
                    </w:rPr>
                  </w:pPr>
                  <w:r w:rsidRPr="003D567A">
                    <w:rPr>
                      <w:rFonts w:ascii="Garamond" w:hAnsi="Garamond"/>
                      <w:sz w:val="22"/>
                      <w:szCs w:val="22"/>
                    </w:rPr>
                    <w:t>But he said to them</w:t>
                  </w:r>
                  <w:r>
                    <w:rPr>
                      <w:rFonts w:ascii="Garamond" w:hAnsi="Garamond"/>
                      <w:sz w:val="22"/>
                      <w:szCs w:val="22"/>
                    </w:rPr>
                    <w:t>,</w:t>
                  </w:r>
                </w:p>
                <w:p w:rsidR="00E35D87" w:rsidRPr="003D567A" w:rsidRDefault="00E35D87" w:rsidP="008C0AC0">
                  <w:pPr>
                    <w:pStyle w:val="DefaultText"/>
                    <w:spacing w:line="276" w:lineRule="auto"/>
                    <w:jc w:val="both"/>
                    <w:rPr>
                      <w:rFonts w:ascii="Garamond" w:hAnsi="Garamond"/>
                      <w:sz w:val="22"/>
                      <w:szCs w:val="22"/>
                    </w:rPr>
                  </w:pPr>
                </w:p>
                <w:p w:rsidR="00E35D87" w:rsidRPr="003D567A" w:rsidRDefault="00E35D87" w:rsidP="008C0AC0">
                  <w:pPr>
                    <w:pStyle w:val="DefaultText"/>
                    <w:spacing w:line="276" w:lineRule="auto"/>
                    <w:jc w:val="both"/>
                    <w:rPr>
                      <w:rFonts w:ascii="Garamond" w:hAnsi="Garamond"/>
                      <w:sz w:val="22"/>
                      <w:szCs w:val="22"/>
                    </w:rPr>
                  </w:pPr>
                </w:p>
                <w:p w:rsidR="00E35D87" w:rsidRPr="003D567A" w:rsidRDefault="00E35D87" w:rsidP="008C0AC0">
                  <w:pPr>
                    <w:spacing w:line="276" w:lineRule="auto"/>
                    <w:rPr>
                      <w:sz w:val="22"/>
                      <w:szCs w:val="22"/>
                    </w:rPr>
                  </w:pPr>
                </w:p>
                <w:p w:rsidR="00E35D87" w:rsidRDefault="00E35D87" w:rsidP="008C0AC0">
                  <w:pPr>
                    <w:spacing w:line="276" w:lineRule="auto"/>
                    <w:rPr>
                      <w:sz w:val="22"/>
                      <w:szCs w:val="22"/>
                    </w:rPr>
                  </w:pPr>
                </w:p>
                <w:p w:rsidR="00E35D87" w:rsidRDefault="00E35D87" w:rsidP="008C0AC0">
                  <w:pPr>
                    <w:spacing w:line="276" w:lineRule="auto"/>
                    <w:rPr>
                      <w:sz w:val="22"/>
                      <w:szCs w:val="22"/>
                    </w:rPr>
                  </w:pPr>
                </w:p>
                <w:p w:rsidR="00E35D87" w:rsidRDefault="00E35D87" w:rsidP="008C0AC0">
                  <w:pPr>
                    <w:spacing w:line="276" w:lineRule="auto"/>
                    <w:rPr>
                      <w:sz w:val="22"/>
                      <w:szCs w:val="22"/>
                    </w:rPr>
                  </w:pPr>
                </w:p>
                <w:p w:rsidR="00E35D87" w:rsidRDefault="00E35D87" w:rsidP="008C0AC0">
                  <w:pPr>
                    <w:spacing w:line="276" w:lineRule="auto"/>
                    <w:rPr>
                      <w:sz w:val="22"/>
                      <w:szCs w:val="22"/>
                    </w:rPr>
                  </w:pPr>
                </w:p>
                <w:p w:rsidR="00E35D87" w:rsidRDefault="00E35D87" w:rsidP="008C0AC0">
                  <w:pPr>
                    <w:spacing w:line="276" w:lineRule="auto"/>
                    <w:rPr>
                      <w:sz w:val="22"/>
                      <w:szCs w:val="22"/>
                    </w:rPr>
                  </w:pPr>
                </w:p>
                <w:p w:rsidR="00E35D87" w:rsidRDefault="00E35D87" w:rsidP="008C0AC0">
                  <w:pPr>
                    <w:spacing w:line="276" w:lineRule="auto"/>
                    <w:rPr>
                      <w:sz w:val="22"/>
                      <w:szCs w:val="22"/>
                    </w:rPr>
                  </w:pPr>
                </w:p>
                <w:p w:rsidR="00E35D87" w:rsidRDefault="00E35D87" w:rsidP="008C0AC0">
                  <w:pPr>
                    <w:spacing w:line="276" w:lineRule="auto"/>
                    <w:rPr>
                      <w:sz w:val="22"/>
                      <w:szCs w:val="22"/>
                    </w:rPr>
                  </w:pPr>
                </w:p>
                <w:p w:rsidR="00E35D87" w:rsidRPr="003D567A" w:rsidRDefault="00E35D87" w:rsidP="008C0AC0">
                  <w:pPr>
                    <w:spacing w:line="276" w:lineRule="auto"/>
                    <w:rPr>
                      <w:sz w:val="22"/>
                      <w:szCs w:val="22"/>
                    </w:rPr>
                  </w:pPr>
                  <w:r>
                    <w:rPr>
                      <w:sz w:val="22"/>
                      <w:szCs w:val="22"/>
                    </w:rPr>
                    <w:t>“</w:t>
                  </w:r>
                  <w:r w:rsidRPr="003D567A">
                    <w:rPr>
                      <w:sz w:val="22"/>
                      <w:szCs w:val="22"/>
                    </w:rPr>
                    <w:t>My mother and my brothers are those who hear the word of God and do it.</w:t>
                  </w:r>
                  <w:r>
                    <w:rPr>
                      <w:sz w:val="22"/>
                      <w:szCs w:val="22"/>
                    </w:rPr>
                    <w:t>”</w:t>
                  </w:r>
                </w:p>
              </w:txbxContent>
            </v:textbox>
            <w10:wrap type="topAndBottom" anchory="page"/>
          </v:shape>
        </w:pict>
      </w:r>
      <w:r>
        <w:rPr>
          <w:rFonts w:ascii="Garamond" w:hAnsi="Garamond"/>
          <w:noProof/>
          <w:snapToGrid/>
          <w:sz w:val="22"/>
          <w:szCs w:val="22"/>
          <w:lang w:val="en-GB" w:eastAsia="en-GB"/>
        </w:rPr>
        <w:pict>
          <v:shape id="_x0000_s1155" type="#_x0000_t202" style="position:absolute;left:0;text-align:left;margin-left:120.65pt;margin-top:51.45pt;width:125pt;height:466pt;z-index:251671040;mso-position-vertical-relative:page" o:allowincell="f">
            <v:textbox style="mso-next-textbox:#_x0000_s1155">
              <w:txbxContent>
                <w:p w:rsidR="00E35D87" w:rsidRPr="003D567A" w:rsidRDefault="00E35D87" w:rsidP="00E87803">
                  <w:pPr>
                    <w:pStyle w:val="DefaultText"/>
                    <w:jc w:val="center"/>
                    <w:rPr>
                      <w:rFonts w:ascii="Garamond" w:hAnsi="Garamond"/>
                      <w:sz w:val="22"/>
                      <w:szCs w:val="22"/>
                      <w:u w:val="single"/>
                    </w:rPr>
                  </w:pPr>
                  <w:r w:rsidRPr="003D567A">
                    <w:rPr>
                      <w:rFonts w:ascii="Garamond" w:hAnsi="Garamond"/>
                      <w:sz w:val="22"/>
                      <w:szCs w:val="22"/>
                      <w:u w:val="single"/>
                    </w:rPr>
                    <w:t>Mark 3:31-35</w:t>
                  </w:r>
                </w:p>
                <w:p w:rsidR="00E35D87" w:rsidRPr="003D567A" w:rsidRDefault="00E35D87" w:rsidP="00E87803">
                  <w:pPr>
                    <w:pStyle w:val="DefaultText"/>
                    <w:jc w:val="center"/>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r w:rsidRPr="003D567A">
                    <w:rPr>
                      <w:rFonts w:ascii="Garamond" w:hAnsi="Garamond"/>
                      <w:sz w:val="22"/>
                      <w:szCs w:val="22"/>
                    </w:rPr>
                    <w:t xml:space="preserve">And his mother and his brothers came; and standing outside they sent to him and called him.  And a crowd was sitting about him; and they said to him, </w:t>
                  </w:r>
                </w:p>
                <w:p w:rsidR="00E35D87" w:rsidRDefault="00E35D87" w:rsidP="008C0AC0">
                  <w:pPr>
                    <w:pStyle w:val="DefaultText"/>
                    <w:spacing w:line="276" w:lineRule="auto"/>
                    <w:jc w:val="both"/>
                    <w:rPr>
                      <w:rFonts w:ascii="Garamond" w:hAnsi="Garamond"/>
                      <w:sz w:val="22"/>
                      <w:szCs w:val="22"/>
                    </w:rPr>
                  </w:pPr>
                </w:p>
                <w:p w:rsidR="00E35D87" w:rsidRPr="003D567A" w:rsidRDefault="00E35D87" w:rsidP="008C0AC0">
                  <w:pPr>
                    <w:pStyle w:val="DefaultText"/>
                    <w:spacing w:line="276" w:lineRule="auto"/>
                    <w:jc w:val="both"/>
                    <w:rPr>
                      <w:rFonts w:ascii="Garamond" w:hAnsi="Garamond"/>
                      <w:sz w:val="22"/>
                      <w:szCs w:val="22"/>
                    </w:rPr>
                  </w:pPr>
                  <w:r>
                    <w:rPr>
                      <w:rFonts w:ascii="Garamond" w:hAnsi="Garamond"/>
                      <w:sz w:val="22"/>
                      <w:szCs w:val="22"/>
                    </w:rPr>
                    <w:t>“</w:t>
                  </w:r>
                  <w:r w:rsidRPr="003D567A">
                    <w:rPr>
                      <w:rFonts w:ascii="Garamond" w:hAnsi="Garamond"/>
                      <w:sz w:val="22"/>
                      <w:szCs w:val="22"/>
                    </w:rPr>
                    <w:t>Your mother and your brothers are outside, asking for you.</w:t>
                  </w:r>
                  <w:r>
                    <w:rPr>
                      <w:rFonts w:ascii="Garamond" w:hAnsi="Garamond"/>
                      <w:sz w:val="22"/>
                      <w:szCs w:val="22"/>
                    </w:rPr>
                    <w:t>”</w:t>
                  </w:r>
                  <w:r w:rsidRPr="003D567A">
                    <w:rPr>
                      <w:rFonts w:ascii="Garamond" w:hAnsi="Garamond"/>
                      <w:sz w:val="22"/>
                      <w:szCs w:val="22"/>
                    </w:rPr>
                    <w:t xml:space="preserve">   </w:t>
                  </w: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r w:rsidRPr="003D567A">
                    <w:rPr>
                      <w:rFonts w:ascii="Garamond" w:hAnsi="Garamond"/>
                      <w:sz w:val="22"/>
                      <w:szCs w:val="22"/>
                    </w:rPr>
                    <w:t xml:space="preserve">And he replied, </w:t>
                  </w: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r w:rsidRPr="003D567A">
                    <w:rPr>
                      <w:rFonts w:ascii="Garamond" w:hAnsi="Garamond"/>
                      <w:sz w:val="22"/>
                      <w:szCs w:val="22"/>
                    </w:rPr>
                    <w:t xml:space="preserve">Who are my mother and my brothers? </w:t>
                  </w:r>
                </w:p>
                <w:p w:rsidR="00E35D87" w:rsidRPr="003D567A"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r w:rsidRPr="003D567A">
                    <w:rPr>
                      <w:rFonts w:ascii="Garamond" w:hAnsi="Garamond"/>
                      <w:sz w:val="22"/>
                      <w:szCs w:val="22"/>
                    </w:rPr>
                    <w:t xml:space="preserve">And looking around on those who sat about him, he said, </w:t>
                  </w:r>
                </w:p>
                <w:p w:rsidR="00E35D87" w:rsidRDefault="00E35D87" w:rsidP="008C0AC0">
                  <w:pPr>
                    <w:pStyle w:val="DefaultText"/>
                    <w:spacing w:line="276" w:lineRule="auto"/>
                    <w:jc w:val="both"/>
                    <w:rPr>
                      <w:rFonts w:ascii="Garamond" w:hAnsi="Garamond"/>
                      <w:sz w:val="22"/>
                      <w:szCs w:val="22"/>
                    </w:rPr>
                  </w:pPr>
                </w:p>
                <w:p w:rsidR="00E35D87" w:rsidRPr="003D567A" w:rsidRDefault="00E35D87" w:rsidP="008C0AC0">
                  <w:pPr>
                    <w:pStyle w:val="DefaultText"/>
                    <w:spacing w:line="276" w:lineRule="auto"/>
                    <w:jc w:val="both"/>
                    <w:rPr>
                      <w:rFonts w:ascii="Garamond" w:hAnsi="Garamond"/>
                      <w:sz w:val="22"/>
                      <w:szCs w:val="22"/>
                    </w:rPr>
                  </w:pPr>
                  <w:r>
                    <w:rPr>
                      <w:rFonts w:ascii="Garamond" w:hAnsi="Garamond"/>
                      <w:sz w:val="22"/>
                      <w:szCs w:val="22"/>
                    </w:rPr>
                    <w:t>“</w:t>
                  </w:r>
                  <w:r w:rsidRPr="003D567A">
                    <w:rPr>
                      <w:rFonts w:ascii="Garamond" w:hAnsi="Garamond"/>
                      <w:sz w:val="22"/>
                      <w:szCs w:val="22"/>
                    </w:rPr>
                    <w:t>Here are my mother and my brothers! Whoever does the will of God is my brother, and sister, and mother.</w:t>
                  </w:r>
                  <w:r>
                    <w:rPr>
                      <w:rFonts w:ascii="Garamond" w:hAnsi="Garamond"/>
                      <w:sz w:val="22"/>
                      <w:szCs w:val="22"/>
                    </w:rPr>
                    <w:t>”</w:t>
                  </w:r>
                </w:p>
              </w:txbxContent>
            </v:textbox>
            <w10:wrap type="topAndBottom" anchory="page"/>
          </v:shape>
        </w:pict>
      </w:r>
      <w:r>
        <w:rPr>
          <w:rFonts w:ascii="Garamond" w:hAnsi="Garamond"/>
          <w:noProof/>
          <w:snapToGrid/>
          <w:sz w:val="22"/>
          <w:szCs w:val="22"/>
          <w:lang w:val="en-GB" w:eastAsia="en-GB"/>
        </w:rPr>
        <w:pict>
          <v:shape id="_x0000_s1154" type="#_x0000_t202" style="position:absolute;left:0;text-align:left;margin-left:-3.45pt;margin-top:51.45pt;width:118.5pt;height:466pt;z-index:251670016;mso-position-vertical-relative:page" o:allowincell="f">
            <v:textbox style="mso-next-textbox:#_x0000_s1154">
              <w:txbxContent>
                <w:p w:rsidR="00E35D87" w:rsidRPr="003D567A" w:rsidRDefault="00E35D87" w:rsidP="003D567A">
                  <w:pPr>
                    <w:pStyle w:val="Heading1"/>
                    <w:spacing w:before="0"/>
                    <w:jc w:val="center"/>
                    <w:rPr>
                      <w:b w:val="0"/>
                      <w:sz w:val="22"/>
                      <w:szCs w:val="22"/>
                      <w:u w:val="single"/>
                    </w:rPr>
                  </w:pPr>
                  <w:r w:rsidRPr="003D567A">
                    <w:rPr>
                      <w:b w:val="0"/>
                      <w:sz w:val="22"/>
                      <w:szCs w:val="22"/>
                      <w:u w:val="single"/>
                    </w:rPr>
                    <w:t>Matthew 12:46-50</w:t>
                  </w:r>
                </w:p>
                <w:p w:rsidR="00E35D87" w:rsidRPr="003D567A" w:rsidRDefault="00E35D87" w:rsidP="00E87803">
                  <w:pPr>
                    <w:jc w:val="center"/>
                    <w:rPr>
                      <w:sz w:val="22"/>
                      <w:szCs w:val="22"/>
                      <w:u w:val="single"/>
                    </w:rPr>
                  </w:pPr>
                </w:p>
                <w:p w:rsidR="00E35D87" w:rsidRPr="003D567A" w:rsidRDefault="00E35D87" w:rsidP="008C0AC0">
                  <w:pPr>
                    <w:spacing w:line="276" w:lineRule="auto"/>
                    <w:rPr>
                      <w:sz w:val="22"/>
                      <w:szCs w:val="22"/>
                    </w:rPr>
                  </w:pPr>
                  <w:r w:rsidRPr="003D567A">
                    <w:rPr>
                      <w:sz w:val="22"/>
                      <w:szCs w:val="22"/>
                    </w:rPr>
                    <w:t>While he was still speaking to the people, behold, his mother and his brothers stood outside, asking to speak to him.</w:t>
                  </w:r>
                </w:p>
                <w:p w:rsidR="00E35D87" w:rsidRPr="003D567A" w:rsidRDefault="00E35D87" w:rsidP="008C0AC0">
                  <w:pPr>
                    <w:spacing w:line="276" w:lineRule="auto"/>
                    <w:rPr>
                      <w:sz w:val="22"/>
                      <w:szCs w:val="22"/>
                    </w:rPr>
                  </w:pP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r w:rsidRPr="003D567A">
                    <w:rPr>
                      <w:rFonts w:ascii="Garamond" w:hAnsi="Garamond"/>
                      <w:sz w:val="22"/>
                      <w:szCs w:val="22"/>
                    </w:rPr>
                    <w:t>But he replied to the man who told him,</w:t>
                  </w:r>
                </w:p>
                <w:p w:rsidR="00E35D87" w:rsidRDefault="00E35D87" w:rsidP="008C0AC0">
                  <w:pPr>
                    <w:pStyle w:val="DefaultText"/>
                    <w:spacing w:line="276" w:lineRule="auto"/>
                    <w:jc w:val="both"/>
                    <w:rPr>
                      <w:rFonts w:ascii="Garamond" w:hAnsi="Garamond"/>
                      <w:sz w:val="22"/>
                      <w:szCs w:val="22"/>
                    </w:rPr>
                  </w:pPr>
                </w:p>
                <w:p w:rsidR="00E35D87" w:rsidRPr="003D567A" w:rsidRDefault="00E35D87" w:rsidP="008C0AC0">
                  <w:pPr>
                    <w:pStyle w:val="DefaultText"/>
                    <w:spacing w:line="276" w:lineRule="auto"/>
                    <w:jc w:val="both"/>
                    <w:rPr>
                      <w:rFonts w:ascii="Garamond" w:hAnsi="Garamond"/>
                      <w:sz w:val="22"/>
                      <w:szCs w:val="22"/>
                    </w:rPr>
                  </w:pPr>
                  <w:r>
                    <w:rPr>
                      <w:rFonts w:ascii="Garamond" w:hAnsi="Garamond"/>
                      <w:sz w:val="22"/>
                      <w:szCs w:val="22"/>
                    </w:rPr>
                    <w:t>“</w:t>
                  </w:r>
                  <w:r w:rsidRPr="003D567A">
                    <w:rPr>
                      <w:rFonts w:ascii="Garamond" w:hAnsi="Garamond"/>
                      <w:sz w:val="22"/>
                      <w:szCs w:val="22"/>
                    </w:rPr>
                    <w:t>Who is my mother, and who are my brothers?</w:t>
                  </w:r>
                  <w:r>
                    <w:rPr>
                      <w:rFonts w:ascii="Garamond" w:hAnsi="Garamond"/>
                      <w:sz w:val="22"/>
                      <w:szCs w:val="22"/>
                    </w:rPr>
                    <w:t>”</w:t>
                  </w:r>
                </w:p>
                <w:p w:rsidR="00E35D87" w:rsidRPr="003D567A" w:rsidRDefault="00E35D87" w:rsidP="008C0AC0">
                  <w:pPr>
                    <w:pStyle w:val="DefaultText"/>
                    <w:spacing w:line="276" w:lineRule="auto"/>
                    <w:jc w:val="both"/>
                    <w:rPr>
                      <w:rFonts w:ascii="Garamond" w:hAnsi="Garamond"/>
                      <w:sz w:val="22"/>
                      <w:szCs w:val="22"/>
                    </w:rPr>
                  </w:pPr>
                </w:p>
                <w:p w:rsidR="00E35D87" w:rsidRDefault="00E35D87" w:rsidP="008C0AC0">
                  <w:pPr>
                    <w:pStyle w:val="DefaultText"/>
                    <w:spacing w:line="276" w:lineRule="auto"/>
                    <w:jc w:val="both"/>
                    <w:rPr>
                      <w:rFonts w:ascii="Garamond" w:hAnsi="Garamond"/>
                      <w:sz w:val="22"/>
                      <w:szCs w:val="22"/>
                    </w:rPr>
                  </w:pPr>
                  <w:r w:rsidRPr="003D567A">
                    <w:rPr>
                      <w:rFonts w:ascii="Garamond" w:hAnsi="Garamond"/>
                      <w:sz w:val="22"/>
                      <w:szCs w:val="22"/>
                    </w:rPr>
                    <w:t xml:space="preserve">And stretching out his hand toward his disciples, he said, </w:t>
                  </w:r>
                </w:p>
                <w:p w:rsidR="00E35D87" w:rsidRDefault="00E35D87" w:rsidP="008C0AC0">
                  <w:pPr>
                    <w:pStyle w:val="DefaultText"/>
                    <w:spacing w:line="276" w:lineRule="auto"/>
                    <w:jc w:val="both"/>
                    <w:rPr>
                      <w:rFonts w:ascii="Garamond" w:hAnsi="Garamond"/>
                      <w:sz w:val="22"/>
                      <w:szCs w:val="22"/>
                    </w:rPr>
                  </w:pPr>
                </w:p>
                <w:p w:rsidR="00E35D87" w:rsidRPr="003D567A" w:rsidRDefault="00E35D87" w:rsidP="008C0AC0">
                  <w:pPr>
                    <w:pStyle w:val="DefaultText"/>
                    <w:spacing w:line="276" w:lineRule="auto"/>
                    <w:jc w:val="both"/>
                    <w:rPr>
                      <w:rFonts w:ascii="Garamond" w:hAnsi="Garamond"/>
                      <w:sz w:val="22"/>
                      <w:szCs w:val="22"/>
                    </w:rPr>
                  </w:pPr>
                  <w:r>
                    <w:rPr>
                      <w:rFonts w:ascii="Garamond" w:hAnsi="Garamond"/>
                      <w:sz w:val="22"/>
                      <w:szCs w:val="22"/>
                    </w:rPr>
                    <w:t>“</w:t>
                  </w:r>
                  <w:r w:rsidRPr="003D567A">
                    <w:rPr>
                      <w:rFonts w:ascii="Garamond" w:hAnsi="Garamond"/>
                      <w:sz w:val="22"/>
                      <w:szCs w:val="22"/>
                    </w:rPr>
                    <w:t>Here are my mother and my brothers! For whoever does the will of my Father in heaven is my brother, and sister, and mother.</w:t>
                  </w:r>
                  <w:r>
                    <w:rPr>
                      <w:rFonts w:ascii="Garamond" w:hAnsi="Garamond"/>
                      <w:sz w:val="22"/>
                      <w:szCs w:val="22"/>
                    </w:rPr>
                    <w:t>”</w:t>
                  </w:r>
                </w:p>
              </w:txbxContent>
            </v:textbox>
            <w10:wrap type="topAndBottom" anchory="page"/>
          </v:shape>
        </w:pict>
      </w: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lastRenderedPageBreak/>
        <w:t xml:space="preserve">To appreciate the scale, or kind, of variations present (above), and to relate them to quotations, I list the following selection.  </w:t>
      </w:r>
    </w:p>
    <w:p w:rsidR="00E87803" w:rsidRPr="000E2B5A" w:rsidRDefault="00E87803" w:rsidP="00D3182B">
      <w:pPr>
        <w:pStyle w:val="DefaultText"/>
        <w:tabs>
          <w:tab w:val="left" w:pos="428"/>
        </w:tabs>
        <w:jc w:val="both"/>
        <w:rPr>
          <w:rFonts w:ascii="Garamond" w:hAnsi="Garamond"/>
          <w:sz w:val="22"/>
          <w:szCs w:val="22"/>
        </w:rPr>
      </w:pPr>
    </w:p>
    <w:p w:rsidR="00C6092E" w:rsidRPr="000E2B5A" w:rsidRDefault="00E87803" w:rsidP="00D3182B">
      <w:pPr>
        <w:pStyle w:val="DefaultText"/>
        <w:tabs>
          <w:tab w:val="left" w:pos="428"/>
        </w:tabs>
        <w:jc w:val="both"/>
        <w:rPr>
          <w:rFonts w:ascii="Garamond" w:hAnsi="Garamond"/>
          <w:b/>
          <w:sz w:val="22"/>
          <w:szCs w:val="22"/>
        </w:rPr>
      </w:pPr>
      <w:r w:rsidRPr="000E2B5A">
        <w:rPr>
          <w:rFonts w:ascii="Garamond" w:hAnsi="Garamond"/>
          <w:sz w:val="22"/>
          <w:szCs w:val="22"/>
        </w:rPr>
        <w:t>[1]</w:t>
      </w:r>
      <w:r w:rsidRPr="000E2B5A">
        <w:rPr>
          <w:rFonts w:ascii="Garamond" w:hAnsi="Garamond"/>
          <w:sz w:val="22"/>
          <w:szCs w:val="22"/>
        </w:rPr>
        <w:tab/>
      </w:r>
      <w:r w:rsidRPr="000E2B5A">
        <w:rPr>
          <w:rFonts w:ascii="Garamond" w:hAnsi="Garamond"/>
          <w:sz w:val="22"/>
          <w:szCs w:val="22"/>
          <w:u w:val="single"/>
        </w:rPr>
        <w:t>Omission</w:t>
      </w:r>
      <w:r w:rsidRPr="000E2B5A">
        <w:rPr>
          <w:rFonts w:ascii="Garamond" w:hAnsi="Garamond"/>
          <w:sz w:val="22"/>
          <w:szCs w:val="22"/>
        </w:rPr>
        <w:t>:</w:t>
      </w:r>
      <w:r w:rsidRPr="000E2B5A">
        <w:rPr>
          <w:rFonts w:ascii="Garamond" w:hAnsi="Garamond"/>
          <w:b/>
          <w:sz w:val="22"/>
          <w:szCs w:val="22"/>
        </w:rPr>
        <w:t xml:space="preserve"> </w:t>
      </w:r>
    </w:p>
    <w:p w:rsidR="00C6092E" w:rsidRPr="000E2B5A" w:rsidRDefault="00C6092E" w:rsidP="00D3182B">
      <w:pPr>
        <w:pStyle w:val="DefaultText"/>
        <w:tabs>
          <w:tab w:val="left" w:pos="428"/>
        </w:tabs>
        <w:jc w:val="both"/>
        <w:rPr>
          <w:rFonts w:ascii="Garamond" w:hAnsi="Garamond"/>
          <w:b/>
          <w:sz w:val="22"/>
          <w:szCs w:val="22"/>
        </w:rPr>
      </w:pPr>
    </w:p>
    <w:p w:rsidR="00E87803" w:rsidRPr="000E2B5A" w:rsidRDefault="00E87803" w:rsidP="00D3182B">
      <w:pPr>
        <w:pStyle w:val="DefaultText"/>
        <w:tabs>
          <w:tab w:val="left" w:pos="428"/>
        </w:tabs>
        <w:jc w:val="both"/>
        <w:rPr>
          <w:rFonts w:ascii="Garamond" w:hAnsi="Garamond"/>
          <w:sz w:val="22"/>
          <w:szCs w:val="22"/>
        </w:rPr>
      </w:pPr>
      <w:r w:rsidRPr="000E2B5A">
        <w:rPr>
          <w:rFonts w:ascii="Garamond" w:hAnsi="Garamond"/>
          <w:sz w:val="22"/>
          <w:szCs w:val="22"/>
        </w:rPr>
        <w:t>(a)</w:t>
      </w:r>
      <w:r w:rsidRPr="000E2B5A">
        <w:rPr>
          <w:rFonts w:ascii="Garamond" w:hAnsi="Garamond"/>
          <w:b/>
          <w:sz w:val="22"/>
          <w:szCs w:val="22"/>
        </w:rPr>
        <w:t xml:space="preserve"> </w:t>
      </w:r>
      <w:r w:rsidRPr="000E2B5A">
        <w:rPr>
          <w:rFonts w:ascii="Garamond" w:hAnsi="Garamond"/>
          <w:sz w:val="22"/>
          <w:szCs w:val="22"/>
        </w:rPr>
        <w:t xml:space="preserve">Material found in one Gospel which is missing from the other records: </w:t>
      </w:r>
    </w:p>
    <w:p w:rsidR="00E87803" w:rsidRPr="000E2B5A" w:rsidRDefault="00E87803" w:rsidP="00D3182B">
      <w:pPr>
        <w:pStyle w:val="DefaultText"/>
        <w:tabs>
          <w:tab w:val="left" w:pos="428"/>
        </w:tabs>
        <w:jc w:val="both"/>
        <w:rPr>
          <w:rFonts w:ascii="Garamond" w:hAnsi="Garamond"/>
          <w:sz w:val="22"/>
          <w:szCs w:val="22"/>
        </w:rPr>
      </w:pPr>
    </w:p>
    <w:p w:rsidR="00E87803" w:rsidRPr="000E2B5A" w:rsidRDefault="00722953" w:rsidP="00722953">
      <w:pPr>
        <w:pStyle w:val="DefaultText"/>
        <w:jc w:val="both"/>
        <w:rPr>
          <w:rFonts w:ascii="Garamond" w:hAnsi="Garamond"/>
          <w:sz w:val="22"/>
          <w:szCs w:val="22"/>
        </w:rPr>
      </w:pPr>
      <w:r w:rsidRPr="000E2B5A">
        <w:rPr>
          <w:rFonts w:ascii="Garamond" w:hAnsi="Garamond"/>
          <w:sz w:val="22"/>
          <w:szCs w:val="22"/>
        </w:rPr>
        <w:t xml:space="preserve">(i) </w:t>
      </w:r>
      <w:r w:rsidR="005D74CB" w:rsidRPr="000E2B5A">
        <w:rPr>
          <w:rFonts w:ascii="Garamond" w:hAnsi="Garamond"/>
          <w:sz w:val="22"/>
          <w:szCs w:val="22"/>
        </w:rPr>
        <w:t>“</w:t>
      </w:r>
      <w:r w:rsidR="00E87803" w:rsidRPr="000E2B5A">
        <w:rPr>
          <w:rFonts w:ascii="Garamond" w:hAnsi="Garamond"/>
          <w:sz w:val="22"/>
          <w:szCs w:val="22"/>
        </w:rPr>
        <w:t>while he was still speaking to the people</w:t>
      </w:r>
      <w:r w:rsidR="005D74CB" w:rsidRPr="000E2B5A">
        <w:rPr>
          <w:rFonts w:ascii="Garamond" w:hAnsi="Garamond"/>
          <w:sz w:val="22"/>
          <w:szCs w:val="22"/>
        </w:rPr>
        <w:t>”</w:t>
      </w:r>
      <w:r w:rsidR="00E87803" w:rsidRPr="000E2B5A">
        <w:rPr>
          <w:rFonts w:ascii="Garamond" w:hAnsi="Garamond"/>
          <w:sz w:val="22"/>
          <w:szCs w:val="22"/>
        </w:rPr>
        <w:t xml:space="preserve"> occurs in Matthew,  but not in</w:t>
      </w:r>
      <w:r w:rsidRPr="000E2B5A">
        <w:rPr>
          <w:rFonts w:ascii="Garamond" w:hAnsi="Garamond"/>
          <w:sz w:val="22"/>
          <w:szCs w:val="22"/>
        </w:rPr>
        <w:t xml:space="preserve"> </w:t>
      </w:r>
      <w:r w:rsidR="00E87803" w:rsidRPr="000E2B5A">
        <w:rPr>
          <w:rFonts w:ascii="Garamond" w:hAnsi="Garamond"/>
          <w:sz w:val="22"/>
          <w:szCs w:val="22"/>
        </w:rPr>
        <w:t>Mark or in Luke</w:t>
      </w:r>
      <w:r w:rsidRPr="000E2B5A">
        <w:rPr>
          <w:rFonts w:ascii="Garamond" w:hAnsi="Garamond"/>
          <w:sz w:val="22"/>
          <w:szCs w:val="22"/>
        </w:rPr>
        <w:t>.</w:t>
      </w:r>
      <w:r w:rsidR="00E87803" w:rsidRPr="000E2B5A">
        <w:rPr>
          <w:rFonts w:ascii="Garamond" w:hAnsi="Garamond"/>
          <w:sz w:val="22"/>
          <w:szCs w:val="22"/>
        </w:rPr>
        <w:t xml:space="preserve"> </w:t>
      </w:r>
    </w:p>
    <w:p w:rsidR="00E87803" w:rsidRPr="000E2B5A" w:rsidRDefault="00722953" w:rsidP="00722953">
      <w:pPr>
        <w:pStyle w:val="DefaultText"/>
        <w:jc w:val="both"/>
        <w:rPr>
          <w:rFonts w:ascii="Garamond" w:hAnsi="Garamond"/>
          <w:sz w:val="22"/>
          <w:szCs w:val="22"/>
        </w:rPr>
      </w:pPr>
      <w:r w:rsidRPr="000E2B5A">
        <w:rPr>
          <w:rFonts w:ascii="Garamond" w:hAnsi="Garamond"/>
          <w:sz w:val="22"/>
          <w:szCs w:val="22"/>
        </w:rPr>
        <w:t xml:space="preserve">(ii) </w:t>
      </w:r>
      <w:r w:rsidR="005D74CB" w:rsidRPr="000E2B5A">
        <w:rPr>
          <w:rFonts w:ascii="Garamond" w:hAnsi="Garamond"/>
          <w:sz w:val="22"/>
          <w:szCs w:val="22"/>
        </w:rPr>
        <w:t>“</w:t>
      </w:r>
      <w:r w:rsidR="00E87803" w:rsidRPr="000E2B5A">
        <w:rPr>
          <w:rFonts w:ascii="Garamond" w:hAnsi="Garamond"/>
          <w:sz w:val="22"/>
          <w:szCs w:val="22"/>
        </w:rPr>
        <w:t>And stretching out his hand towards his disciples</w:t>
      </w:r>
      <w:r w:rsidR="005D74CB" w:rsidRPr="000E2B5A">
        <w:rPr>
          <w:rFonts w:ascii="Garamond" w:hAnsi="Garamond"/>
          <w:sz w:val="22"/>
          <w:szCs w:val="22"/>
        </w:rPr>
        <w:t>”</w:t>
      </w:r>
      <w:r w:rsidR="00E87803" w:rsidRPr="000E2B5A">
        <w:rPr>
          <w:rFonts w:ascii="Garamond" w:hAnsi="Garamond"/>
          <w:sz w:val="22"/>
          <w:szCs w:val="22"/>
        </w:rPr>
        <w:t xml:space="preserve"> occurs in Matthew, but not in Mark or Luke.   (The nearest gesture to this is in Mark only: </w:t>
      </w:r>
      <w:r w:rsidR="005D74CB" w:rsidRPr="000E2B5A">
        <w:rPr>
          <w:rFonts w:ascii="Garamond" w:hAnsi="Garamond"/>
          <w:sz w:val="22"/>
          <w:szCs w:val="22"/>
        </w:rPr>
        <w:t>“</w:t>
      </w:r>
      <w:r w:rsidR="00E87803" w:rsidRPr="000E2B5A">
        <w:rPr>
          <w:rFonts w:ascii="Garamond" w:hAnsi="Garamond"/>
          <w:sz w:val="22"/>
          <w:szCs w:val="22"/>
        </w:rPr>
        <w:t>And looking around on those that sat about him.</w:t>
      </w:r>
      <w:r w:rsidR="005D74CB" w:rsidRPr="000E2B5A">
        <w:rPr>
          <w:rFonts w:ascii="Garamond" w:hAnsi="Garamond"/>
          <w:sz w:val="22"/>
          <w:szCs w:val="22"/>
        </w:rPr>
        <w:t>”</w:t>
      </w:r>
      <w:r w:rsidR="00E87803" w:rsidRPr="000E2B5A">
        <w:rPr>
          <w:rFonts w:ascii="Garamond" w:hAnsi="Garamond"/>
          <w:sz w:val="22"/>
          <w:szCs w:val="22"/>
        </w:rPr>
        <w:t>)</w:t>
      </w:r>
    </w:p>
    <w:p w:rsidR="00E87803" w:rsidRPr="000E2B5A" w:rsidRDefault="00722953" w:rsidP="00722953">
      <w:pPr>
        <w:pStyle w:val="DefaultText"/>
        <w:jc w:val="both"/>
        <w:rPr>
          <w:rFonts w:ascii="Garamond" w:hAnsi="Garamond"/>
          <w:sz w:val="22"/>
          <w:szCs w:val="22"/>
        </w:rPr>
      </w:pPr>
      <w:r w:rsidRPr="000E2B5A">
        <w:rPr>
          <w:rFonts w:ascii="Garamond" w:hAnsi="Garamond"/>
          <w:sz w:val="22"/>
          <w:szCs w:val="22"/>
        </w:rPr>
        <w:t xml:space="preserve">(iii) </w:t>
      </w:r>
      <w:r w:rsidR="005D74CB" w:rsidRPr="000E2B5A">
        <w:rPr>
          <w:rFonts w:ascii="Garamond" w:hAnsi="Garamond"/>
          <w:sz w:val="22"/>
          <w:szCs w:val="22"/>
        </w:rPr>
        <w:t>“</w:t>
      </w:r>
      <w:r w:rsidR="00E87803" w:rsidRPr="000E2B5A">
        <w:rPr>
          <w:rFonts w:ascii="Garamond" w:hAnsi="Garamond"/>
          <w:sz w:val="22"/>
          <w:szCs w:val="22"/>
        </w:rPr>
        <w:t>a crowd was sitting about him</w:t>
      </w:r>
      <w:r w:rsidR="005D74CB" w:rsidRPr="000E2B5A">
        <w:rPr>
          <w:rFonts w:ascii="Garamond" w:hAnsi="Garamond"/>
          <w:sz w:val="22"/>
          <w:szCs w:val="22"/>
        </w:rPr>
        <w:t>”</w:t>
      </w:r>
      <w:r w:rsidR="00E87803" w:rsidRPr="000E2B5A">
        <w:rPr>
          <w:rFonts w:ascii="Garamond" w:hAnsi="Garamond"/>
          <w:sz w:val="22"/>
          <w:szCs w:val="22"/>
        </w:rPr>
        <w:t xml:space="preserve"> occurs in Mark,  but not in Matthew or</w:t>
      </w:r>
      <w:r w:rsidRPr="000E2B5A">
        <w:rPr>
          <w:rFonts w:ascii="Garamond" w:hAnsi="Garamond"/>
          <w:sz w:val="22"/>
          <w:szCs w:val="22"/>
        </w:rPr>
        <w:t xml:space="preserve"> </w:t>
      </w:r>
      <w:r w:rsidR="00E87803" w:rsidRPr="000E2B5A">
        <w:rPr>
          <w:rFonts w:ascii="Garamond" w:hAnsi="Garamond"/>
          <w:sz w:val="22"/>
          <w:szCs w:val="22"/>
        </w:rPr>
        <w:t>Luke.</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(b) Particular material found in two Gospels, Matthew and Mark, but missing from Luke: </w:t>
      </w:r>
    </w:p>
    <w:p w:rsidR="00E87803" w:rsidRPr="000E2B5A" w:rsidRDefault="00E87803" w:rsidP="00D3182B">
      <w:pPr>
        <w:pStyle w:val="DefaultText"/>
        <w:jc w:val="both"/>
        <w:rPr>
          <w:rFonts w:ascii="Garamond" w:hAnsi="Garamond"/>
          <w:sz w:val="22"/>
          <w:szCs w:val="22"/>
        </w:rPr>
      </w:pPr>
    </w:p>
    <w:p w:rsidR="00E87803" w:rsidRPr="000E2B5A" w:rsidRDefault="00722953" w:rsidP="00722953">
      <w:pPr>
        <w:pStyle w:val="DefaultText"/>
        <w:tabs>
          <w:tab w:val="left" w:pos="441"/>
          <w:tab w:val="left" w:pos="840"/>
        </w:tabs>
        <w:rPr>
          <w:rFonts w:ascii="Garamond" w:hAnsi="Garamond"/>
          <w:sz w:val="22"/>
          <w:szCs w:val="22"/>
        </w:rPr>
      </w:pPr>
      <w:r w:rsidRPr="000E2B5A">
        <w:rPr>
          <w:rFonts w:ascii="Garamond" w:hAnsi="Garamond"/>
          <w:sz w:val="22"/>
          <w:szCs w:val="22"/>
        </w:rPr>
        <w:t xml:space="preserve">(i) </w:t>
      </w:r>
      <w:r w:rsidR="005D74CB" w:rsidRPr="000E2B5A">
        <w:rPr>
          <w:rFonts w:ascii="Garamond" w:hAnsi="Garamond"/>
          <w:sz w:val="22"/>
          <w:szCs w:val="22"/>
        </w:rPr>
        <w:t>“</w:t>
      </w:r>
      <w:r w:rsidR="00E87803" w:rsidRPr="000E2B5A">
        <w:rPr>
          <w:rFonts w:ascii="Garamond" w:hAnsi="Garamond"/>
          <w:sz w:val="22"/>
          <w:szCs w:val="22"/>
        </w:rPr>
        <w:t>Here are my mother and my brothers!</w:t>
      </w:r>
      <w:r w:rsidR="005D74CB" w:rsidRPr="000E2B5A">
        <w:rPr>
          <w:rFonts w:ascii="Garamond" w:hAnsi="Garamond"/>
          <w:sz w:val="22"/>
          <w:szCs w:val="22"/>
        </w:rPr>
        <w:t>”</w:t>
      </w:r>
      <w:r w:rsidR="00E87803" w:rsidRPr="000E2B5A">
        <w:rPr>
          <w:rFonts w:ascii="Garamond" w:hAnsi="Garamond"/>
          <w:sz w:val="22"/>
          <w:szCs w:val="22"/>
        </w:rPr>
        <w:t xml:space="preserve"> </w:t>
      </w:r>
    </w:p>
    <w:p w:rsidR="00E87803" w:rsidRPr="000E2B5A" w:rsidRDefault="00722953" w:rsidP="00D3182B">
      <w:pPr>
        <w:pStyle w:val="DefaultText"/>
        <w:tabs>
          <w:tab w:val="left" w:pos="441"/>
          <w:tab w:val="left" w:pos="840"/>
        </w:tabs>
        <w:rPr>
          <w:rFonts w:ascii="Garamond" w:hAnsi="Garamond"/>
          <w:sz w:val="22"/>
          <w:szCs w:val="22"/>
        </w:rPr>
      </w:pPr>
      <w:r w:rsidRPr="000E2B5A">
        <w:rPr>
          <w:rFonts w:ascii="Garamond" w:hAnsi="Garamond"/>
          <w:sz w:val="22"/>
          <w:szCs w:val="22"/>
        </w:rPr>
        <w:t xml:space="preserve">(ii) </w:t>
      </w:r>
      <w:r w:rsidR="00E87750" w:rsidRPr="000E2B5A">
        <w:rPr>
          <w:rFonts w:ascii="Garamond" w:hAnsi="Garamond"/>
          <w:sz w:val="22"/>
          <w:szCs w:val="22"/>
        </w:rPr>
        <w:t>“</w:t>
      </w:r>
      <w:r w:rsidR="00E87803" w:rsidRPr="000E2B5A">
        <w:rPr>
          <w:rFonts w:ascii="Garamond" w:hAnsi="Garamond"/>
          <w:sz w:val="22"/>
          <w:szCs w:val="22"/>
        </w:rPr>
        <w:t>The will of</w:t>
      </w:r>
      <w:r w:rsidR="00E87750" w:rsidRPr="000E2B5A">
        <w:rPr>
          <w:rFonts w:ascii="Garamond" w:hAnsi="Garamond"/>
          <w:sz w:val="22"/>
          <w:szCs w:val="22"/>
        </w:rPr>
        <w:t>”</w:t>
      </w:r>
      <w:r w:rsidR="00E87803" w:rsidRPr="000E2B5A">
        <w:rPr>
          <w:rFonts w:ascii="Garamond" w:hAnsi="Garamond"/>
          <w:sz w:val="22"/>
          <w:szCs w:val="22"/>
        </w:rPr>
        <w:t xml:space="preserve"> </w:t>
      </w:r>
    </w:p>
    <w:p w:rsidR="00E87803" w:rsidRPr="000E2B5A" w:rsidRDefault="00722953" w:rsidP="00722953">
      <w:pPr>
        <w:pStyle w:val="DefaultText"/>
        <w:tabs>
          <w:tab w:val="left" w:pos="840"/>
        </w:tabs>
        <w:rPr>
          <w:rFonts w:ascii="Garamond" w:hAnsi="Garamond"/>
          <w:sz w:val="22"/>
          <w:szCs w:val="22"/>
        </w:rPr>
      </w:pPr>
      <w:r w:rsidRPr="000E2B5A">
        <w:rPr>
          <w:rFonts w:ascii="Garamond" w:hAnsi="Garamond"/>
          <w:sz w:val="22"/>
          <w:szCs w:val="22"/>
        </w:rPr>
        <w:t xml:space="preserve">(iii) </w:t>
      </w:r>
      <w:r w:rsidR="00E87750" w:rsidRPr="000E2B5A">
        <w:rPr>
          <w:rFonts w:ascii="Garamond" w:hAnsi="Garamond"/>
          <w:sz w:val="22"/>
          <w:szCs w:val="22"/>
        </w:rPr>
        <w:t>“</w:t>
      </w:r>
      <w:r w:rsidR="00E87803" w:rsidRPr="000E2B5A">
        <w:rPr>
          <w:rFonts w:ascii="Garamond" w:hAnsi="Garamond"/>
          <w:sz w:val="22"/>
          <w:szCs w:val="22"/>
        </w:rPr>
        <w:t>Sister</w:t>
      </w:r>
      <w:r w:rsidR="00E87750" w:rsidRPr="000E2B5A">
        <w:rPr>
          <w:rFonts w:ascii="Garamond" w:hAnsi="Garamond"/>
          <w:sz w:val="22"/>
          <w:szCs w:val="22"/>
        </w:rPr>
        <w:t>”</w:t>
      </w:r>
      <w:r w:rsidR="00E87803" w:rsidRPr="000E2B5A">
        <w:rPr>
          <w:rFonts w:ascii="Garamond" w:hAnsi="Garamond"/>
          <w:sz w:val="22"/>
          <w:szCs w:val="22"/>
        </w:rPr>
        <w:t xml:space="preserve"> (Luke just has: </w:t>
      </w:r>
      <w:r w:rsidR="005D74CB" w:rsidRPr="000E2B5A">
        <w:rPr>
          <w:rFonts w:ascii="Garamond" w:hAnsi="Garamond"/>
          <w:sz w:val="22"/>
          <w:szCs w:val="22"/>
        </w:rPr>
        <w:t>“</w:t>
      </w:r>
      <w:r w:rsidR="00E87803" w:rsidRPr="000E2B5A">
        <w:rPr>
          <w:rFonts w:ascii="Garamond" w:hAnsi="Garamond"/>
          <w:sz w:val="22"/>
          <w:szCs w:val="22"/>
        </w:rPr>
        <w:t>My mother and my brothers are those who hea</w:t>
      </w:r>
      <w:r w:rsidRPr="000E2B5A">
        <w:rPr>
          <w:rFonts w:ascii="Garamond" w:hAnsi="Garamond"/>
          <w:sz w:val="22"/>
          <w:szCs w:val="22"/>
        </w:rPr>
        <w:t xml:space="preserve">r </w:t>
      </w:r>
      <w:r w:rsidR="00E87803" w:rsidRPr="000E2B5A">
        <w:rPr>
          <w:rFonts w:ascii="Garamond" w:hAnsi="Garamond"/>
          <w:sz w:val="22"/>
          <w:szCs w:val="22"/>
        </w:rPr>
        <w:t>the word of God and do it.</w:t>
      </w:r>
      <w:r w:rsidR="005D74CB" w:rsidRPr="000E2B5A">
        <w:rPr>
          <w:rFonts w:ascii="Garamond" w:hAnsi="Garamond"/>
          <w:sz w:val="22"/>
          <w:szCs w:val="22"/>
        </w:rPr>
        <w:t>”</w:t>
      </w:r>
      <w:r w:rsidR="00E87803" w:rsidRPr="000E2B5A">
        <w:rPr>
          <w:rFonts w:ascii="Garamond" w:hAnsi="Garamond"/>
          <w:sz w:val="22"/>
          <w:szCs w:val="22"/>
        </w:rPr>
        <w:t>)</w:t>
      </w:r>
    </w:p>
    <w:p w:rsidR="005B0F71" w:rsidRPr="000E2B5A" w:rsidRDefault="005B0F71" w:rsidP="00D3182B">
      <w:pPr>
        <w:pStyle w:val="DefaultText"/>
        <w:tabs>
          <w:tab w:val="left" w:pos="441"/>
          <w:tab w:val="left" w:pos="840"/>
        </w:tabs>
        <w:jc w:val="both"/>
        <w:rPr>
          <w:rFonts w:ascii="Garamond" w:hAnsi="Garamond"/>
          <w:sz w:val="22"/>
          <w:szCs w:val="22"/>
        </w:rPr>
      </w:pPr>
    </w:p>
    <w:p w:rsidR="00722953" w:rsidRPr="000E2B5A" w:rsidRDefault="00E87803" w:rsidP="00D3182B">
      <w:pPr>
        <w:pStyle w:val="DefaultText"/>
        <w:tabs>
          <w:tab w:val="left" w:pos="441"/>
          <w:tab w:val="left" w:pos="840"/>
        </w:tabs>
        <w:jc w:val="both"/>
        <w:rPr>
          <w:rFonts w:ascii="Garamond" w:hAnsi="Garamond"/>
          <w:sz w:val="22"/>
          <w:szCs w:val="22"/>
        </w:rPr>
      </w:pPr>
      <w:r w:rsidRPr="000E2B5A">
        <w:rPr>
          <w:rFonts w:ascii="Garamond" w:hAnsi="Garamond"/>
          <w:sz w:val="22"/>
          <w:szCs w:val="22"/>
        </w:rPr>
        <w:t xml:space="preserve">[2] </w:t>
      </w:r>
      <w:r w:rsidRPr="000E2B5A">
        <w:rPr>
          <w:rFonts w:ascii="Garamond" w:hAnsi="Garamond"/>
          <w:sz w:val="22"/>
          <w:szCs w:val="22"/>
          <w:u w:val="single"/>
        </w:rPr>
        <w:t>Amplifying (or adding to) the sense</w:t>
      </w:r>
      <w:r w:rsidRPr="000E2B5A">
        <w:rPr>
          <w:rFonts w:ascii="Garamond" w:hAnsi="Garamond"/>
          <w:sz w:val="22"/>
          <w:szCs w:val="22"/>
        </w:rPr>
        <w:t>:</w:t>
      </w:r>
      <w:r w:rsidRPr="000E2B5A">
        <w:rPr>
          <w:rFonts w:ascii="Garamond" w:hAnsi="Garamond"/>
          <w:b/>
          <w:sz w:val="22"/>
          <w:szCs w:val="22"/>
        </w:rPr>
        <w:t xml:space="preserve"> </w:t>
      </w:r>
      <w:r w:rsidRPr="000E2B5A">
        <w:rPr>
          <w:rFonts w:ascii="Garamond" w:hAnsi="Garamond"/>
          <w:sz w:val="22"/>
          <w:szCs w:val="22"/>
        </w:rPr>
        <w:t xml:space="preserve"> </w:t>
      </w:r>
    </w:p>
    <w:p w:rsidR="00722953" w:rsidRPr="000E2B5A" w:rsidRDefault="00722953" w:rsidP="00D3182B">
      <w:pPr>
        <w:pStyle w:val="DefaultText"/>
        <w:tabs>
          <w:tab w:val="left" w:pos="441"/>
          <w:tab w:val="left" w:pos="840"/>
        </w:tabs>
        <w:jc w:val="both"/>
        <w:rPr>
          <w:rFonts w:ascii="Garamond" w:hAnsi="Garamond"/>
          <w:sz w:val="22"/>
          <w:szCs w:val="22"/>
        </w:rPr>
      </w:pPr>
    </w:p>
    <w:p w:rsidR="00E87803" w:rsidRPr="000E2B5A" w:rsidRDefault="005D74CB" w:rsidP="00D3182B">
      <w:pPr>
        <w:pStyle w:val="DefaultText"/>
        <w:tabs>
          <w:tab w:val="left" w:pos="441"/>
          <w:tab w:val="left" w:pos="840"/>
        </w:tabs>
        <w:jc w:val="both"/>
        <w:rPr>
          <w:rFonts w:ascii="Garamond" w:hAnsi="Garamond"/>
          <w:sz w:val="22"/>
          <w:szCs w:val="22"/>
        </w:rPr>
      </w:pPr>
      <w:r w:rsidRPr="000E2B5A">
        <w:rPr>
          <w:rFonts w:ascii="Garamond" w:hAnsi="Garamond"/>
          <w:sz w:val="22"/>
          <w:szCs w:val="22"/>
        </w:rPr>
        <w:t>‘</w:t>
      </w:r>
      <w:r w:rsidR="00E87803" w:rsidRPr="000E2B5A">
        <w:rPr>
          <w:rFonts w:ascii="Garamond" w:hAnsi="Garamond"/>
          <w:sz w:val="22"/>
          <w:szCs w:val="22"/>
        </w:rPr>
        <w:t>Doing</w:t>
      </w:r>
      <w:r w:rsidRPr="000E2B5A">
        <w:rPr>
          <w:rFonts w:ascii="Garamond" w:hAnsi="Garamond"/>
          <w:sz w:val="22"/>
          <w:szCs w:val="22"/>
        </w:rPr>
        <w:t>’</w:t>
      </w:r>
      <w:r w:rsidR="00E87803" w:rsidRPr="000E2B5A">
        <w:rPr>
          <w:rFonts w:ascii="Garamond" w:hAnsi="Garamond"/>
          <w:sz w:val="22"/>
          <w:szCs w:val="22"/>
        </w:rPr>
        <w:t xml:space="preserve"> God</w:t>
      </w:r>
      <w:r w:rsidRPr="000E2B5A">
        <w:rPr>
          <w:rFonts w:ascii="Garamond" w:hAnsi="Garamond"/>
          <w:sz w:val="22"/>
          <w:szCs w:val="22"/>
        </w:rPr>
        <w:t>’</w:t>
      </w:r>
      <w:r w:rsidR="00E87803" w:rsidRPr="000E2B5A">
        <w:rPr>
          <w:rFonts w:ascii="Garamond" w:hAnsi="Garamond"/>
          <w:sz w:val="22"/>
          <w:szCs w:val="22"/>
        </w:rPr>
        <w:t>s will, or His word (as Luke puts</w:t>
      </w:r>
      <w:r w:rsidR="00722953" w:rsidRPr="000E2B5A">
        <w:rPr>
          <w:rFonts w:ascii="Garamond" w:hAnsi="Garamond"/>
          <w:sz w:val="22"/>
          <w:szCs w:val="22"/>
        </w:rPr>
        <w:t xml:space="preserve"> it</w:t>
      </w:r>
      <w:r w:rsidR="00E87803" w:rsidRPr="000E2B5A">
        <w:rPr>
          <w:rFonts w:ascii="Garamond" w:hAnsi="Garamond"/>
          <w:sz w:val="22"/>
          <w:szCs w:val="22"/>
        </w:rPr>
        <w:t xml:space="preserve">), is basic to all three Gospels.  Yet, whatever Jesus actually remarked, three different (in two cases extended) modes of presenting God, attend the delivery of this precept.   Mark simply uses the term </w:t>
      </w:r>
      <w:r w:rsidRPr="000E2B5A">
        <w:rPr>
          <w:rFonts w:ascii="Garamond" w:hAnsi="Garamond"/>
          <w:sz w:val="22"/>
          <w:szCs w:val="22"/>
        </w:rPr>
        <w:t>‘</w:t>
      </w:r>
      <w:r w:rsidR="00E87803" w:rsidRPr="000E2B5A">
        <w:rPr>
          <w:rFonts w:ascii="Garamond" w:hAnsi="Garamond"/>
          <w:sz w:val="22"/>
          <w:szCs w:val="22"/>
        </w:rPr>
        <w:t>God</w:t>
      </w:r>
      <w:r w:rsidRPr="000E2B5A">
        <w:rPr>
          <w:rFonts w:ascii="Garamond" w:hAnsi="Garamond"/>
          <w:sz w:val="22"/>
          <w:szCs w:val="22"/>
        </w:rPr>
        <w:t>’</w:t>
      </w:r>
      <w:r w:rsidR="00E87803" w:rsidRPr="000E2B5A">
        <w:rPr>
          <w:rFonts w:ascii="Garamond" w:hAnsi="Garamond"/>
          <w:sz w:val="22"/>
          <w:szCs w:val="22"/>
        </w:rPr>
        <w:t xml:space="preserve"> to refer to Him by, whereas Matthew associates Him with Jesus and with heaven, and Luke identifies Him by His word: </w:t>
      </w:r>
    </w:p>
    <w:p w:rsidR="00E87803" w:rsidRPr="000E2B5A" w:rsidRDefault="00E87803" w:rsidP="00D3182B">
      <w:pPr>
        <w:pStyle w:val="DefaultText"/>
        <w:tabs>
          <w:tab w:val="left" w:pos="441"/>
          <w:tab w:val="left" w:pos="840"/>
        </w:tabs>
        <w:jc w:val="both"/>
        <w:rPr>
          <w:rFonts w:ascii="Garamond" w:hAnsi="Garamond"/>
          <w:sz w:val="22"/>
          <w:szCs w:val="22"/>
        </w:rPr>
      </w:pPr>
    </w:p>
    <w:p w:rsidR="00E87803" w:rsidRPr="000E2B5A" w:rsidRDefault="00E87803" w:rsidP="00722953">
      <w:pPr>
        <w:pStyle w:val="DefaultText"/>
        <w:rPr>
          <w:rFonts w:ascii="Garamond" w:hAnsi="Garamond"/>
          <w:sz w:val="22"/>
          <w:szCs w:val="22"/>
        </w:rPr>
      </w:pPr>
      <w:r w:rsidRPr="000E2B5A">
        <w:rPr>
          <w:rFonts w:ascii="Garamond" w:hAnsi="Garamond"/>
          <w:sz w:val="22"/>
          <w:szCs w:val="22"/>
          <w:u w:val="single"/>
        </w:rPr>
        <w:t>M</w:t>
      </w:r>
      <w:r w:rsidR="00722953" w:rsidRPr="000E2B5A">
        <w:rPr>
          <w:rFonts w:ascii="Garamond" w:hAnsi="Garamond"/>
          <w:sz w:val="22"/>
          <w:szCs w:val="22"/>
          <w:u w:val="single"/>
        </w:rPr>
        <w:t>a</w:t>
      </w:r>
      <w:r w:rsidRPr="000E2B5A">
        <w:rPr>
          <w:rFonts w:ascii="Garamond" w:hAnsi="Garamond"/>
          <w:sz w:val="22"/>
          <w:szCs w:val="22"/>
          <w:u w:val="single"/>
        </w:rPr>
        <w:t>tt 12:50</w:t>
      </w:r>
      <w:r w:rsidRPr="000E2B5A">
        <w:rPr>
          <w:rFonts w:ascii="Garamond" w:hAnsi="Garamond"/>
          <w:sz w:val="22"/>
          <w:szCs w:val="22"/>
        </w:rPr>
        <w:t xml:space="preserve"> </w:t>
      </w:r>
      <w:r w:rsidRPr="000E2B5A">
        <w:rPr>
          <w:rFonts w:ascii="Garamond" w:hAnsi="Garamond"/>
          <w:sz w:val="22"/>
          <w:szCs w:val="22"/>
        </w:rPr>
        <w:tab/>
        <w:t xml:space="preserve">For whoever does the will of </w:t>
      </w:r>
      <w:r w:rsidRPr="000E2B5A">
        <w:rPr>
          <w:rFonts w:ascii="Garamond" w:hAnsi="Garamond"/>
          <w:sz w:val="22"/>
          <w:szCs w:val="22"/>
          <w:u w:val="single"/>
        </w:rPr>
        <w:t>my Father in heaven</w:t>
      </w:r>
      <w:r w:rsidRPr="000E2B5A">
        <w:rPr>
          <w:rFonts w:ascii="Garamond" w:hAnsi="Garamond"/>
          <w:sz w:val="22"/>
          <w:szCs w:val="22"/>
        </w:rPr>
        <w:t xml:space="preserve"> is my brother, </w:t>
      </w:r>
      <w:r w:rsidRPr="000E2B5A">
        <w:rPr>
          <w:rFonts w:ascii="Garamond" w:hAnsi="Garamond"/>
          <w:sz w:val="22"/>
          <w:szCs w:val="22"/>
        </w:rPr>
        <w:tab/>
      </w:r>
      <w:r w:rsidRPr="000E2B5A">
        <w:rPr>
          <w:rFonts w:ascii="Garamond" w:hAnsi="Garamond"/>
          <w:sz w:val="22"/>
          <w:szCs w:val="22"/>
        </w:rPr>
        <w:tab/>
      </w:r>
      <w:r w:rsidRPr="000E2B5A">
        <w:rPr>
          <w:rFonts w:ascii="Garamond" w:hAnsi="Garamond"/>
          <w:sz w:val="22"/>
          <w:szCs w:val="22"/>
        </w:rPr>
        <w:tab/>
        <w:t>and sister, and mother.</w:t>
      </w:r>
    </w:p>
    <w:p w:rsidR="00E87803" w:rsidRPr="000E2B5A" w:rsidRDefault="00E87803" w:rsidP="00722953">
      <w:pPr>
        <w:pStyle w:val="DefaultText"/>
        <w:rPr>
          <w:rFonts w:ascii="Garamond" w:hAnsi="Garamond"/>
          <w:sz w:val="22"/>
          <w:szCs w:val="22"/>
        </w:rPr>
      </w:pPr>
      <w:r w:rsidRPr="000E2B5A">
        <w:rPr>
          <w:rFonts w:ascii="Garamond" w:hAnsi="Garamond"/>
          <w:sz w:val="22"/>
          <w:szCs w:val="22"/>
          <w:u w:val="single"/>
        </w:rPr>
        <w:t>M</w:t>
      </w:r>
      <w:r w:rsidR="00722953" w:rsidRPr="000E2B5A">
        <w:rPr>
          <w:rFonts w:ascii="Garamond" w:hAnsi="Garamond"/>
          <w:sz w:val="22"/>
          <w:szCs w:val="22"/>
          <w:u w:val="single"/>
        </w:rPr>
        <w:t>ar</w:t>
      </w:r>
      <w:r w:rsidRPr="000E2B5A">
        <w:rPr>
          <w:rFonts w:ascii="Garamond" w:hAnsi="Garamond"/>
          <w:sz w:val="22"/>
          <w:szCs w:val="22"/>
          <w:u w:val="single"/>
        </w:rPr>
        <w:t>k 3:35</w:t>
      </w:r>
      <w:r w:rsidRPr="000E2B5A">
        <w:rPr>
          <w:rFonts w:ascii="Garamond" w:hAnsi="Garamond"/>
          <w:sz w:val="22"/>
          <w:szCs w:val="22"/>
        </w:rPr>
        <w:t xml:space="preserve"> </w:t>
      </w:r>
      <w:r w:rsidRPr="000E2B5A">
        <w:rPr>
          <w:rFonts w:ascii="Garamond" w:hAnsi="Garamond"/>
          <w:sz w:val="22"/>
          <w:szCs w:val="22"/>
        </w:rPr>
        <w:tab/>
        <w:t xml:space="preserve">Whoever does the will of </w:t>
      </w:r>
      <w:r w:rsidRPr="000E2B5A">
        <w:rPr>
          <w:rFonts w:ascii="Garamond" w:hAnsi="Garamond"/>
          <w:sz w:val="22"/>
          <w:szCs w:val="22"/>
          <w:u w:val="single"/>
        </w:rPr>
        <w:t>God</w:t>
      </w:r>
      <w:r w:rsidRPr="000E2B5A">
        <w:rPr>
          <w:rFonts w:ascii="Garamond" w:hAnsi="Garamond"/>
          <w:sz w:val="22"/>
          <w:szCs w:val="22"/>
        </w:rPr>
        <w:t xml:space="preserve"> is </w:t>
      </w:r>
      <w:r w:rsidR="00722953" w:rsidRPr="000E2B5A">
        <w:rPr>
          <w:rFonts w:ascii="Garamond" w:hAnsi="Garamond"/>
          <w:sz w:val="22"/>
          <w:szCs w:val="22"/>
        </w:rPr>
        <w:t xml:space="preserve">my brother, and sister, and </w:t>
      </w:r>
      <w:r w:rsidR="00722953" w:rsidRPr="000E2B5A">
        <w:rPr>
          <w:rFonts w:ascii="Garamond" w:hAnsi="Garamond"/>
          <w:sz w:val="22"/>
          <w:szCs w:val="22"/>
        </w:rPr>
        <w:tab/>
      </w:r>
      <w:r w:rsidR="00722953" w:rsidRPr="000E2B5A">
        <w:rPr>
          <w:rFonts w:ascii="Garamond" w:hAnsi="Garamond"/>
          <w:sz w:val="22"/>
          <w:szCs w:val="22"/>
        </w:rPr>
        <w:tab/>
      </w:r>
      <w:r w:rsidR="00722953" w:rsidRPr="000E2B5A">
        <w:rPr>
          <w:rFonts w:ascii="Garamond" w:hAnsi="Garamond"/>
          <w:sz w:val="22"/>
          <w:szCs w:val="22"/>
        </w:rPr>
        <w:tab/>
      </w:r>
      <w:r w:rsidRPr="000E2B5A">
        <w:rPr>
          <w:rFonts w:ascii="Garamond" w:hAnsi="Garamond"/>
          <w:sz w:val="22"/>
          <w:szCs w:val="22"/>
        </w:rPr>
        <w:t>mother.</w:t>
      </w:r>
    </w:p>
    <w:p w:rsidR="00E87803" w:rsidRPr="000E2B5A" w:rsidRDefault="00E87803" w:rsidP="00722953">
      <w:pPr>
        <w:pStyle w:val="DefaultText"/>
        <w:rPr>
          <w:rFonts w:ascii="Garamond" w:hAnsi="Garamond"/>
          <w:sz w:val="22"/>
          <w:szCs w:val="22"/>
          <w:u w:val="single"/>
        </w:rPr>
      </w:pPr>
      <w:r w:rsidRPr="000E2B5A">
        <w:rPr>
          <w:rFonts w:ascii="Garamond" w:hAnsi="Garamond"/>
          <w:sz w:val="22"/>
          <w:szCs w:val="22"/>
          <w:u w:val="single"/>
        </w:rPr>
        <w:t>L</w:t>
      </w:r>
      <w:r w:rsidR="00722953" w:rsidRPr="000E2B5A">
        <w:rPr>
          <w:rFonts w:ascii="Garamond" w:hAnsi="Garamond"/>
          <w:sz w:val="22"/>
          <w:szCs w:val="22"/>
          <w:u w:val="single"/>
        </w:rPr>
        <w:t>u</w:t>
      </w:r>
      <w:r w:rsidRPr="000E2B5A">
        <w:rPr>
          <w:rFonts w:ascii="Garamond" w:hAnsi="Garamond"/>
          <w:sz w:val="22"/>
          <w:szCs w:val="22"/>
          <w:u w:val="single"/>
        </w:rPr>
        <w:t>k</w:t>
      </w:r>
      <w:r w:rsidR="00722953" w:rsidRPr="000E2B5A">
        <w:rPr>
          <w:rFonts w:ascii="Garamond" w:hAnsi="Garamond"/>
          <w:sz w:val="22"/>
          <w:szCs w:val="22"/>
          <w:u w:val="single"/>
        </w:rPr>
        <w:t>e</w:t>
      </w:r>
      <w:r w:rsidRPr="000E2B5A">
        <w:rPr>
          <w:rFonts w:ascii="Garamond" w:hAnsi="Garamond"/>
          <w:sz w:val="22"/>
          <w:szCs w:val="22"/>
          <w:u w:val="single"/>
        </w:rPr>
        <w:t xml:space="preserve"> 8:21</w:t>
      </w:r>
      <w:r w:rsidRPr="000E2B5A">
        <w:rPr>
          <w:rFonts w:ascii="Garamond" w:hAnsi="Garamond"/>
          <w:sz w:val="22"/>
          <w:szCs w:val="22"/>
        </w:rPr>
        <w:t xml:space="preserve">        </w:t>
      </w:r>
      <w:r w:rsidRPr="000E2B5A">
        <w:rPr>
          <w:rFonts w:ascii="Garamond" w:hAnsi="Garamond"/>
          <w:sz w:val="22"/>
          <w:szCs w:val="22"/>
        </w:rPr>
        <w:tab/>
        <w:t xml:space="preserve">My mother and my brothers are those who hear </w:t>
      </w:r>
      <w:r w:rsidRPr="000E2B5A">
        <w:rPr>
          <w:rFonts w:ascii="Garamond" w:hAnsi="Garamond"/>
          <w:sz w:val="22"/>
          <w:szCs w:val="22"/>
          <w:u w:val="single"/>
        </w:rPr>
        <w:t xml:space="preserve">the word of </w:t>
      </w:r>
    </w:p>
    <w:p w:rsidR="00E87803" w:rsidRPr="000E2B5A" w:rsidRDefault="00E87803" w:rsidP="00722953">
      <w:pPr>
        <w:pStyle w:val="DefaultText"/>
        <w:rPr>
          <w:rFonts w:ascii="Garamond" w:hAnsi="Garamond"/>
          <w:sz w:val="22"/>
          <w:szCs w:val="22"/>
        </w:rPr>
      </w:pPr>
      <w:r w:rsidRPr="000E2B5A">
        <w:rPr>
          <w:rFonts w:ascii="Garamond" w:hAnsi="Garamond"/>
          <w:sz w:val="22"/>
          <w:szCs w:val="22"/>
        </w:rPr>
        <w:t xml:space="preserve">                          </w:t>
      </w:r>
      <w:r w:rsidRPr="000E2B5A">
        <w:rPr>
          <w:rFonts w:ascii="Garamond" w:hAnsi="Garamond"/>
          <w:sz w:val="22"/>
          <w:szCs w:val="22"/>
        </w:rPr>
        <w:tab/>
      </w:r>
      <w:r w:rsidRPr="000E2B5A">
        <w:rPr>
          <w:rFonts w:ascii="Garamond" w:hAnsi="Garamond"/>
          <w:sz w:val="22"/>
          <w:szCs w:val="22"/>
          <w:u w:val="single"/>
        </w:rPr>
        <w:t>God</w:t>
      </w:r>
      <w:r w:rsidRPr="000E2B5A">
        <w:rPr>
          <w:rFonts w:ascii="Garamond" w:hAnsi="Garamond"/>
          <w:sz w:val="22"/>
          <w:szCs w:val="22"/>
        </w:rPr>
        <w:t xml:space="preserve"> and do it.</w:t>
      </w:r>
    </w:p>
    <w:p w:rsidR="005B0F71" w:rsidRPr="000E2B5A" w:rsidRDefault="00E87803" w:rsidP="00D3182B">
      <w:pPr>
        <w:pStyle w:val="DefaultText"/>
        <w:tabs>
          <w:tab w:val="left" w:pos="441"/>
          <w:tab w:val="left" w:pos="840"/>
          <w:tab w:val="left" w:pos="1866"/>
        </w:tabs>
        <w:rPr>
          <w:rFonts w:ascii="Garamond" w:hAnsi="Garamond"/>
          <w:sz w:val="22"/>
          <w:szCs w:val="22"/>
        </w:rPr>
      </w:pPr>
      <w:r w:rsidRPr="000E2B5A">
        <w:rPr>
          <w:rFonts w:ascii="Garamond" w:hAnsi="Garamond"/>
          <w:sz w:val="22"/>
          <w:szCs w:val="22"/>
        </w:rPr>
        <w:t xml:space="preserve">             </w:t>
      </w:r>
    </w:p>
    <w:p w:rsidR="00E87803" w:rsidRPr="000E2B5A" w:rsidRDefault="00204411" w:rsidP="00D3182B">
      <w:pPr>
        <w:pStyle w:val="DefaultText"/>
        <w:tabs>
          <w:tab w:val="left" w:pos="441"/>
          <w:tab w:val="left" w:pos="1866"/>
        </w:tabs>
        <w:rPr>
          <w:rFonts w:ascii="Garamond" w:hAnsi="Garamond"/>
          <w:sz w:val="22"/>
          <w:szCs w:val="22"/>
        </w:rPr>
      </w:pPr>
      <w:r w:rsidRPr="000E2B5A">
        <w:rPr>
          <w:rFonts w:ascii="Garamond" w:hAnsi="Garamond"/>
          <w:sz w:val="22"/>
          <w:szCs w:val="22"/>
        </w:rPr>
        <w:t>[3</w:t>
      </w:r>
      <w:r w:rsidR="00E87803" w:rsidRPr="000E2B5A">
        <w:rPr>
          <w:rFonts w:ascii="Garamond" w:hAnsi="Garamond"/>
          <w:sz w:val="22"/>
          <w:szCs w:val="22"/>
        </w:rPr>
        <w:t xml:space="preserve">] </w:t>
      </w:r>
      <w:r w:rsidR="00E87803" w:rsidRPr="000E2B5A">
        <w:rPr>
          <w:rFonts w:ascii="Garamond" w:hAnsi="Garamond"/>
          <w:sz w:val="22"/>
          <w:szCs w:val="22"/>
          <w:u w:val="single"/>
        </w:rPr>
        <w:t xml:space="preserve">Difference </w:t>
      </w:r>
      <w:r w:rsidRPr="000E2B5A">
        <w:rPr>
          <w:rFonts w:ascii="Garamond" w:hAnsi="Garamond"/>
          <w:sz w:val="22"/>
          <w:szCs w:val="22"/>
          <w:u w:val="single"/>
        </w:rPr>
        <w:t>of word</w:t>
      </w:r>
      <w:r w:rsidR="00E87803" w:rsidRPr="000E2B5A">
        <w:rPr>
          <w:rFonts w:ascii="Garamond" w:hAnsi="Garamond"/>
          <w:sz w:val="22"/>
          <w:szCs w:val="22"/>
          <w:u w:val="single"/>
        </w:rPr>
        <w:t xml:space="preserve"> order</w:t>
      </w:r>
      <w:r w:rsidR="00E87803" w:rsidRPr="000E2B5A">
        <w:rPr>
          <w:rFonts w:ascii="Garamond" w:hAnsi="Garamond"/>
          <w:sz w:val="22"/>
          <w:szCs w:val="22"/>
        </w:rPr>
        <w:t xml:space="preserve">: </w:t>
      </w:r>
    </w:p>
    <w:p w:rsidR="00722953" w:rsidRPr="000E2B5A" w:rsidRDefault="00722953" w:rsidP="00D3182B">
      <w:pPr>
        <w:pStyle w:val="DefaultText"/>
        <w:tabs>
          <w:tab w:val="left" w:pos="441"/>
          <w:tab w:val="left" w:pos="1866"/>
        </w:tabs>
        <w:rPr>
          <w:rFonts w:ascii="Garamond" w:hAnsi="Garamond"/>
          <w:sz w:val="22"/>
          <w:szCs w:val="22"/>
        </w:rPr>
      </w:pPr>
    </w:p>
    <w:p w:rsidR="00E87803" w:rsidRPr="000E2B5A" w:rsidRDefault="00E87803" w:rsidP="00722953">
      <w:pPr>
        <w:pStyle w:val="DefaultText"/>
        <w:tabs>
          <w:tab w:val="left" w:pos="441"/>
          <w:tab w:val="left" w:pos="1418"/>
        </w:tabs>
        <w:rPr>
          <w:rFonts w:ascii="Garamond" w:hAnsi="Garamond"/>
          <w:sz w:val="22"/>
          <w:szCs w:val="22"/>
        </w:rPr>
      </w:pPr>
      <w:r w:rsidRPr="000E2B5A">
        <w:rPr>
          <w:rFonts w:ascii="Garamond" w:hAnsi="Garamond"/>
          <w:sz w:val="22"/>
          <w:szCs w:val="22"/>
          <w:u w:val="single"/>
        </w:rPr>
        <w:t>L</w:t>
      </w:r>
      <w:r w:rsidR="00722953" w:rsidRPr="000E2B5A">
        <w:rPr>
          <w:rFonts w:ascii="Garamond" w:hAnsi="Garamond"/>
          <w:sz w:val="22"/>
          <w:szCs w:val="22"/>
          <w:u w:val="single"/>
        </w:rPr>
        <w:t>u</w:t>
      </w:r>
      <w:r w:rsidRPr="000E2B5A">
        <w:rPr>
          <w:rFonts w:ascii="Garamond" w:hAnsi="Garamond"/>
          <w:sz w:val="22"/>
          <w:szCs w:val="22"/>
          <w:u w:val="single"/>
        </w:rPr>
        <w:t>k</w:t>
      </w:r>
      <w:r w:rsidR="00722953" w:rsidRPr="000E2B5A">
        <w:rPr>
          <w:rFonts w:ascii="Garamond" w:hAnsi="Garamond"/>
          <w:sz w:val="22"/>
          <w:szCs w:val="22"/>
          <w:u w:val="single"/>
        </w:rPr>
        <w:t>e</w:t>
      </w:r>
      <w:r w:rsidRPr="000E2B5A">
        <w:rPr>
          <w:rFonts w:ascii="Garamond" w:hAnsi="Garamond"/>
          <w:sz w:val="22"/>
          <w:szCs w:val="22"/>
          <w:u w:val="single"/>
        </w:rPr>
        <w:t xml:space="preserve"> 8:21</w:t>
      </w:r>
      <w:r w:rsidR="00722953" w:rsidRPr="000E2B5A">
        <w:rPr>
          <w:rFonts w:ascii="Garamond" w:hAnsi="Garamond"/>
          <w:sz w:val="22"/>
          <w:szCs w:val="22"/>
        </w:rPr>
        <w:t xml:space="preserve">   </w:t>
      </w:r>
      <w:r w:rsidR="00722953" w:rsidRPr="000E2B5A">
        <w:rPr>
          <w:rFonts w:ascii="Garamond" w:hAnsi="Garamond"/>
          <w:sz w:val="22"/>
          <w:szCs w:val="22"/>
        </w:rPr>
        <w:tab/>
      </w:r>
      <w:r w:rsidR="005D74CB" w:rsidRPr="000E2B5A">
        <w:rPr>
          <w:rFonts w:ascii="Garamond" w:hAnsi="Garamond"/>
          <w:sz w:val="22"/>
          <w:szCs w:val="22"/>
        </w:rPr>
        <w:t>“</w:t>
      </w:r>
      <w:r w:rsidRPr="000E2B5A">
        <w:rPr>
          <w:rFonts w:ascii="Garamond" w:hAnsi="Garamond"/>
          <w:sz w:val="22"/>
          <w:szCs w:val="22"/>
        </w:rPr>
        <w:t>My mother and my brothers</w:t>
      </w:r>
      <w:r w:rsidR="005D74CB" w:rsidRPr="000E2B5A">
        <w:rPr>
          <w:rFonts w:ascii="Garamond" w:hAnsi="Garamond"/>
          <w:sz w:val="22"/>
          <w:szCs w:val="22"/>
        </w:rPr>
        <w:t>”</w:t>
      </w:r>
      <w:r w:rsidRPr="000E2B5A">
        <w:rPr>
          <w:rFonts w:ascii="Garamond" w:hAnsi="Garamond"/>
          <w:sz w:val="22"/>
          <w:szCs w:val="22"/>
        </w:rPr>
        <w:t xml:space="preserve"> appears at the start of the last </w:t>
      </w:r>
      <w:r w:rsidRPr="000E2B5A">
        <w:rPr>
          <w:rFonts w:ascii="Garamond" w:hAnsi="Garamond"/>
          <w:sz w:val="22"/>
          <w:szCs w:val="22"/>
        </w:rPr>
        <w:tab/>
      </w:r>
      <w:r w:rsidRPr="000E2B5A">
        <w:rPr>
          <w:rFonts w:ascii="Garamond" w:hAnsi="Garamond"/>
          <w:sz w:val="22"/>
          <w:szCs w:val="22"/>
        </w:rPr>
        <w:tab/>
      </w:r>
      <w:r w:rsidRPr="000E2B5A">
        <w:rPr>
          <w:rFonts w:ascii="Garamond" w:hAnsi="Garamond"/>
          <w:sz w:val="22"/>
          <w:szCs w:val="22"/>
        </w:rPr>
        <w:tab/>
        <w:t xml:space="preserve">statement only in this Gospel. </w:t>
      </w:r>
    </w:p>
    <w:p w:rsidR="00E87803" w:rsidRPr="000E2B5A" w:rsidRDefault="00E87803" w:rsidP="00D3182B">
      <w:pPr>
        <w:pStyle w:val="DefaultText"/>
        <w:tabs>
          <w:tab w:val="left" w:pos="441"/>
          <w:tab w:val="left" w:pos="1890"/>
          <w:tab w:val="left" w:pos="8800"/>
        </w:tabs>
        <w:rPr>
          <w:rFonts w:ascii="Garamond" w:hAnsi="Garamond"/>
          <w:sz w:val="22"/>
          <w:szCs w:val="22"/>
        </w:rPr>
      </w:pPr>
    </w:p>
    <w:p w:rsidR="00E87803" w:rsidRPr="000E2B5A" w:rsidRDefault="00E87803" w:rsidP="00D3182B">
      <w:pPr>
        <w:pStyle w:val="DefaultText"/>
        <w:tabs>
          <w:tab w:val="left" w:pos="441"/>
          <w:tab w:val="left" w:pos="1890"/>
          <w:tab w:val="left" w:pos="8800"/>
        </w:tabs>
        <w:rPr>
          <w:rFonts w:ascii="Garamond" w:hAnsi="Garamond"/>
          <w:sz w:val="22"/>
          <w:szCs w:val="22"/>
        </w:rPr>
      </w:pPr>
      <w:r w:rsidRPr="000E2B5A">
        <w:rPr>
          <w:rFonts w:ascii="Garamond" w:hAnsi="Garamond"/>
          <w:sz w:val="22"/>
          <w:szCs w:val="22"/>
        </w:rPr>
        <w:lastRenderedPageBreak/>
        <w:t xml:space="preserve">[4] </w:t>
      </w:r>
      <w:r w:rsidRPr="000E2B5A">
        <w:rPr>
          <w:rFonts w:ascii="Garamond" w:hAnsi="Garamond"/>
          <w:sz w:val="22"/>
          <w:szCs w:val="22"/>
        </w:rPr>
        <w:tab/>
      </w:r>
      <w:r w:rsidRPr="000E2B5A">
        <w:rPr>
          <w:rFonts w:ascii="Garamond" w:hAnsi="Garamond"/>
          <w:sz w:val="22"/>
          <w:szCs w:val="22"/>
          <w:u w:val="single"/>
        </w:rPr>
        <w:t>Grammatical change</w:t>
      </w:r>
      <w:r w:rsidRPr="000E2B5A">
        <w:rPr>
          <w:rFonts w:ascii="Garamond" w:hAnsi="Garamond"/>
          <w:sz w:val="22"/>
          <w:szCs w:val="22"/>
        </w:rPr>
        <w:t xml:space="preserve">: </w:t>
      </w:r>
    </w:p>
    <w:p w:rsidR="00722953" w:rsidRPr="000E2B5A" w:rsidRDefault="00722953" w:rsidP="00D3182B">
      <w:pPr>
        <w:pStyle w:val="DefaultText"/>
        <w:tabs>
          <w:tab w:val="left" w:pos="441"/>
          <w:tab w:val="left" w:pos="1890"/>
          <w:tab w:val="left" w:pos="8800"/>
        </w:tabs>
        <w:rPr>
          <w:rFonts w:ascii="Garamond" w:hAnsi="Garamond"/>
          <w:sz w:val="22"/>
          <w:szCs w:val="22"/>
        </w:rPr>
      </w:pPr>
    </w:p>
    <w:p w:rsidR="00E87803" w:rsidRPr="000E2B5A" w:rsidRDefault="005B0F71" w:rsidP="00D3182B">
      <w:pPr>
        <w:pStyle w:val="DefaultText"/>
        <w:tabs>
          <w:tab w:val="left" w:pos="441"/>
          <w:tab w:val="left" w:pos="1890"/>
          <w:tab w:val="left" w:pos="8800"/>
        </w:tabs>
        <w:jc w:val="both"/>
        <w:rPr>
          <w:rFonts w:ascii="Garamond" w:hAnsi="Garamond"/>
          <w:sz w:val="22"/>
          <w:szCs w:val="22"/>
        </w:rPr>
      </w:pPr>
      <w:r w:rsidRPr="000E2B5A">
        <w:rPr>
          <w:rFonts w:ascii="Garamond" w:hAnsi="Garamond"/>
          <w:sz w:val="22"/>
          <w:szCs w:val="22"/>
        </w:rPr>
        <w:t>I</w:t>
      </w:r>
      <w:r w:rsidR="00E87803" w:rsidRPr="000E2B5A">
        <w:rPr>
          <w:rFonts w:ascii="Garamond" w:hAnsi="Garamond"/>
          <w:sz w:val="22"/>
          <w:szCs w:val="22"/>
        </w:rPr>
        <w:t>n Matthew and Mark</w:t>
      </w:r>
      <w:r w:rsidRPr="000E2B5A">
        <w:rPr>
          <w:rFonts w:ascii="Garamond" w:hAnsi="Garamond"/>
          <w:sz w:val="22"/>
          <w:szCs w:val="22"/>
        </w:rPr>
        <w:t>,</w:t>
      </w:r>
      <w:r w:rsidR="00E87803" w:rsidRPr="000E2B5A">
        <w:rPr>
          <w:rFonts w:ascii="Garamond" w:hAnsi="Garamond"/>
          <w:sz w:val="22"/>
          <w:szCs w:val="22"/>
        </w:rPr>
        <w:t xml:space="preserve"> the last sentence has </w:t>
      </w:r>
      <w:r w:rsidR="005D74CB" w:rsidRPr="000E2B5A">
        <w:rPr>
          <w:rFonts w:ascii="Garamond" w:hAnsi="Garamond"/>
          <w:sz w:val="22"/>
          <w:szCs w:val="22"/>
        </w:rPr>
        <w:t>‘</w:t>
      </w:r>
      <w:r w:rsidR="00E87803" w:rsidRPr="000E2B5A">
        <w:rPr>
          <w:rFonts w:ascii="Garamond" w:hAnsi="Garamond"/>
          <w:sz w:val="22"/>
          <w:szCs w:val="22"/>
        </w:rPr>
        <w:t>brother</w:t>
      </w:r>
      <w:r w:rsidR="005D74CB" w:rsidRPr="000E2B5A">
        <w:rPr>
          <w:rFonts w:ascii="Garamond" w:hAnsi="Garamond"/>
          <w:sz w:val="22"/>
          <w:szCs w:val="22"/>
        </w:rPr>
        <w:t>’</w:t>
      </w:r>
      <w:r w:rsidR="00E87803" w:rsidRPr="000E2B5A">
        <w:rPr>
          <w:rFonts w:ascii="Garamond" w:hAnsi="Garamond"/>
          <w:sz w:val="22"/>
          <w:szCs w:val="22"/>
        </w:rPr>
        <w:t xml:space="preserve"> singular, whereas Luke has </w:t>
      </w:r>
      <w:r w:rsidR="005D74CB" w:rsidRPr="000E2B5A">
        <w:rPr>
          <w:rFonts w:ascii="Garamond" w:hAnsi="Garamond"/>
          <w:sz w:val="22"/>
          <w:szCs w:val="22"/>
        </w:rPr>
        <w:t>‘</w:t>
      </w:r>
      <w:r w:rsidR="00E87803" w:rsidRPr="000E2B5A">
        <w:rPr>
          <w:rFonts w:ascii="Garamond" w:hAnsi="Garamond"/>
          <w:sz w:val="22"/>
          <w:szCs w:val="22"/>
        </w:rPr>
        <w:t>brothers</w:t>
      </w:r>
      <w:r w:rsidR="005D74CB" w:rsidRPr="000E2B5A">
        <w:rPr>
          <w:rFonts w:ascii="Garamond" w:hAnsi="Garamond"/>
          <w:sz w:val="22"/>
          <w:szCs w:val="22"/>
        </w:rPr>
        <w:t>’</w:t>
      </w:r>
      <w:r w:rsidRPr="000E2B5A">
        <w:rPr>
          <w:rFonts w:ascii="Garamond" w:hAnsi="Garamond"/>
          <w:sz w:val="22"/>
          <w:szCs w:val="22"/>
        </w:rPr>
        <w:t xml:space="preserve">, </w:t>
      </w:r>
      <w:r w:rsidR="00722953" w:rsidRPr="000E2B5A">
        <w:rPr>
          <w:rFonts w:ascii="Garamond" w:hAnsi="Garamond"/>
          <w:sz w:val="22"/>
          <w:szCs w:val="22"/>
        </w:rPr>
        <w:t>plural. Further</w:t>
      </w:r>
      <w:r w:rsidRPr="000E2B5A">
        <w:rPr>
          <w:rFonts w:ascii="Garamond" w:hAnsi="Garamond"/>
          <w:sz w:val="22"/>
          <w:szCs w:val="22"/>
        </w:rPr>
        <w:t>, t</w:t>
      </w:r>
      <w:r w:rsidR="00E87803" w:rsidRPr="000E2B5A">
        <w:rPr>
          <w:rFonts w:ascii="Garamond" w:hAnsi="Garamond"/>
          <w:sz w:val="22"/>
          <w:szCs w:val="22"/>
        </w:rPr>
        <w:t xml:space="preserve">here is a switch of focus, or reference, to cover various individuals involved with Jesus.  Matthew has Jesus replying to </w:t>
      </w:r>
      <w:r w:rsidR="005D74CB" w:rsidRPr="000E2B5A">
        <w:rPr>
          <w:rFonts w:ascii="Garamond" w:hAnsi="Garamond"/>
          <w:sz w:val="22"/>
          <w:szCs w:val="22"/>
        </w:rPr>
        <w:t>“</w:t>
      </w:r>
      <w:r w:rsidR="00E87803" w:rsidRPr="000E2B5A">
        <w:rPr>
          <w:rFonts w:ascii="Garamond" w:hAnsi="Garamond"/>
          <w:sz w:val="22"/>
          <w:szCs w:val="22"/>
        </w:rPr>
        <w:t>the man</w:t>
      </w:r>
      <w:r w:rsidR="005D74CB" w:rsidRPr="000E2B5A">
        <w:rPr>
          <w:rFonts w:ascii="Garamond" w:hAnsi="Garamond"/>
          <w:sz w:val="22"/>
          <w:szCs w:val="22"/>
        </w:rPr>
        <w:t>”</w:t>
      </w:r>
      <w:r w:rsidR="00E87803" w:rsidRPr="000E2B5A">
        <w:rPr>
          <w:rFonts w:ascii="Garamond" w:hAnsi="Garamond"/>
          <w:sz w:val="22"/>
          <w:szCs w:val="22"/>
        </w:rPr>
        <w:t xml:space="preserve"> (a single subject), as if he alone had informed Jesus of the arrival of his relations, whereas in Mark</w:t>
      </w:r>
      <w:r w:rsidRPr="000E2B5A">
        <w:rPr>
          <w:rFonts w:ascii="Garamond" w:hAnsi="Garamond"/>
          <w:sz w:val="22"/>
          <w:szCs w:val="22"/>
        </w:rPr>
        <w:t>,</w:t>
      </w:r>
      <w:r w:rsidR="00E87803" w:rsidRPr="000E2B5A">
        <w:rPr>
          <w:rFonts w:ascii="Garamond" w:hAnsi="Garamond"/>
          <w:sz w:val="22"/>
          <w:szCs w:val="22"/>
        </w:rPr>
        <w:t xml:space="preserve"> Jesus</w:t>
      </w:r>
      <w:r w:rsidR="005D74CB" w:rsidRPr="000E2B5A">
        <w:rPr>
          <w:rFonts w:ascii="Garamond" w:hAnsi="Garamond"/>
          <w:sz w:val="22"/>
          <w:szCs w:val="22"/>
        </w:rPr>
        <w:t>’</w:t>
      </w:r>
      <w:r w:rsidR="00E87803" w:rsidRPr="000E2B5A">
        <w:rPr>
          <w:rFonts w:ascii="Garamond" w:hAnsi="Garamond"/>
          <w:sz w:val="22"/>
          <w:szCs w:val="22"/>
        </w:rPr>
        <w:t xml:space="preserve"> response follows mention of the </w:t>
      </w:r>
      <w:r w:rsidR="005D74CB" w:rsidRPr="000E2B5A">
        <w:rPr>
          <w:rFonts w:ascii="Garamond" w:hAnsi="Garamond"/>
          <w:sz w:val="22"/>
          <w:szCs w:val="22"/>
        </w:rPr>
        <w:t>“</w:t>
      </w:r>
      <w:r w:rsidR="00E87803" w:rsidRPr="000E2B5A">
        <w:rPr>
          <w:rFonts w:ascii="Garamond" w:hAnsi="Garamond"/>
          <w:sz w:val="22"/>
          <w:szCs w:val="22"/>
        </w:rPr>
        <w:t>crowd</w:t>
      </w:r>
      <w:r w:rsidR="005D74CB" w:rsidRPr="000E2B5A">
        <w:rPr>
          <w:rFonts w:ascii="Garamond" w:hAnsi="Garamond"/>
          <w:sz w:val="22"/>
          <w:szCs w:val="22"/>
        </w:rPr>
        <w:t>”</w:t>
      </w:r>
      <w:r w:rsidR="00E87803" w:rsidRPr="000E2B5A">
        <w:rPr>
          <w:rFonts w:ascii="Garamond" w:hAnsi="Garamond"/>
          <w:sz w:val="22"/>
          <w:szCs w:val="22"/>
        </w:rPr>
        <w:t xml:space="preserve"> who had told h</w:t>
      </w:r>
      <w:r w:rsidRPr="000E2B5A">
        <w:rPr>
          <w:rFonts w:ascii="Garamond" w:hAnsi="Garamond"/>
          <w:sz w:val="22"/>
          <w:szCs w:val="22"/>
        </w:rPr>
        <w:t xml:space="preserve">im of this presence outside.   </w:t>
      </w:r>
      <w:r w:rsidR="00E87803" w:rsidRPr="000E2B5A">
        <w:rPr>
          <w:rFonts w:ascii="Garamond" w:hAnsi="Garamond"/>
          <w:sz w:val="22"/>
          <w:szCs w:val="22"/>
        </w:rPr>
        <w:t xml:space="preserve">Luke also has Jesus responding to </w:t>
      </w:r>
      <w:r w:rsidR="005D74CB" w:rsidRPr="000E2B5A">
        <w:rPr>
          <w:rFonts w:ascii="Garamond" w:hAnsi="Garamond"/>
          <w:sz w:val="22"/>
          <w:szCs w:val="22"/>
        </w:rPr>
        <w:t>“</w:t>
      </w:r>
      <w:r w:rsidR="00E87803" w:rsidRPr="000E2B5A">
        <w:rPr>
          <w:rFonts w:ascii="Garamond" w:hAnsi="Garamond"/>
          <w:sz w:val="22"/>
          <w:szCs w:val="22"/>
        </w:rPr>
        <w:t>them</w:t>
      </w:r>
      <w:r w:rsidR="005D74CB" w:rsidRPr="000E2B5A">
        <w:rPr>
          <w:rFonts w:ascii="Garamond" w:hAnsi="Garamond"/>
          <w:sz w:val="22"/>
          <w:szCs w:val="22"/>
        </w:rPr>
        <w:t>”</w:t>
      </w:r>
      <w:r w:rsidR="00E87803" w:rsidRPr="000E2B5A">
        <w:rPr>
          <w:rFonts w:ascii="Garamond" w:hAnsi="Garamond"/>
          <w:sz w:val="22"/>
          <w:szCs w:val="22"/>
        </w:rPr>
        <w:t xml:space="preserve"> (a plural subject).  </w:t>
      </w:r>
    </w:p>
    <w:p w:rsidR="00E87803" w:rsidRPr="000E2B5A" w:rsidRDefault="00E87803" w:rsidP="00D3182B">
      <w:pPr>
        <w:pStyle w:val="DefaultText"/>
        <w:tabs>
          <w:tab w:val="left" w:pos="441"/>
          <w:tab w:val="left" w:pos="1890"/>
          <w:tab w:val="left" w:pos="8800"/>
        </w:tabs>
        <w:jc w:val="both"/>
        <w:rPr>
          <w:rFonts w:ascii="Garamond" w:hAnsi="Garamond"/>
          <w:sz w:val="22"/>
          <w:szCs w:val="22"/>
        </w:rPr>
      </w:pPr>
    </w:p>
    <w:p w:rsidR="00E87803" w:rsidRPr="000E2B5A" w:rsidRDefault="00204411" w:rsidP="00D3182B">
      <w:pPr>
        <w:pStyle w:val="DefaultText"/>
        <w:tabs>
          <w:tab w:val="left" w:pos="441"/>
          <w:tab w:val="left" w:pos="1890"/>
          <w:tab w:val="left" w:pos="8800"/>
        </w:tabs>
        <w:jc w:val="both"/>
        <w:rPr>
          <w:rFonts w:ascii="Garamond" w:hAnsi="Garamond"/>
          <w:i/>
          <w:sz w:val="22"/>
          <w:szCs w:val="22"/>
        </w:rPr>
      </w:pPr>
      <w:r w:rsidRPr="000E2B5A">
        <w:rPr>
          <w:rFonts w:ascii="Garamond" w:hAnsi="Garamond"/>
          <w:i/>
          <w:sz w:val="22"/>
          <w:szCs w:val="22"/>
        </w:rPr>
        <w:t>Summary</w:t>
      </w:r>
    </w:p>
    <w:p w:rsidR="00E87803" w:rsidRPr="000E2B5A" w:rsidRDefault="00E87803" w:rsidP="00D3182B">
      <w:pPr>
        <w:pStyle w:val="DefaultText"/>
        <w:tabs>
          <w:tab w:val="left" w:pos="441"/>
          <w:tab w:val="left" w:pos="1890"/>
          <w:tab w:val="left" w:pos="8800"/>
        </w:tabs>
        <w:jc w:val="both"/>
        <w:rPr>
          <w:rFonts w:ascii="Garamond" w:hAnsi="Garamond"/>
          <w:sz w:val="22"/>
          <w:szCs w:val="22"/>
        </w:rPr>
      </w:pPr>
      <w:r w:rsidRPr="000E2B5A">
        <w:rPr>
          <w:rFonts w:ascii="Garamond" w:hAnsi="Garamond"/>
          <w:sz w:val="22"/>
          <w:szCs w:val="22"/>
        </w:rPr>
        <w:t>From the foregoing, it should be clear that differences between the Gospels do not imply: (i) faulty NT manuscripts, (ii) the need for textual reconstruction,</w:t>
      </w:r>
      <w:r w:rsidRPr="000E2B5A">
        <w:rPr>
          <w:rFonts w:ascii="Garamond" w:hAnsi="Garamond"/>
          <w:sz w:val="22"/>
          <w:szCs w:val="22"/>
          <w:vertAlign w:val="superscript"/>
        </w:rPr>
        <w:footnoteReference w:id="21"/>
      </w:r>
      <w:r w:rsidRPr="000E2B5A">
        <w:rPr>
          <w:rFonts w:ascii="Garamond" w:hAnsi="Garamond"/>
          <w:sz w:val="22"/>
          <w:szCs w:val="22"/>
        </w:rPr>
        <w:t xml:space="preserve"> (iii) a quest for (or speculation about sources or) an absent </w:t>
      </w:r>
      <w:r w:rsidR="005D74CB" w:rsidRPr="000E2B5A">
        <w:rPr>
          <w:rFonts w:ascii="Garamond" w:hAnsi="Garamond"/>
          <w:sz w:val="22"/>
          <w:szCs w:val="22"/>
        </w:rPr>
        <w:t>‘</w:t>
      </w:r>
      <w:r w:rsidR="00E531C9" w:rsidRPr="000E2B5A">
        <w:rPr>
          <w:rFonts w:ascii="Garamond" w:hAnsi="Garamond"/>
          <w:sz w:val="22"/>
          <w:szCs w:val="22"/>
        </w:rPr>
        <w:t>original</w:t>
      </w:r>
      <w:r w:rsidR="005D74CB" w:rsidRPr="000E2B5A">
        <w:rPr>
          <w:rFonts w:ascii="Garamond" w:hAnsi="Garamond"/>
          <w:sz w:val="22"/>
          <w:szCs w:val="22"/>
        </w:rPr>
        <w:t>’</w:t>
      </w:r>
      <w:r w:rsidR="00E531C9" w:rsidRPr="000E2B5A">
        <w:rPr>
          <w:rFonts w:ascii="Garamond" w:hAnsi="Garamond"/>
          <w:sz w:val="22"/>
          <w:szCs w:val="22"/>
        </w:rPr>
        <w:t>,</w:t>
      </w:r>
      <w:r w:rsidRPr="000E2B5A">
        <w:rPr>
          <w:rFonts w:ascii="Garamond" w:hAnsi="Garamond"/>
          <w:sz w:val="22"/>
          <w:szCs w:val="22"/>
          <w:vertAlign w:val="superscript"/>
        </w:rPr>
        <w:footnoteReference w:id="22"/>
      </w:r>
      <w:r w:rsidRPr="000E2B5A">
        <w:rPr>
          <w:rFonts w:ascii="Garamond" w:hAnsi="Garamond"/>
          <w:sz w:val="22"/>
          <w:szCs w:val="22"/>
        </w:rPr>
        <w:t xml:space="preserve">  or (iv) misrepresentation of the source of the account (what took place, etc.).  We are not left to determine which Gospel account is true; each is complementary and satisfies God</w:t>
      </w:r>
      <w:r w:rsidR="005D74CB" w:rsidRPr="000E2B5A">
        <w:rPr>
          <w:rFonts w:ascii="Garamond" w:hAnsi="Garamond"/>
          <w:sz w:val="22"/>
          <w:szCs w:val="22"/>
        </w:rPr>
        <w:t>’</w:t>
      </w:r>
      <w:r w:rsidRPr="000E2B5A">
        <w:rPr>
          <w:rFonts w:ascii="Garamond" w:hAnsi="Garamond"/>
          <w:sz w:val="22"/>
          <w:szCs w:val="22"/>
        </w:rPr>
        <w:t xml:space="preserve">s truth conditions.  Therefore, this </w:t>
      </w:r>
      <w:r w:rsidR="005D74CB" w:rsidRPr="000E2B5A">
        <w:rPr>
          <w:rFonts w:ascii="Garamond" w:hAnsi="Garamond"/>
          <w:sz w:val="22"/>
          <w:szCs w:val="22"/>
        </w:rPr>
        <w:t>‘</w:t>
      </w:r>
      <w:r w:rsidRPr="000E2B5A">
        <w:rPr>
          <w:rFonts w:ascii="Garamond" w:hAnsi="Garamond"/>
          <w:sz w:val="22"/>
          <w:szCs w:val="22"/>
        </w:rPr>
        <w:t>variational</w:t>
      </w:r>
      <w:r w:rsidR="005D74CB" w:rsidRPr="000E2B5A">
        <w:rPr>
          <w:rFonts w:ascii="Garamond" w:hAnsi="Garamond"/>
          <w:sz w:val="22"/>
          <w:szCs w:val="22"/>
        </w:rPr>
        <w:t>’</w:t>
      </w:r>
      <w:r w:rsidRPr="000E2B5A">
        <w:rPr>
          <w:rFonts w:ascii="Garamond" w:hAnsi="Garamond"/>
          <w:sz w:val="22"/>
          <w:szCs w:val="22"/>
        </w:rPr>
        <w:t xml:space="preserve"> mode of representation is to be understood as a consistent convention of Divine </w:t>
      </w:r>
      <w:r w:rsidR="003C6A37" w:rsidRPr="000E2B5A">
        <w:rPr>
          <w:rFonts w:ascii="Garamond" w:hAnsi="Garamond"/>
          <w:sz w:val="22"/>
          <w:szCs w:val="22"/>
        </w:rPr>
        <w:t>R</w:t>
      </w:r>
      <w:r w:rsidRPr="000E2B5A">
        <w:rPr>
          <w:rFonts w:ascii="Garamond" w:hAnsi="Garamond"/>
          <w:sz w:val="22"/>
          <w:szCs w:val="22"/>
        </w:rPr>
        <w:t xml:space="preserve">evelation.  </w:t>
      </w:r>
    </w:p>
    <w:p w:rsidR="00E87803" w:rsidRPr="000E2B5A" w:rsidRDefault="00E87803" w:rsidP="00D3182B">
      <w:pPr>
        <w:pStyle w:val="DefaultText"/>
        <w:tabs>
          <w:tab w:val="left" w:pos="441"/>
          <w:tab w:val="left" w:pos="1890"/>
          <w:tab w:val="left" w:pos="8800"/>
        </w:tabs>
        <w:jc w:val="both"/>
        <w:rPr>
          <w:rFonts w:ascii="Garamond" w:hAnsi="Garamond"/>
          <w:sz w:val="22"/>
          <w:szCs w:val="22"/>
        </w:rPr>
      </w:pPr>
    </w:p>
    <w:p w:rsidR="00E87803" w:rsidRPr="000E2B5A" w:rsidRDefault="00E87803" w:rsidP="00204411">
      <w:pPr>
        <w:pStyle w:val="DefaultText"/>
        <w:tabs>
          <w:tab w:val="left" w:pos="441"/>
          <w:tab w:val="left" w:pos="1890"/>
          <w:tab w:val="left" w:pos="8800"/>
        </w:tabs>
        <w:rPr>
          <w:rFonts w:ascii="Bradley Hand ITC" w:hAnsi="Bradley Hand ITC"/>
          <w:b/>
          <w:sz w:val="28"/>
          <w:szCs w:val="22"/>
        </w:rPr>
      </w:pPr>
      <w:r w:rsidRPr="000E2B5A">
        <w:rPr>
          <w:rFonts w:ascii="Bradley Hand ITC" w:hAnsi="Bradley Hand ITC"/>
          <w:b/>
          <w:sz w:val="28"/>
          <w:szCs w:val="22"/>
        </w:rPr>
        <w:t xml:space="preserve">NT </w:t>
      </w:r>
      <w:r w:rsidR="00204411" w:rsidRPr="000E2B5A">
        <w:rPr>
          <w:rFonts w:ascii="Bradley Hand ITC" w:hAnsi="Bradley Hand ITC"/>
          <w:b/>
          <w:sz w:val="28"/>
          <w:szCs w:val="22"/>
        </w:rPr>
        <w:t>Quotations</w:t>
      </w:r>
    </w:p>
    <w:p w:rsidR="00E87803" w:rsidRPr="000E2B5A" w:rsidRDefault="00E87803" w:rsidP="00D3182B">
      <w:pPr>
        <w:pStyle w:val="DefaultText"/>
        <w:tabs>
          <w:tab w:val="left" w:pos="441"/>
          <w:tab w:val="left" w:pos="1890"/>
          <w:tab w:val="left" w:pos="8800"/>
        </w:tabs>
        <w:jc w:val="both"/>
        <w:rPr>
          <w:rFonts w:ascii="Garamond" w:hAnsi="Garamond"/>
          <w:sz w:val="22"/>
          <w:szCs w:val="22"/>
        </w:rPr>
      </w:pPr>
      <w:r w:rsidRPr="000E2B5A">
        <w:rPr>
          <w:rFonts w:ascii="Garamond" w:hAnsi="Garamond"/>
          <w:sz w:val="22"/>
          <w:szCs w:val="22"/>
        </w:rPr>
        <w:t>A particular fragment of the OT may occur many times, distributed over the NT writings. For example, that P</w:t>
      </w:r>
      <w:r w:rsidR="00204411" w:rsidRPr="000E2B5A">
        <w:rPr>
          <w:rFonts w:ascii="Garamond" w:hAnsi="Garamond"/>
          <w:sz w:val="22"/>
          <w:szCs w:val="22"/>
        </w:rPr>
        <w:t>s</w:t>
      </w:r>
      <w:r w:rsidRPr="000E2B5A">
        <w:rPr>
          <w:rFonts w:ascii="Garamond" w:hAnsi="Garamond"/>
          <w:sz w:val="22"/>
          <w:szCs w:val="22"/>
        </w:rPr>
        <w:t xml:space="preserve"> 110:1 is a significant OT passage is evident from the numerous citations and allusions to it in the NT, around twenty times, easily exceeding the reproduction of any other OT source.   The phrase </w:t>
      </w:r>
      <w:r w:rsidR="005D74CB" w:rsidRPr="000E2B5A">
        <w:rPr>
          <w:rFonts w:ascii="Garamond" w:hAnsi="Garamond"/>
          <w:sz w:val="22"/>
          <w:szCs w:val="22"/>
        </w:rPr>
        <w:t>‘</w:t>
      </w:r>
      <w:r w:rsidRPr="000E2B5A">
        <w:rPr>
          <w:rFonts w:ascii="Garamond" w:hAnsi="Garamond"/>
          <w:sz w:val="22"/>
          <w:szCs w:val="22"/>
        </w:rPr>
        <w:t>after the order of Melchizedek,</w:t>
      </w:r>
      <w:r w:rsidR="005D74CB" w:rsidRPr="000E2B5A">
        <w:rPr>
          <w:rFonts w:ascii="Garamond" w:hAnsi="Garamond"/>
          <w:sz w:val="22"/>
          <w:szCs w:val="22"/>
        </w:rPr>
        <w:t>’</w:t>
      </w:r>
      <w:r w:rsidR="00E77432" w:rsidRPr="000E2B5A">
        <w:rPr>
          <w:rFonts w:ascii="Garamond" w:hAnsi="Garamond"/>
          <w:sz w:val="22"/>
          <w:szCs w:val="22"/>
        </w:rPr>
        <w:t xml:space="preserve"> taken from Ps</w:t>
      </w:r>
      <w:r w:rsidRPr="000E2B5A">
        <w:rPr>
          <w:rFonts w:ascii="Garamond" w:hAnsi="Garamond"/>
          <w:sz w:val="22"/>
          <w:szCs w:val="22"/>
        </w:rPr>
        <w:t xml:space="preserve"> 110:4, is repeated six times in Heb 5:6,10; 6:20; 7:11, 17, 21, but just once, in 7:15, it is found as </w:t>
      </w:r>
      <w:r w:rsidR="005D74CB" w:rsidRPr="000E2B5A">
        <w:rPr>
          <w:rFonts w:ascii="Garamond" w:hAnsi="Garamond"/>
          <w:sz w:val="22"/>
          <w:szCs w:val="22"/>
        </w:rPr>
        <w:t>‘</w:t>
      </w:r>
      <w:r w:rsidRPr="000E2B5A">
        <w:rPr>
          <w:rFonts w:ascii="Garamond" w:hAnsi="Garamond"/>
          <w:sz w:val="22"/>
          <w:szCs w:val="22"/>
        </w:rPr>
        <w:t xml:space="preserve">after the </w:t>
      </w:r>
      <w:r w:rsidRPr="000E2B5A">
        <w:rPr>
          <w:rFonts w:ascii="Garamond" w:hAnsi="Garamond"/>
          <w:i/>
          <w:sz w:val="22"/>
          <w:szCs w:val="22"/>
        </w:rPr>
        <w:t xml:space="preserve">similitude </w:t>
      </w:r>
      <w:r w:rsidRPr="000E2B5A">
        <w:rPr>
          <w:rFonts w:ascii="Garamond" w:hAnsi="Garamond"/>
          <w:sz w:val="22"/>
          <w:szCs w:val="22"/>
        </w:rPr>
        <w:t>of Melchizedek.</w:t>
      </w:r>
      <w:r w:rsidR="005D74CB" w:rsidRPr="000E2B5A">
        <w:rPr>
          <w:rFonts w:ascii="Garamond" w:hAnsi="Garamond"/>
          <w:sz w:val="22"/>
          <w:szCs w:val="22"/>
        </w:rPr>
        <w:t>’</w:t>
      </w:r>
      <w:r w:rsidRPr="000E2B5A">
        <w:rPr>
          <w:rFonts w:ascii="Garamond" w:hAnsi="Garamond"/>
          <w:sz w:val="22"/>
          <w:szCs w:val="22"/>
        </w:rPr>
        <w:t xml:space="preserve">  </w:t>
      </w:r>
    </w:p>
    <w:p w:rsidR="00E87803" w:rsidRPr="000E2B5A" w:rsidRDefault="00E87803" w:rsidP="00D3182B">
      <w:pPr>
        <w:pStyle w:val="DefaultText"/>
        <w:tabs>
          <w:tab w:val="left" w:pos="441"/>
          <w:tab w:val="left" w:pos="1890"/>
          <w:tab w:val="left" w:pos="8800"/>
        </w:tabs>
        <w:jc w:val="both"/>
        <w:rPr>
          <w:rFonts w:ascii="Garamond" w:hAnsi="Garamond"/>
          <w:sz w:val="22"/>
          <w:szCs w:val="22"/>
        </w:rPr>
      </w:pPr>
    </w:p>
    <w:p w:rsidR="00E87803" w:rsidRPr="000E2B5A" w:rsidRDefault="00E87803" w:rsidP="00D3182B">
      <w:pPr>
        <w:pStyle w:val="DefaultText"/>
        <w:tabs>
          <w:tab w:val="left" w:pos="441"/>
          <w:tab w:val="left" w:pos="1890"/>
          <w:tab w:val="left" w:pos="8800"/>
        </w:tabs>
        <w:jc w:val="both"/>
        <w:rPr>
          <w:rFonts w:ascii="Garamond" w:hAnsi="Garamond"/>
          <w:sz w:val="22"/>
          <w:szCs w:val="22"/>
        </w:rPr>
      </w:pPr>
      <w:r w:rsidRPr="000E2B5A">
        <w:rPr>
          <w:rFonts w:ascii="Garamond" w:hAnsi="Garamond"/>
          <w:sz w:val="22"/>
          <w:szCs w:val="22"/>
        </w:rPr>
        <w:t xml:space="preserve">This variation has occurred within the narrow context of part of one </w:t>
      </w:r>
      <w:r w:rsidR="00E77432" w:rsidRPr="000E2B5A">
        <w:rPr>
          <w:rFonts w:ascii="Garamond" w:hAnsi="Garamond"/>
          <w:sz w:val="22"/>
          <w:szCs w:val="22"/>
        </w:rPr>
        <w:t>e</w:t>
      </w:r>
      <w:r w:rsidRPr="000E2B5A">
        <w:rPr>
          <w:rFonts w:ascii="Garamond" w:hAnsi="Garamond"/>
          <w:sz w:val="22"/>
          <w:szCs w:val="22"/>
        </w:rPr>
        <w:t xml:space="preserve">pistle.  Since both the terms </w:t>
      </w:r>
      <w:r w:rsidR="005D74CB" w:rsidRPr="000E2B5A">
        <w:rPr>
          <w:rFonts w:ascii="Garamond" w:hAnsi="Garamond"/>
          <w:sz w:val="22"/>
          <w:szCs w:val="22"/>
        </w:rPr>
        <w:t>‘</w:t>
      </w:r>
      <w:r w:rsidRPr="000E2B5A">
        <w:rPr>
          <w:rFonts w:ascii="Garamond" w:hAnsi="Garamond"/>
          <w:sz w:val="22"/>
          <w:szCs w:val="22"/>
        </w:rPr>
        <w:t>order</w:t>
      </w:r>
      <w:r w:rsidR="005D74CB" w:rsidRPr="000E2B5A">
        <w:rPr>
          <w:rFonts w:ascii="Garamond" w:hAnsi="Garamond"/>
          <w:sz w:val="22"/>
          <w:szCs w:val="22"/>
        </w:rPr>
        <w:t>’</w:t>
      </w:r>
      <w:r w:rsidRPr="000E2B5A">
        <w:rPr>
          <w:rFonts w:ascii="Garamond" w:hAnsi="Garamond"/>
          <w:sz w:val="22"/>
          <w:szCs w:val="22"/>
        </w:rPr>
        <w:t xml:space="preserve"> and </w:t>
      </w:r>
      <w:r w:rsidR="005D74CB" w:rsidRPr="000E2B5A">
        <w:rPr>
          <w:rFonts w:ascii="Garamond" w:hAnsi="Garamond"/>
          <w:sz w:val="22"/>
          <w:szCs w:val="22"/>
        </w:rPr>
        <w:t>‘</w:t>
      </w:r>
      <w:r w:rsidRPr="000E2B5A">
        <w:rPr>
          <w:rFonts w:ascii="Garamond" w:hAnsi="Garamond"/>
          <w:sz w:val="22"/>
          <w:szCs w:val="22"/>
        </w:rPr>
        <w:t>similitude</w:t>
      </w:r>
      <w:r w:rsidR="005D74CB" w:rsidRPr="000E2B5A">
        <w:rPr>
          <w:rFonts w:ascii="Garamond" w:hAnsi="Garamond"/>
          <w:sz w:val="22"/>
          <w:szCs w:val="22"/>
        </w:rPr>
        <w:t>’</w:t>
      </w:r>
      <w:r w:rsidRPr="000E2B5A">
        <w:rPr>
          <w:rFonts w:ascii="Garamond" w:hAnsi="Garamond"/>
          <w:sz w:val="22"/>
          <w:szCs w:val="22"/>
        </w:rPr>
        <w:t xml:space="preserve"> are presented within a common framework of </w:t>
      </w:r>
      <w:r w:rsidR="005D74CB" w:rsidRPr="000E2B5A">
        <w:rPr>
          <w:rFonts w:ascii="Garamond" w:hAnsi="Garamond"/>
          <w:sz w:val="22"/>
          <w:szCs w:val="22"/>
        </w:rPr>
        <w:t>‘</w:t>
      </w:r>
      <w:r w:rsidRPr="000E2B5A">
        <w:rPr>
          <w:rFonts w:ascii="Garamond" w:hAnsi="Garamond"/>
          <w:sz w:val="22"/>
          <w:szCs w:val="22"/>
        </w:rPr>
        <w:t>after the [       ] of Melchizedek,</w:t>
      </w:r>
      <w:r w:rsidR="005D74CB" w:rsidRPr="000E2B5A">
        <w:rPr>
          <w:rFonts w:ascii="Garamond" w:hAnsi="Garamond"/>
          <w:sz w:val="22"/>
          <w:szCs w:val="22"/>
        </w:rPr>
        <w:t>’</w:t>
      </w:r>
      <w:r w:rsidRPr="000E2B5A">
        <w:rPr>
          <w:rFonts w:ascii="Garamond" w:hAnsi="Garamond"/>
          <w:sz w:val="22"/>
          <w:szCs w:val="22"/>
        </w:rPr>
        <w:t xml:space="preserve"> this is a strong case for </w:t>
      </w:r>
      <w:r w:rsidR="005D74CB" w:rsidRPr="000E2B5A">
        <w:rPr>
          <w:rFonts w:ascii="Garamond" w:hAnsi="Garamond"/>
          <w:sz w:val="22"/>
          <w:szCs w:val="22"/>
        </w:rPr>
        <w:t>‘</w:t>
      </w:r>
      <w:r w:rsidRPr="000E2B5A">
        <w:rPr>
          <w:rFonts w:ascii="Garamond" w:hAnsi="Garamond"/>
          <w:sz w:val="22"/>
          <w:szCs w:val="22"/>
        </w:rPr>
        <w:t>complementary difference</w:t>
      </w:r>
      <w:r w:rsidR="005D74CB" w:rsidRPr="000E2B5A">
        <w:rPr>
          <w:rFonts w:ascii="Garamond" w:hAnsi="Garamond"/>
          <w:sz w:val="22"/>
          <w:szCs w:val="22"/>
        </w:rPr>
        <w:t>’</w:t>
      </w:r>
      <w:r w:rsidR="00CA1D61" w:rsidRPr="000E2B5A">
        <w:rPr>
          <w:rFonts w:ascii="Garamond" w:hAnsi="Garamond"/>
          <w:sz w:val="22"/>
          <w:szCs w:val="22"/>
        </w:rPr>
        <w:t>.</w:t>
      </w:r>
      <w:r w:rsidRPr="000E2B5A">
        <w:rPr>
          <w:rFonts w:ascii="Garamond" w:hAnsi="Garamond"/>
          <w:sz w:val="22"/>
          <w:szCs w:val="22"/>
        </w:rPr>
        <w:t xml:space="preserve">  The concepts associated with </w:t>
      </w:r>
      <w:r w:rsidR="005D74CB" w:rsidRPr="000E2B5A">
        <w:rPr>
          <w:rFonts w:ascii="Garamond" w:hAnsi="Garamond"/>
          <w:sz w:val="22"/>
          <w:szCs w:val="22"/>
        </w:rPr>
        <w:t>‘</w:t>
      </w:r>
      <w:r w:rsidRPr="000E2B5A">
        <w:rPr>
          <w:rFonts w:ascii="Garamond" w:hAnsi="Garamond"/>
          <w:sz w:val="22"/>
          <w:szCs w:val="22"/>
        </w:rPr>
        <w:t>order</w:t>
      </w:r>
      <w:r w:rsidR="005D74CB" w:rsidRPr="000E2B5A">
        <w:rPr>
          <w:rFonts w:ascii="Garamond" w:hAnsi="Garamond"/>
          <w:sz w:val="22"/>
          <w:szCs w:val="22"/>
        </w:rPr>
        <w:t>’</w:t>
      </w:r>
      <w:r w:rsidRPr="000E2B5A">
        <w:rPr>
          <w:rFonts w:ascii="Garamond" w:hAnsi="Garamond"/>
          <w:sz w:val="22"/>
          <w:szCs w:val="22"/>
        </w:rPr>
        <w:t xml:space="preserve"> and </w:t>
      </w:r>
      <w:r w:rsidR="005D74CB" w:rsidRPr="000E2B5A">
        <w:rPr>
          <w:rFonts w:ascii="Garamond" w:hAnsi="Garamond"/>
          <w:sz w:val="22"/>
          <w:szCs w:val="22"/>
        </w:rPr>
        <w:t>‘</w:t>
      </w:r>
      <w:r w:rsidRPr="000E2B5A">
        <w:rPr>
          <w:rFonts w:ascii="Garamond" w:hAnsi="Garamond"/>
          <w:sz w:val="22"/>
          <w:szCs w:val="22"/>
        </w:rPr>
        <w:t>similitude</w:t>
      </w:r>
      <w:r w:rsidR="005D74CB" w:rsidRPr="000E2B5A">
        <w:rPr>
          <w:rFonts w:ascii="Garamond" w:hAnsi="Garamond"/>
          <w:sz w:val="22"/>
          <w:szCs w:val="22"/>
        </w:rPr>
        <w:t>’</w:t>
      </w:r>
      <w:r w:rsidRPr="000E2B5A">
        <w:rPr>
          <w:rFonts w:ascii="Garamond" w:hAnsi="Garamond"/>
          <w:sz w:val="22"/>
          <w:szCs w:val="22"/>
        </w:rPr>
        <w:t xml:space="preserve"> both depict integral features of Christ</w:t>
      </w:r>
      <w:r w:rsidR="005D74CB" w:rsidRPr="000E2B5A">
        <w:rPr>
          <w:rFonts w:ascii="Garamond" w:hAnsi="Garamond"/>
          <w:sz w:val="22"/>
          <w:szCs w:val="22"/>
        </w:rPr>
        <w:t>’</w:t>
      </w:r>
      <w:r w:rsidRPr="000E2B5A">
        <w:rPr>
          <w:rFonts w:ascii="Garamond" w:hAnsi="Garamond"/>
          <w:sz w:val="22"/>
          <w:szCs w:val="22"/>
        </w:rPr>
        <w:t xml:space="preserve">s priesthood.  Significantly, not only do these terms differ from each other in the NT context, but neither word corresponds literally to the Hebrew idiom based on the core semantics of </w:t>
      </w:r>
      <w:r w:rsidR="005D74CB" w:rsidRPr="000E2B5A">
        <w:rPr>
          <w:rFonts w:ascii="Garamond" w:hAnsi="Garamond"/>
          <w:sz w:val="22"/>
          <w:szCs w:val="22"/>
        </w:rPr>
        <w:t>‘</w:t>
      </w:r>
      <w:r w:rsidRPr="000E2B5A">
        <w:rPr>
          <w:rFonts w:ascii="Garamond" w:hAnsi="Garamond"/>
          <w:sz w:val="22"/>
          <w:szCs w:val="22"/>
        </w:rPr>
        <w:t>word</w:t>
      </w:r>
      <w:r w:rsidR="005D74CB" w:rsidRPr="000E2B5A">
        <w:rPr>
          <w:rFonts w:ascii="Garamond" w:hAnsi="Garamond"/>
          <w:sz w:val="22"/>
          <w:szCs w:val="22"/>
        </w:rPr>
        <w:t>’</w:t>
      </w:r>
      <w:r w:rsidRPr="000E2B5A">
        <w:rPr>
          <w:rFonts w:ascii="Garamond" w:hAnsi="Garamond"/>
          <w:sz w:val="22"/>
          <w:szCs w:val="22"/>
        </w:rPr>
        <w:t xml:space="preserve"> (Hebrew: </w:t>
      </w:r>
      <w:r w:rsidRPr="000E2B5A">
        <w:rPr>
          <w:rFonts w:ascii="Garamond" w:hAnsi="Garamond"/>
          <w:i/>
          <w:sz w:val="22"/>
          <w:szCs w:val="22"/>
        </w:rPr>
        <w:t>dbr</w:t>
      </w:r>
      <w:r w:rsidRPr="000E2B5A">
        <w:rPr>
          <w:rFonts w:ascii="Garamond" w:hAnsi="Garamond"/>
          <w:sz w:val="22"/>
          <w:szCs w:val="22"/>
        </w:rPr>
        <w:t>) in the Psalm itself.</w:t>
      </w:r>
      <w:r w:rsidRPr="000E2B5A">
        <w:rPr>
          <w:rStyle w:val="FootnoteReference"/>
          <w:rFonts w:ascii="Garamond" w:hAnsi="Garamond"/>
          <w:sz w:val="22"/>
          <w:szCs w:val="22"/>
        </w:rPr>
        <w:footnoteReference w:id="23"/>
      </w:r>
      <w:r w:rsidRPr="000E2B5A">
        <w:rPr>
          <w:rFonts w:ascii="Garamond" w:hAnsi="Garamond"/>
          <w:sz w:val="22"/>
          <w:szCs w:val="22"/>
        </w:rPr>
        <w:t xml:space="preserve"> (Cf. </w:t>
      </w:r>
      <w:r w:rsidR="005D74CB" w:rsidRPr="000E2B5A">
        <w:rPr>
          <w:rFonts w:ascii="Garamond" w:hAnsi="Garamond"/>
          <w:sz w:val="22"/>
          <w:szCs w:val="22"/>
        </w:rPr>
        <w:t>“</w:t>
      </w:r>
      <w:r w:rsidRPr="000E2B5A">
        <w:rPr>
          <w:rFonts w:ascii="Garamond" w:hAnsi="Garamond"/>
          <w:sz w:val="22"/>
          <w:szCs w:val="22"/>
        </w:rPr>
        <w:t>word of the oath</w:t>
      </w:r>
      <w:r w:rsidR="005D74CB" w:rsidRPr="000E2B5A">
        <w:rPr>
          <w:rFonts w:ascii="Garamond" w:hAnsi="Garamond"/>
          <w:sz w:val="22"/>
          <w:szCs w:val="22"/>
        </w:rPr>
        <w:t>”</w:t>
      </w:r>
      <w:r w:rsidRPr="000E2B5A">
        <w:rPr>
          <w:rFonts w:ascii="Garamond" w:hAnsi="Garamond"/>
          <w:sz w:val="22"/>
          <w:szCs w:val="22"/>
        </w:rPr>
        <w:t xml:space="preserve"> in Heb 7:28, based on </w:t>
      </w:r>
      <w:r w:rsidR="005D74CB" w:rsidRPr="000E2B5A">
        <w:rPr>
          <w:rFonts w:ascii="Garamond" w:hAnsi="Garamond"/>
          <w:sz w:val="22"/>
          <w:szCs w:val="22"/>
        </w:rPr>
        <w:t>‘</w:t>
      </w:r>
      <w:r w:rsidRPr="000E2B5A">
        <w:rPr>
          <w:rFonts w:ascii="Garamond" w:hAnsi="Garamond"/>
          <w:sz w:val="22"/>
          <w:szCs w:val="22"/>
        </w:rPr>
        <w:t>said</w:t>
      </w:r>
      <w:r w:rsidR="005D74CB" w:rsidRPr="000E2B5A">
        <w:rPr>
          <w:rFonts w:ascii="Garamond" w:hAnsi="Garamond"/>
          <w:sz w:val="22"/>
          <w:szCs w:val="22"/>
        </w:rPr>
        <w:t>’</w:t>
      </w:r>
      <w:r w:rsidRPr="000E2B5A">
        <w:rPr>
          <w:rFonts w:ascii="Garamond" w:hAnsi="Garamond"/>
          <w:sz w:val="22"/>
          <w:szCs w:val="22"/>
        </w:rPr>
        <w:t xml:space="preserve"> Ps 110:1, </w:t>
      </w:r>
      <w:r w:rsidR="005D74CB" w:rsidRPr="000E2B5A">
        <w:rPr>
          <w:rFonts w:ascii="Garamond" w:hAnsi="Garamond"/>
          <w:sz w:val="22"/>
          <w:szCs w:val="22"/>
        </w:rPr>
        <w:t>‘</w:t>
      </w:r>
      <w:r w:rsidRPr="000E2B5A">
        <w:rPr>
          <w:rFonts w:ascii="Garamond" w:hAnsi="Garamond"/>
          <w:sz w:val="22"/>
          <w:szCs w:val="22"/>
        </w:rPr>
        <w:t>sworn</w:t>
      </w:r>
      <w:r w:rsidR="005D74CB" w:rsidRPr="000E2B5A">
        <w:rPr>
          <w:rFonts w:ascii="Garamond" w:hAnsi="Garamond"/>
          <w:sz w:val="22"/>
          <w:szCs w:val="22"/>
        </w:rPr>
        <w:t>’</w:t>
      </w:r>
      <w:r w:rsidRPr="000E2B5A">
        <w:rPr>
          <w:rFonts w:ascii="Garamond" w:hAnsi="Garamond"/>
          <w:sz w:val="22"/>
          <w:szCs w:val="22"/>
        </w:rPr>
        <w:t xml:space="preserve"> v. 4, </w:t>
      </w:r>
      <w:r w:rsidRPr="000E2B5A">
        <w:rPr>
          <w:rFonts w:ascii="Garamond" w:hAnsi="Garamond"/>
          <w:sz w:val="22"/>
          <w:szCs w:val="22"/>
        </w:rPr>
        <w:lastRenderedPageBreak/>
        <w:t xml:space="preserve">and the association of </w:t>
      </w:r>
      <w:r w:rsidR="005D74CB" w:rsidRPr="000E2B5A">
        <w:rPr>
          <w:rFonts w:ascii="Garamond" w:hAnsi="Garamond"/>
          <w:sz w:val="22"/>
          <w:szCs w:val="22"/>
        </w:rPr>
        <w:t>‘</w:t>
      </w:r>
      <w:r w:rsidRPr="000E2B5A">
        <w:rPr>
          <w:rFonts w:ascii="Garamond" w:hAnsi="Garamond"/>
          <w:sz w:val="22"/>
          <w:szCs w:val="22"/>
        </w:rPr>
        <w:t>word</w:t>
      </w:r>
      <w:r w:rsidR="005D74CB" w:rsidRPr="000E2B5A">
        <w:rPr>
          <w:rFonts w:ascii="Garamond" w:hAnsi="Garamond"/>
          <w:sz w:val="22"/>
          <w:szCs w:val="22"/>
        </w:rPr>
        <w:t>’</w:t>
      </w:r>
      <w:r w:rsidRPr="000E2B5A">
        <w:rPr>
          <w:rFonts w:ascii="Garamond" w:hAnsi="Garamond"/>
          <w:sz w:val="22"/>
          <w:szCs w:val="22"/>
        </w:rPr>
        <w:t xml:space="preserve"> re Melchizedek.) This adds yet another layer of difference, as I have shown elsewhere.</w:t>
      </w:r>
      <w:r w:rsidRPr="000E2B5A">
        <w:rPr>
          <w:rFonts w:ascii="Garamond" w:hAnsi="Garamond"/>
          <w:sz w:val="22"/>
          <w:szCs w:val="22"/>
          <w:vertAlign w:val="superscript"/>
        </w:rPr>
        <w:footnoteReference w:id="24"/>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Quotations themselves, verbatim or variational, whether parallel or not, are readily </w:t>
      </w:r>
      <w:r w:rsidRPr="000E2B5A">
        <w:rPr>
          <w:rFonts w:ascii="Garamond" w:hAnsi="Garamond"/>
          <w:sz w:val="22"/>
          <w:szCs w:val="22"/>
          <w:lang w:val="en-GB"/>
        </w:rPr>
        <w:t>recognised</w:t>
      </w:r>
      <w:r w:rsidRPr="000E2B5A">
        <w:rPr>
          <w:rFonts w:ascii="Garamond" w:hAnsi="Garamond"/>
          <w:sz w:val="22"/>
          <w:szCs w:val="22"/>
        </w:rPr>
        <w:t xml:space="preserve"> where they are introduced in some way, like:  </w:t>
      </w:r>
      <w:r w:rsidR="005D74CB" w:rsidRPr="000E2B5A">
        <w:rPr>
          <w:rFonts w:ascii="Garamond" w:hAnsi="Garamond"/>
          <w:sz w:val="22"/>
          <w:szCs w:val="22"/>
        </w:rPr>
        <w:t>“</w:t>
      </w:r>
      <w:r w:rsidRPr="000E2B5A">
        <w:rPr>
          <w:rFonts w:ascii="Garamond" w:hAnsi="Garamond"/>
          <w:sz w:val="22"/>
          <w:szCs w:val="22"/>
        </w:rPr>
        <w:t>it is written,</w:t>
      </w:r>
      <w:r w:rsidR="005D74CB" w:rsidRPr="000E2B5A">
        <w:rPr>
          <w:rFonts w:ascii="Garamond" w:hAnsi="Garamond"/>
          <w:sz w:val="22"/>
          <w:szCs w:val="22"/>
        </w:rPr>
        <w:t>”</w:t>
      </w:r>
      <w:r w:rsidRPr="000E2B5A">
        <w:rPr>
          <w:rFonts w:ascii="Garamond" w:hAnsi="Garamond"/>
          <w:sz w:val="22"/>
          <w:szCs w:val="22"/>
        </w:rPr>
        <w:t xml:space="preserve"> or </w:t>
      </w:r>
      <w:r w:rsidR="005D74CB" w:rsidRPr="000E2B5A">
        <w:rPr>
          <w:rFonts w:ascii="Garamond" w:hAnsi="Garamond"/>
          <w:sz w:val="22"/>
          <w:szCs w:val="22"/>
        </w:rPr>
        <w:t>“</w:t>
      </w:r>
      <w:r w:rsidRPr="000E2B5A">
        <w:rPr>
          <w:rFonts w:ascii="Garamond" w:hAnsi="Garamond"/>
          <w:sz w:val="22"/>
          <w:szCs w:val="22"/>
        </w:rPr>
        <w:t>David himself saith</w:t>
      </w:r>
      <w:r w:rsidR="005D74CB" w:rsidRPr="000E2B5A">
        <w:rPr>
          <w:rFonts w:ascii="Garamond" w:hAnsi="Garamond"/>
          <w:sz w:val="22"/>
          <w:szCs w:val="22"/>
        </w:rPr>
        <w:t>”</w:t>
      </w:r>
      <w:r w:rsidRPr="000E2B5A">
        <w:rPr>
          <w:rFonts w:ascii="Garamond" w:hAnsi="Garamond"/>
          <w:sz w:val="22"/>
          <w:szCs w:val="22"/>
        </w:rPr>
        <w:t xml:space="preserve">, or </w:t>
      </w:r>
      <w:r w:rsidR="005D74CB" w:rsidRPr="000E2B5A">
        <w:rPr>
          <w:rFonts w:ascii="Garamond" w:hAnsi="Garamond"/>
          <w:sz w:val="22"/>
          <w:szCs w:val="22"/>
        </w:rPr>
        <w:t>“</w:t>
      </w:r>
      <w:r w:rsidRPr="000E2B5A">
        <w:rPr>
          <w:rFonts w:ascii="Garamond" w:hAnsi="Garamond"/>
          <w:sz w:val="22"/>
          <w:szCs w:val="22"/>
        </w:rPr>
        <w:t>that it might be fulfilled which was spoken by Isaiah the prophet</w:t>
      </w:r>
      <w:r w:rsidR="005D74CB" w:rsidRPr="000E2B5A">
        <w:rPr>
          <w:rFonts w:ascii="Garamond" w:hAnsi="Garamond"/>
          <w:sz w:val="22"/>
          <w:szCs w:val="22"/>
        </w:rPr>
        <w:t>”</w:t>
      </w:r>
      <w:r w:rsidR="004D0C82" w:rsidRPr="000E2B5A">
        <w:rPr>
          <w:rFonts w:ascii="Garamond" w:hAnsi="Garamond"/>
          <w:sz w:val="22"/>
          <w:szCs w:val="22"/>
        </w:rPr>
        <w:t>.</w:t>
      </w:r>
      <w:r w:rsidRPr="000E2B5A">
        <w:rPr>
          <w:rFonts w:ascii="Garamond" w:hAnsi="Garamond"/>
          <w:sz w:val="22"/>
          <w:szCs w:val="22"/>
        </w:rPr>
        <w:t xml:space="preserve"> But, not all reuse of OT language is identifiably prefaced in this way.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Parallel quotations of a piece of the OT are easily identified, however much they vary, by their repetition.  Sometimes, one, or more, of the parallel citations of an OT passage may be marked by an introductory phrase, thus combining repetition with introduction. As already mentioned, around forty OT passages are reproduced several times in the NT; some more than twice.  Findings from the analysis of what happens in Gospel parallels can now be applied to such parallel quotations.  In what follows, I shall be looking at typical examples of parallel usage of the OT in the NT; the two given are associated with the Law.  </w:t>
      </w:r>
    </w:p>
    <w:p w:rsidR="00E87803" w:rsidRPr="000E2B5A" w:rsidRDefault="00E87803" w:rsidP="00D3182B">
      <w:pPr>
        <w:pStyle w:val="DefaultText"/>
        <w:jc w:val="center"/>
        <w:rPr>
          <w:rFonts w:ascii="Garamond" w:hAnsi="Garamond"/>
          <w:sz w:val="22"/>
          <w:szCs w:val="22"/>
        </w:rPr>
      </w:pPr>
    </w:p>
    <w:p w:rsidR="00E87803" w:rsidRPr="000E2B5A" w:rsidRDefault="00E17A5D" w:rsidP="004D0C82">
      <w:pPr>
        <w:pStyle w:val="DefaultText"/>
        <w:rPr>
          <w:rFonts w:ascii="Garamond" w:hAnsi="Garamond"/>
          <w:sz w:val="22"/>
          <w:szCs w:val="22"/>
        </w:rPr>
      </w:pPr>
      <w:r w:rsidRPr="000E2B5A">
        <w:rPr>
          <w:rFonts w:ascii="Garamond" w:hAnsi="Garamond"/>
          <w:sz w:val="22"/>
          <w:szCs w:val="22"/>
        </w:rPr>
        <w:t xml:space="preserve">[A] </w:t>
      </w:r>
      <w:r w:rsidR="005D74CB" w:rsidRPr="000E2B5A">
        <w:rPr>
          <w:rFonts w:ascii="Garamond" w:hAnsi="Garamond"/>
          <w:sz w:val="22"/>
          <w:szCs w:val="22"/>
        </w:rPr>
        <w:t>“</w:t>
      </w:r>
      <w:r w:rsidR="00E87803" w:rsidRPr="000E2B5A">
        <w:rPr>
          <w:rFonts w:ascii="Garamond" w:hAnsi="Garamond"/>
          <w:sz w:val="22"/>
          <w:szCs w:val="22"/>
          <w:u w:val="single"/>
        </w:rPr>
        <w:t>Written in</w:t>
      </w:r>
      <w:r w:rsidR="00E87803" w:rsidRPr="000E2B5A">
        <w:rPr>
          <w:rFonts w:ascii="Garamond" w:hAnsi="Garamond"/>
          <w:i/>
          <w:sz w:val="22"/>
          <w:szCs w:val="22"/>
          <w:u w:val="single"/>
        </w:rPr>
        <w:t xml:space="preserve"> </w:t>
      </w:r>
      <w:r w:rsidR="00E87803" w:rsidRPr="000E2B5A">
        <w:rPr>
          <w:rFonts w:ascii="Garamond" w:hAnsi="Garamond"/>
          <w:sz w:val="22"/>
          <w:szCs w:val="22"/>
          <w:u w:val="single"/>
        </w:rPr>
        <w:t>your law</w:t>
      </w:r>
      <w:r w:rsidR="005D74CB" w:rsidRPr="000E2B5A">
        <w:rPr>
          <w:rFonts w:ascii="Garamond" w:hAnsi="Garamond"/>
          <w:sz w:val="22"/>
          <w:szCs w:val="22"/>
        </w:rPr>
        <w:t>”</w:t>
      </w:r>
      <w:r w:rsidR="00E87803" w:rsidRPr="000E2B5A">
        <w:rPr>
          <w:rFonts w:ascii="Garamond" w:hAnsi="Garamond"/>
          <w:sz w:val="22"/>
          <w:szCs w:val="22"/>
          <w:vertAlign w:val="superscript"/>
        </w:rPr>
        <w:footnoteReference w:id="25"/>
      </w:r>
    </w:p>
    <w:p w:rsidR="004D0C82" w:rsidRPr="000E2B5A" w:rsidRDefault="004D0C82" w:rsidP="00D3182B">
      <w:pPr>
        <w:pStyle w:val="DefaultText"/>
        <w:jc w:val="center"/>
        <w:rPr>
          <w:rFonts w:ascii="Garamond" w:hAnsi="Garamond"/>
          <w:sz w:val="22"/>
          <w:szCs w:val="22"/>
          <w:u w:val="single"/>
        </w:rPr>
      </w:pPr>
    </w:p>
    <w:p w:rsidR="00E87803" w:rsidRPr="000E2B5A" w:rsidRDefault="00E87803" w:rsidP="004D0C82">
      <w:pPr>
        <w:pStyle w:val="DefaultText"/>
        <w:rPr>
          <w:rFonts w:ascii="Garamond" w:hAnsi="Garamond"/>
          <w:sz w:val="22"/>
          <w:szCs w:val="22"/>
        </w:rPr>
      </w:pPr>
      <w:r w:rsidRPr="000E2B5A">
        <w:rPr>
          <w:rFonts w:ascii="Garamond" w:hAnsi="Garamond"/>
          <w:sz w:val="22"/>
          <w:szCs w:val="22"/>
          <w:u w:val="single"/>
        </w:rPr>
        <w:t xml:space="preserve">Matthew 18:16 &amp; 2 Corinthians 13:1 </w:t>
      </w:r>
      <w:r w:rsidR="005C53BA" w:rsidRPr="000E2B5A">
        <w:rPr>
          <w:rFonts w:ascii="Garamond" w:hAnsi="Garamond"/>
          <w:sz w:val="22"/>
          <w:szCs w:val="22"/>
          <w:u w:val="single"/>
        </w:rPr>
        <w:t>quoting</w:t>
      </w:r>
      <w:r w:rsidRPr="000E2B5A">
        <w:rPr>
          <w:rFonts w:ascii="Garamond" w:hAnsi="Garamond"/>
          <w:sz w:val="22"/>
          <w:szCs w:val="22"/>
          <w:u w:val="single"/>
        </w:rPr>
        <w:t xml:space="preserve"> Deuteronomy 19:15.</w:t>
      </w:r>
    </w:p>
    <w:p w:rsidR="00E87803" w:rsidRPr="000E2B5A" w:rsidRDefault="00E87803" w:rsidP="00D3182B">
      <w:pPr>
        <w:pStyle w:val="DefaultText"/>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b/>
          <w:i/>
          <w:sz w:val="22"/>
          <w:szCs w:val="22"/>
        </w:rPr>
        <w:t>OT source cited in the NT</w:t>
      </w:r>
      <w:r w:rsidRPr="000E2B5A">
        <w:rPr>
          <w:rFonts w:ascii="Garamond" w:hAnsi="Garamond"/>
          <w:b/>
          <w:sz w:val="22"/>
          <w:szCs w:val="22"/>
        </w:rPr>
        <w:t xml:space="preserve"> </w:t>
      </w:r>
      <w:r w:rsidRPr="000E2B5A">
        <w:rPr>
          <w:rFonts w:ascii="Garamond" w:hAnsi="Garamond"/>
          <w:sz w:val="22"/>
          <w:szCs w:val="22"/>
        </w:rPr>
        <w:t>(modified to match the Hebrew sense and word order)</w:t>
      </w:r>
      <w:r w:rsidRPr="000E2B5A">
        <w:rPr>
          <w:rFonts w:ascii="Garamond" w:hAnsi="Garamond"/>
          <w:b/>
          <w:sz w:val="22"/>
          <w:szCs w:val="22"/>
        </w:rPr>
        <w:t>:</w:t>
      </w:r>
    </w:p>
    <w:p w:rsidR="00E87803" w:rsidRPr="000E2B5A" w:rsidRDefault="00E87803" w:rsidP="00D3182B">
      <w:pPr>
        <w:pStyle w:val="DefaultText"/>
        <w:tabs>
          <w:tab w:val="left" w:pos="1125"/>
        </w:tabs>
        <w:rPr>
          <w:rFonts w:ascii="Garamond" w:hAnsi="Garamond"/>
          <w:sz w:val="22"/>
          <w:szCs w:val="22"/>
        </w:rPr>
      </w:pPr>
    </w:p>
    <w:p w:rsidR="00E87803" w:rsidRPr="000E2B5A" w:rsidRDefault="00E87803" w:rsidP="00D3182B">
      <w:pPr>
        <w:pStyle w:val="DefaultText"/>
        <w:tabs>
          <w:tab w:val="left" w:pos="1125"/>
        </w:tabs>
        <w:rPr>
          <w:rFonts w:ascii="Garamond" w:hAnsi="Garamond"/>
          <w:sz w:val="22"/>
          <w:szCs w:val="22"/>
        </w:rPr>
      </w:pPr>
      <w:r w:rsidRPr="000E2B5A">
        <w:rPr>
          <w:rFonts w:ascii="Garamond" w:hAnsi="Garamond"/>
          <w:sz w:val="22"/>
          <w:szCs w:val="22"/>
        </w:rPr>
        <w:t>Deut 19:15: Upon the mouth of two witnesses, or upon the mouth of three</w:t>
      </w:r>
    </w:p>
    <w:p w:rsidR="00E87803" w:rsidRPr="000E2B5A" w:rsidRDefault="00E87803" w:rsidP="00D3182B">
      <w:pPr>
        <w:pStyle w:val="DefaultText"/>
        <w:tabs>
          <w:tab w:val="left" w:pos="1125"/>
        </w:tabs>
        <w:rPr>
          <w:rFonts w:ascii="Garamond" w:hAnsi="Garamond"/>
          <w:sz w:val="22"/>
          <w:szCs w:val="22"/>
        </w:rPr>
      </w:pPr>
      <w:r w:rsidRPr="000E2B5A">
        <w:rPr>
          <w:rFonts w:ascii="Garamond" w:hAnsi="Garamond"/>
          <w:sz w:val="22"/>
          <w:szCs w:val="22"/>
        </w:rPr>
        <w:t xml:space="preserve">                    witnesses, shall stand (up)</w:t>
      </w:r>
      <w:r w:rsidRPr="000E2B5A">
        <w:rPr>
          <w:rFonts w:ascii="Garamond" w:hAnsi="Garamond"/>
          <w:i/>
          <w:sz w:val="22"/>
          <w:szCs w:val="22"/>
        </w:rPr>
        <w:t xml:space="preserve"> the </w:t>
      </w:r>
      <w:r w:rsidRPr="000E2B5A">
        <w:rPr>
          <w:rFonts w:ascii="Garamond" w:hAnsi="Garamond"/>
          <w:sz w:val="22"/>
          <w:szCs w:val="22"/>
        </w:rPr>
        <w:t>word.</w:t>
      </w:r>
    </w:p>
    <w:p w:rsidR="00E87803" w:rsidRPr="000E2B5A" w:rsidRDefault="00E87803" w:rsidP="00D3182B">
      <w:pPr>
        <w:pStyle w:val="DefaultText"/>
        <w:tabs>
          <w:tab w:val="left" w:pos="1125"/>
        </w:tabs>
        <w:rPr>
          <w:rFonts w:ascii="Garamond" w:hAnsi="Garamond"/>
          <w:sz w:val="22"/>
          <w:szCs w:val="22"/>
        </w:rPr>
      </w:pPr>
    </w:p>
    <w:p w:rsidR="00E87803" w:rsidRPr="000E2B5A" w:rsidRDefault="00E87803" w:rsidP="00D3182B">
      <w:pPr>
        <w:pStyle w:val="DefaultText"/>
        <w:jc w:val="both"/>
        <w:rPr>
          <w:rFonts w:ascii="Garamond" w:hAnsi="Garamond"/>
          <w:b/>
          <w:sz w:val="22"/>
          <w:szCs w:val="22"/>
        </w:rPr>
      </w:pPr>
      <w:r w:rsidRPr="000E2B5A">
        <w:rPr>
          <w:rFonts w:ascii="Garamond" w:hAnsi="Garamond"/>
          <w:b/>
          <w:sz w:val="22"/>
          <w:szCs w:val="22"/>
        </w:rPr>
        <w:t>Here</w:t>
      </w:r>
      <w:r w:rsidR="005D74CB" w:rsidRPr="000E2B5A">
        <w:rPr>
          <w:rFonts w:ascii="Garamond" w:hAnsi="Garamond"/>
          <w:b/>
          <w:sz w:val="22"/>
          <w:szCs w:val="22"/>
        </w:rPr>
        <w:t>’</w:t>
      </w:r>
      <w:r w:rsidRPr="000E2B5A">
        <w:rPr>
          <w:rFonts w:ascii="Garamond" w:hAnsi="Garamond"/>
          <w:b/>
          <w:sz w:val="22"/>
          <w:szCs w:val="22"/>
        </w:rPr>
        <w:t>s the NT</w:t>
      </w:r>
      <w:r w:rsidR="005D74CB" w:rsidRPr="000E2B5A">
        <w:rPr>
          <w:rFonts w:ascii="Garamond" w:hAnsi="Garamond"/>
          <w:b/>
          <w:sz w:val="22"/>
          <w:szCs w:val="22"/>
        </w:rPr>
        <w:t>’</w:t>
      </w:r>
      <w:r w:rsidRPr="000E2B5A">
        <w:rPr>
          <w:rFonts w:ascii="Garamond" w:hAnsi="Garamond"/>
          <w:b/>
          <w:sz w:val="22"/>
          <w:szCs w:val="22"/>
        </w:rPr>
        <w:t xml:space="preserve">s use of this source text </w:t>
      </w:r>
      <w:r w:rsidRPr="000E2B5A">
        <w:rPr>
          <w:rFonts w:ascii="Garamond" w:hAnsi="Garamond"/>
          <w:sz w:val="22"/>
          <w:szCs w:val="22"/>
        </w:rPr>
        <w:t>(modified to match the Greek sense and word order)</w:t>
      </w:r>
      <w:r w:rsidRPr="000E2B5A">
        <w:rPr>
          <w:rFonts w:ascii="Garamond" w:hAnsi="Garamond"/>
          <w:b/>
          <w:sz w:val="22"/>
          <w:szCs w:val="22"/>
        </w:rPr>
        <w:t>:</w:t>
      </w:r>
    </w:p>
    <w:p w:rsidR="00E87803" w:rsidRPr="000E2B5A" w:rsidRDefault="00E87803" w:rsidP="00D3182B">
      <w:pPr>
        <w:pStyle w:val="DefaultText"/>
        <w:rPr>
          <w:rFonts w:ascii="Garamond" w:hAnsi="Garamond"/>
          <w:sz w:val="22"/>
          <w:szCs w:val="22"/>
        </w:rPr>
      </w:pPr>
    </w:p>
    <w:p w:rsidR="00E87803" w:rsidRPr="000E2B5A" w:rsidRDefault="00E87803" w:rsidP="00D3182B">
      <w:pPr>
        <w:pStyle w:val="DefaultText"/>
        <w:tabs>
          <w:tab w:val="left" w:pos="441"/>
          <w:tab w:val="left" w:pos="1560"/>
          <w:tab w:val="left" w:pos="1695"/>
        </w:tabs>
        <w:jc w:val="both"/>
        <w:rPr>
          <w:rFonts w:ascii="Garamond" w:hAnsi="Garamond"/>
          <w:sz w:val="22"/>
          <w:szCs w:val="22"/>
        </w:rPr>
      </w:pPr>
      <w:r w:rsidRPr="000E2B5A">
        <w:rPr>
          <w:rFonts w:ascii="Garamond" w:hAnsi="Garamond"/>
          <w:sz w:val="22"/>
          <w:szCs w:val="22"/>
        </w:rPr>
        <w:lastRenderedPageBreak/>
        <w:t>(i)</w:t>
      </w:r>
      <w:r w:rsidRPr="000E2B5A">
        <w:rPr>
          <w:rFonts w:ascii="Garamond" w:hAnsi="Garamond"/>
          <w:sz w:val="22"/>
          <w:szCs w:val="22"/>
        </w:rPr>
        <w:tab/>
        <w:t>M</w:t>
      </w:r>
      <w:r w:rsidR="00CA1D61" w:rsidRPr="000E2B5A">
        <w:rPr>
          <w:rFonts w:ascii="Garamond" w:hAnsi="Garamond"/>
          <w:sz w:val="22"/>
          <w:szCs w:val="22"/>
        </w:rPr>
        <w:t>a</w:t>
      </w:r>
      <w:r w:rsidRPr="000E2B5A">
        <w:rPr>
          <w:rFonts w:ascii="Garamond" w:hAnsi="Garamond"/>
          <w:sz w:val="22"/>
          <w:szCs w:val="22"/>
        </w:rPr>
        <w:t xml:space="preserve">tt 18:16  </w:t>
      </w:r>
      <w:r w:rsidRPr="000E2B5A">
        <w:rPr>
          <w:rFonts w:ascii="Garamond" w:hAnsi="Garamond"/>
          <w:sz w:val="22"/>
          <w:szCs w:val="22"/>
        </w:rPr>
        <w:tab/>
        <w:t xml:space="preserve">upon </w:t>
      </w:r>
      <w:r w:rsidRPr="000E2B5A">
        <w:rPr>
          <w:rFonts w:ascii="Garamond" w:hAnsi="Garamond"/>
          <w:i/>
          <w:sz w:val="22"/>
          <w:szCs w:val="22"/>
        </w:rPr>
        <w:t xml:space="preserve">the </w:t>
      </w:r>
      <w:r w:rsidRPr="000E2B5A">
        <w:rPr>
          <w:rFonts w:ascii="Garamond" w:hAnsi="Garamond"/>
          <w:sz w:val="22"/>
          <w:szCs w:val="22"/>
        </w:rPr>
        <w:t xml:space="preserve">mouth of two witnesses </w:t>
      </w:r>
      <w:r w:rsidRPr="000E2B5A">
        <w:rPr>
          <w:rFonts w:ascii="Garamond" w:hAnsi="Garamond"/>
          <w:sz w:val="22"/>
          <w:szCs w:val="22"/>
          <w:u w:val="single"/>
        </w:rPr>
        <w:t>or</w:t>
      </w:r>
      <w:r w:rsidRPr="000E2B5A">
        <w:rPr>
          <w:rFonts w:ascii="Garamond" w:hAnsi="Garamond"/>
          <w:sz w:val="22"/>
          <w:szCs w:val="22"/>
        </w:rPr>
        <w:t xml:space="preserve">   three </w:t>
      </w:r>
      <w:r w:rsidRPr="000E2B5A">
        <w:rPr>
          <w:rFonts w:ascii="Garamond" w:hAnsi="Garamond"/>
          <w:sz w:val="22"/>
          <w:szCs w:val="22"/>
          <w:u w:val="words"/>
        </w:rPr>
        <w:t xml:space="preserve">  </w:t>
      </w:r>
      <w:r w:rsidR="005C53BA" w:rsidRPr="000E2B5A">
        <w:rPr>
          <w:rFonts w:ascii="Garamond" w:hAnsi="Garamond"/>
          <w:sz w:val="22"/>
          <w:szCs w:val="22"/>
          <w:u w:val="words"/>
        </w:rPr>
        <w:t>may stand</w:t>
      </w:r>
      <w:r w:rsidR="005C53BA" w:rsidRPr="000E2B5A">
        <w:rPr>
          <w:rFonts w:ascii="Garamond" w:hAnsi="Garamond"/>
          <w:sz w:val="22"/>
          <w:szCs w:val="22"/>
        </w:rPr>
        <w:t xml:space="preserve"> every word</w:t>
      </w:r>
      <w:r w:rsidRPr="000E2B5A">
        <w:rPr>
          <w:rFonts w:ascii="Garamond" w:hAnsi="Garamond"/>
          <w:sz w:val="22"/>
          <w:szCs w:val="22"/>
        </w:rPr>
        <w:t>.</w:t>
      </w:r>
      <w:r w:rsidRPr="000E2B5A">
        <w:rPr>
          <w:rFonts w:ascii="Garamond" w:hAnsi="Garamond"/>
          <w:sz w:val="22"/>
          <w:szCs w:val="22"/>
          <w:vertAlign w:val="superscript"/>
        </w:rPr>
        <w:footnoteReference w:id="26"/>
      </w:r>
      <w:r w:rsidRPr="000E2B5A">
        <w:rPr>
          <w:rFonts w:ascii="Garamond" w:hAnsi="Garamond"/>
          <w:sz w:val="22"/>
          <w:szCs w:val="22"/>
        </w:rPr>
        <w:t xml:space="preserve"> </w:t>
      </w:r>
    </w:p>
    <w:p w:rsidR="00E87803" w:rsidRPr="000E2B5A" w:rsidRDefault="00E87803" w:rsidP="00D3182B">
      <w:pPr>
        <w:pStyle w:val="DefaultText"/>
        <w:tabs>
          <w:tab w:val="left" w:pos="441"/>
          <w:tab w:val="left" w:pos="1524"/>
          <w:tab w:val="left" w:pos="1560"/>
        </w:tabs>
        <w:jc w:val="both"/>
        <w:rPr>
          <w:rFonts w:ascii="Garamond" w:hAnsi="Garamond"/>
          <w:sz w:val="22"/>
          <w:szCs w:val="22"/>
        </w:rPr>
      </w:pPr>
    </w:p>
    <w:p w:rsidR="00E87803" w:rsidRPr="000E2B5A" w:rsidRDefault="00E87803" w:rsidP="00D3182B">
      <w:pPr>
        <w:pStyle w:val="DefaultText"/>
        <w:tabs>
          <w:tab w:val="left" w:pos="441"/>
          <w:tab w:val="left" w:pos="1524"/>
          <w:tab w:val="left" w:pos="1560"/>
        </w:tabs>
        <w:jc w:val="both"/>
        <w:rPr>
          <w:rFonts w:ascii="Garamond" w:hAnsi="Garamond"/>
          <w:sz w:val="22"/>
          <w:szCs w:val="22"/>
        </w:rPr>
      </w:pPr>
      <w:r w:rsidRPr="000E2B5A">
        <w:rPr>
          <w:rFonts w:ascii="Garamond" w:hAnsi="Garamond"/>
          <w:sz w:val="22"/>
          <w:szCs w:val="22"/>
        </w:rPr>
        <w:t xml:space="preserve">(ii) </w:t>
      </w:r>
      <w:r w:rsidRPr="000E2B5A">
        <w:rPr>
          <w:rFonts w:ascii="Garamond" w:hAnsi="Garamond"/>
          <w:sz w:val="22"/>
          <w:szCs w:val="22"/>
        </w:rPr>
        <w:tab/>
        <w:t xml:space="preserve">2 Cor 13:1 upon </w:t>
      </w:r>
      <w:r w:rsidRPr="000E2B5A">
        <w:rPr>
          <w:rFonts w:ascii="Garamond" w:hAnsi="Garamond"/>
          <w:i/>
          <w:sz w:val="22"/>
          <w:szCs w:val="22"/>
        </w:rPr>
        <w:t>the</w:t>
      </w:r>
      <w:r w:rsidRPr="000E2B5A">
        <w:rPr>
          <w:rFonts w:ascii="Garamond" w:hAnsi="Garamond"/>
          <w:sz w:val="22"/>
          <w:szCs w:val="22"/>
        </w:rPr>
        <w:t xml:space="preserve"> mouth of two witnesses </w:t>
      </w:r>
      <w:r w:rsidR="005C53BA" w:rsidRPr="000E2B5A">
        <w:rPr>
          <w:rFonts w:ascii="Garamond" w:hAnsi="Garamond"/>
          <w:sz w:val="22"/>
          <w:szCs w:val="22"/>
          <w:u w:val="single"/>
        </w:rPr>
        <w:t>and</w:t>
      </w:r>
      <w:r w:rsidR="005C53BA" w:rsidRPr="000E2B5A">
        <w:rPr>
          <w:rFonts w:ascii="Garamond" w:hAnsi="Garamond"/>
          <w:sz w:val="22"/>
          <w:szCs w:val="22"/>
        </w:rPr>
        <w:t xml:space="preserve"> three</w:t>
      </w:r>
      <w:r w:rsidRPr="000E2B5A">
        <w:rPr>
          <w:rFonts w:ascii="Garamond" w:hAnsi="Garamond"/>
          <w:b/>
          <w:sz w:val="22"/>
          <w:szCs w:val="22"/>
        </w:rPr>
        <w:t xml:space="preserve"> </w:t>
      </w:r>
      <w:r w:rsidR="005C53BA" w:rsidRPr="000E2B5A">
        <w:rPr>
          <w:rFonts w:ascii="Garamond" w:hAnsi="Garamond"/>
          <w:sz w:val="22"/>
          <w:szCs w:val="22"/>
          <w:u w:val="words"/>
        </w:rPr>
        <w:t>shall stand</w:t>
      </w:r>
      <w:r w:rsidR="005C53BA" w:rsidRPr="000E2B5A">
        <w:rPr>
          <w:rFonts w:ascii="Garamond" w:hAnsi="Garamond"/>
          <w:sz w:val="22"/>
          <w:szCs w:val="22"/>
        </w:rPr>
        <w:t xml:space="preserve"> every word</w:t>
      </w:r>
      <w:r w:rsidRPr="000E2B5A">
        <w:rPr>
          <w:rFonts w:ascii="Garamond" w:hAnsi="Garamond"/>
          <w:sz w:val="22"/>
          <w:szCs w:val="22"/>
        </w:rPr>
        <w:t xml:space="preserve">.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rPr>
          <w:rFonts w:ascii="Garamond" w:hAnsi="Garamond"/>
          <w:i/>
          <w:sz w:val="22"/>
          <w:szCs w:val="22"/>
        </w:rPr>
      </w:pPr>
      <w:r w:rsidRPr="000E2B5A">
        <w:rPr>
          <w:rFonts w:ascii="Garamond" w:hAnsi="Garamond"/>
          <w:i/>
          <w:sz w:val="22"/>
          <w:szCs w:val="22"/>
        </w:rPr>
        <w:t>Observations</w:t>
      </w:r>
    </w:p>
    <w:p w:rsidR="005C53BA" w:rsidRPr="000E2B5A" w:rsidRDefault="005C53BA" w:rsidP="00D3182B">
      <w:pPr>
        <w:pStyle w:val="DefaultText"/>
        <w:rPr>
          <w:rFonts w:ascii="Garamond" w:hAnsi="Garamond"/>
          <w:i/>
          <w:sz w:val="22"/>
          <w:szCs w:val="22"/>
        </w:rPr>
      </w:pPr>
    </w:p>
    <w:p w:rsidR="00E87803" w:rsidRPr="000E2B5A" w:rsidRDefault="00E87803" w:rsidP="00034FE0">
      <w:pPr>
        <w:pStyle w:val="DefaultText"/>
        <w:numPr>
          <w:ilvl w:val="0"/>
          <w:numId w:val="29"/>
        </w:numPr>
        <w:jc w:val="both"/>
        <w:rPr>
          <w:rFonts w:ascii="Garamond" w:hAnsi="Garamond"/>
          <w:sz w:val="22"/>
          <w:szCs w:val="22"/>
        </w:rPr>
      </w:pPr>
      <w:r w:rsidRPr="000E2B5A">
        <w:rPr>
          <w:rFonts w:ascii="Garamond" w:hAnsi="Garamond"/>
          <w:sz w:val="22"/>
          <w:szCs w:val="22"/>
        </w:rPr>
        <w:t xml:space="preserve">These two NT passages have no introductory formula (like </w:t>
      </w:r>
      <w:r w:rsidR="005D74CB" w:rsidRPr="000E2B5A">
        <w:rPr>
          <w:rFonts w:ascii="Garamond" w:hAnsi="Garamond"/>
          <w:sz w:val="22"/>
          <w:szCs w:val="22"/>
        </w:rPr>
        <w:t>‘</w:t>
      </w:r>
      <w:r w:rsidRPr="000E2B5A">
        <w:rPr>
          <w:rFonts w:ascii="Garamond" w:hAnsi="Garamond"/>
          <w:sz w:val="22"/>
          <w:szCs w:val="22"/>
        </w:rPr>
        <w:t>it is written</w:t>
      </w:r>
      <w:r w:rsidR="005D74CB" w:rsidRPr="000E2B5A">
        <w:rPr>
          <w:rFonts w:ascii="Garamond" w:hAnsi="Garamond"/>
          <w:sz w:val="22"/>
          <w:szCs w:val="22"/>
        </w:rPr>
        <w:t>’</w:t>
      </w:r>
      <w:r w:rsidR="00034FE0" w:rsidRPr="000E2B5A">
        <w:rPr>
          <w:rFonts w:ascii="Garamond" w:hAnsi="Garamond"/>
          <w:sz w:val="22"/>
          <w:szCs w:val="22"/>
        </w:rPr>
        <w:t xml:space="preserve">) to </w:t>
      </w:r>
      <w:r w:rsidRPr="000E2B5A">
        <w:rPr>
          <w:rFonts w:ascii="Garamond" w:hAnsi="Garamond"/>
          <w:sz w:val="22"/>
          <w:szCs w:val="22"/>
        </w:rPr>
        <w:t>identify an OT source.</w:t>
      </w:r>
    </w:p>
    <w:p w:rsidR="00E87803" w:rsidRPr="000E2B5A" w:rsidRDefault="00034FE0" w:rsidP="00034FE0">
      <w:pPr>
        <w:pStyle w:val="DefaultText"/>
        <w:numPr>
          <w:ilvl w:val="0"/>
          <w:numId w:val="29"/>
        </w:numPr>
        <w:jc w:val="both"/>
        <w:rPr>
          <w:rFonts w:ascii="Garamond" w:hAnsi="Garamond"/>
          <w:sz w:val="22"/>
          <w:szCs w:val="22"/>
        </w:rPr>
      </w:pPr>
      <w:r w:rsidRPr="000E2B5A">
        <w:rPr>
          <w:rFonts w:ascii="Garamond" w:hAnsi="Garamond"/>
          <w:sz w:val="22"/>
          <w:szCs w:val="22"/>
        </w:rPr>
        <w:t>They match Deut</w:t>
      </w:r>
      <w:r w:rsidR="00E87803" w:rsidRPr="000E2B5A">
        <w:rPr>
          <w:rFonts w:ascii="Garamond" w:hAnsi="Garamond"/>
          <w:sz w:val="22"/>
          <w:szCs w:val="22"/>
        </w:rPr>
        <w:t xml:space="preserve"> 19:15 closely, in almost </w:t>
      </w:r>
      <w:r w:rsidR="005D74CB" w:rsidRPr="000E2B5A">
        <w:rPr>
          <w:rFonts w:ascii="Garamond" w:hAnsi="Garamond"/>
          <w:sz w:val="22"/>
          <w:szCs w:val="22"/>
        </w:rPr>
        <w:t>‘</w:t>
      </w:r>
      <w:r w:rsidR="00E87803" w:rsidRPr="000E2B5A">
        <w:rPr>
          <w:rFonts w:ascii="Garamond" w:hAnsi="Garamond"/>
          <w:sz w:val="22"/>
          <w:szCs w:val="22"/>
        </w:rPr>
        <w:t>word-for-word</w:t>
      </w:r>
      <w:r w:rsidR="005D74CB" w:rsidRPr="000E2B5A">
        <w:rPr>
          <w:rFonts w:ascii="Garamond" w:hAnsi="Garamond"/>
          <w:sz w:val="22"/>
          <w:szCs w:val="22"/>
        </w:rPr>
        <w:t>’</w:t>
      </w:r>
      <w:r w:rsidR="00E87803" w:rsidRPr="000E2B5A">
        <w:rPr>
          <w:rFonts w:ascii="Garamond" w:hAnsi="Garamond"/>
          <w:sz w:val="22"/>
          <w:szCs w:val="22"/>
        </w:rPr>
        <w:t xml:space="preserve"> correspondence.</w:t>
      </w:r>
    </w:p>
    <w:p w:rsidR="00E87803" w:rsidRPr="000E2B5A" w:rsidRDefault="00E87803" w:rsidP="00034FE0">
      <w:pPr>
        <w:pStyle w:val="DefaultText"/>
        <w:numPr>
          <w:ilvl w:val="0"/>
          <w:numId w:val="29"/>
        </w:numPr>
        <w:jc w:val="both"/>
        <w:rPr>
          <w:rFonts w:ascii="Garamond" w:hAnsi="Garamond"/>
          <w:sz w:val="22"/>
          <w:szCs w:val="22"/>
        </w:rPr>
      </w:pPr>
      <w:r w:rsidRPr="000E2B5A">
        <w:rPr>
          <w:rFonts w:ascii="Garamond" w:hAnsi="Garamond"/>
          <w:sz w:val="22"/>
          <w:szCs w:val="22"/>
        </w:rPr>
        <w:t xml:space="preserve">The OT source text </w:t>
      </w:r>
      <w:r w:rsidR="00034FE0" w:rsidRPr="000E2B5A">
        <w:rPr>
          <w:rFonts w:ascii="Garamond" w:hAnsi="Garamond"/>
          <w:sz w:val="22"/>
          <w:szCs w:val="22"/>
        </w:rPr>
        <w:t>repeats</w:t>
      </w:r>
      <w:r w:rsidRPr="000E2B5A">
        <w:rPr>
          <w:rFonts w:ascii="Garamond" w:hAnsi="Garamond"/>
          <w:sz w:val="22"/>
          <w:szCs w:val="22"/>
        </w:rPr>
        <w:t xml:space="preserve"> </w:t>
      </w:r>
      <w:r w:rsidR="005D74CB" w:rsidRPr="000E2B5A">
        <w:rPr>
          <w:rFonts w:ascii="Garamond" w:hAnsi="Garamond"/>
          <w:sz w:val="22"/>
          <w:szCs w:val="22"/>
        </w:rPr>
        <w:t>‘</w:t>
      </w:r>
      <w:r w:rsidRPr="000E2B5A">
        <w:rPr>
          <w:rFonts w:ascii="Garamond" w:hAnsi="Garamond"/>
          <w:sz w:val="22"/>
          <w:szCs w:val="22"/>
        </w:rPr>
        <w:t>upon the mouth of</w:t>
      </w:r>
      <w:r w:rsidR="005D74CB" w:rsidRPr="000E2B5A">
        <w:rPr>
          <w:rFonts w:ascii="Garamond" w:hAnsi="Garamond"/>
          <w:sz w:val="22"/>
          <w:szCs w:val="22"/>
        </w:rPr>
        <w:t>’</w:t>
      </w:r>
      <w:r w:rsidR="004D0C82" w:rsidRPr="000E2B5A">
        <w:rPr>
          <w:rFonts w:ascii="Garamond" w:hAnsi="Garamond"/>
          <w:sz w:val="22"/>
          <w:szCs w:val="22"/>
        </w:rPr>
        <w:t xml:space="preserve"> but the NT does not.  And</w:t>
      </w:r>
      <w:r w:rsidR="00034FE0" w:rsidRPr="000E2B5A">
        <w:rPr>
          <w:rFonts w:ascii="Garamond" w:hAnsi="Garamond"/>
          <w:sz w:val="22"/>
          <w:szCs w:val="22"/>
        </w:rPr>
        <w:t>, the</w:t>
      </w:r>
      <w:r w:rsidRPr="000E2B5A">
        <w:rPr>
          <w:rFonts w:ascii="Garamond" w:hAnsi="Garamond"/>
          <w:sz w:val="22"/>
          <w:szCs w:val="22"/>
        </w:rPr>
        <w:t xml:space="preserve"> NT has </w:t>
      </w:r>
      <w:r w:rsidR="005D74CB" w:rsidRPr="000E2B5A">
        <w:rPr>
          <w:rFonts w:ascii="Garamond" w:hAnsi="Garamond"/>
          <w:sz w:val="22"/>
          <w:szCs w:val="22"/>
        </w:rPr>
        <w:t>‘</w:t>
      </w:r>
      <w:r w:rsidRPr="000E2B5A">
        <w:rPr>
          <w:rFonts w:ascii="Garamond" w:hAnsi="Garamond"/>
          <w:sz w:val="22"/>
          <w:szCs w:val="22"/>
        </w:rPr>
        <w:t>every</w:t>
      </w:r>
      <w:r w:rsidR="005D74CB" w:rsidRPr="000E2B5A">
        <w:rPr>
          <w:rFonts w:ascii="Garamond" w:hAnsi="Garamond"/>
          <w:sz w:val="22"/>
          <w:szCs w:val="22"/>
        </w:rPr>
        <w:t>’</w:t>
      </w:r>
      <w:r w:rsidRPr="000E2B5A">
        <w:rPr>
          <w:rFonts w:ascii="Garamond" w:hAnsi="Garamond"/>
          <w:sz w:val="22"/>
          <w:szCs w:val="22"/>
        </w:rPr>
        <w:t xml:space="preserve"> whereas the OT implies </w:t>
      </w:r>
      <w:r w:rsidR="005D74CB" w:rsidRPr="000E2B5A">
        <w:rPr>
          <w:rFonts w:ascii="Garamond" w:hAnsi="Garamond"/>
          <w:sz w:val="22"/>
          <w:szCs w:val="22"/>
        </w:rPr>
        <w:t>‘</w:t>
      </w:r>
      <w:r w:rsidRPr="000E2B5A">
        <w:rPr>
          <w:rFonts w:ascii="Garamond" w:hAnsi="Garamond"/>
          <w:sz w:val="22"/>
          <w:szCs w:val="22"/>
        </w:rPr>
        <w:t>the</w:t>
      </w:r>
      <w:r w:rsidR="005D74CB" w:rsidRPr="000E2B5A">
        <w:rPr>
          <w:rFonts w:ascii="Garamond" w:hAnsi="Garamond"/>
          <w:sz w:val="22"/>
          <w:szCs w:val="22"/>
        </w:rPr>
        <w:t>’</w:t>
      </w:r>
      <w:r w:rsidRPr="000E2B5A">
        <w:rPr>
          <w:rFonts w:ascii="Garamond" w:hAnsi="Garamond"/>
          <w:sz w:val="22"/>
          <w:szCs w:val="22"/>
        </w:rPr>
        <w:t>/</w:t>
      </w:r>
      <w:r w:rsidR="005D74CB" w:rsidRPr="000E2B5A">
        <w:rPr>
          <w:rFonts w:ascii="Garamond" w:hAnsi="Garamond"/>
          <w:sz w:val="22"/>
          <w:szCs w:val="22"/>
        </w:rPr>
        <w:t>’</w:t>
      </w:r>
      <w:r w:rsidRPr="000E2B5A">
        <w:rPr>
          <w:rFonts w:ascii="Garamond" w:hAnsi="Garamond"/>
          <w:sz w:val="22"/>
          <w:szCs w:val="22"/>
        </w:rPr>
        <w:t>a</w:t>
      </w:r>
      <w:r w:rsidR="005D74CB" w:rsidRPr="000E2B5A">
        <w:rPr>
          <w:rFonts w:ascii="Garamond" w:hAnsi="Garamond"/>
          <w:sz w:val="22"/>
          <w:szCs w:val="22"/>
        </w:rPr>
        <w:t>’</w:t>
      </w:r>
      <w:r w:rsidRPr="000E2B5A">
        <w:rPr>
          <w:rFonts w:ascii="Garamond" w:hAnsi="Garamond"/>
          <w:sz w:val="22"/>
          <w:szCs w:val="22"/>
        </w:rPr>
        <w:t xml:space="preserve"> attached to </w:t>
      </w:r>
      <w:r w:rsidR="005D74CB" w:rsidRPr="000E2B5A">
        <w:rPr>
          <w:rFonts w:ascii="Garamond" w:hAnsi="Garamond"/>
          <w:sz w:val="22"/>
          <w:szCs w:val="22"/>
        </w:rPr>
        <w:t>‘</w:t>
      </w:r>
      <w:r w:rsidRPr="000E2B5A">
        <w:rPr>
          <w:rFonts w:ascii="Garamond" w:hAnsi="Garamond"/>
          <w:sz w:val="22"/>
          <w:szCs w:val="22"/>
        </w:rPr>
        <w:t>word.</w:t>
      </w:r>
      <w:r w:rsidR="005D74CB" w:rsidRPr="000E2B5A">
        <w:rPr>
          <w:rFonts w:ascii="Garamond" w:hAnsi="Garamond"/>
          <w:sz w:val="22"/>
          <w:szCs w:val="22"/>
        </w:rPr>
        <w:t>’</w:t>
      </w:r>
    </w:p>
    <w:p w:rsidR="00E87803" w:rsidRPr="000E2B5A" w:rsidRDefault="00E87803" w:rsidP="00034FE0">
      <w:pPr>
        <w:pStyle w:val="DefaultText"/>
        <w:numPr>
          <w:ilvl w:val="0"/>
          <w:numId w:val="29"/>
        </w:numPr>
        <w:jc w:val="both"/>
        <w:rPr>
          <w:rFonts w:ascii="Garamond" w:hAnsi="Garamond"/>
          <w:sz w:val="22"/>
          <w:szCs w:val="22"/>
        </w:rPr>
      </w:pPr>
      <w:r w:rsidRPr="000E2B5A">
        <w:rPr>
          <w:rFonts w:ascii="Garamond" w:hAnsi="Garamond"/>
          <w:sz w:val="22"/>
          <w:szCs w:val="22"/>
        </w:rPr>
        <w:t>In the Greek NT, as can be seen in the English translations above, M</w:t>
      </w:r>
      <w:r w:rsidR="004D0C82" w:rsidRPr="000E2B5A">
        <w:rPr>
          <w:rFonts w:ascii="Garamond" w:hAnsi="Garamond"/>
          <w:sz w:val="22"/>
          <w:szCs w:val="22"/>
        </w:rPr>
        <w:t>a</w:t>
      </w:r>
      <w:r w:rsidRPr="000E2B5A">
        <w:rPr>
          <w:rFonts w:ascii="Garamond" w:hAnsi="Garamond"/>
          <w:sz w:val="22"/>
          <w:szCs w:val="22"/>
        </w:rPr>
        <w:t xml:space="preserve">tt </w:t>
      </w:r>
      <w:r w:rsidR="004D0C82" w:rsidRPr="000E2B5A">
        <w:rPr>
          <w:rFonts w:ascii="Garamond" w:hAnsi="Garamond"/>
          <w:sz w:val="22"/>
          <w:szCs w:val="22"/>
        </w:rPr>
        <w:t xml:space="preserve">18:16 &amp; </w:t>
      </w:r>
      <w:r w:rsidRPr="000E2B5A">
        <w:rPr>
          <w:rFonts w:ascii="Garamond" w:hAnsi="Garamond"/>
          <w:sz w:val="22"/>
          <w:szCs w:val="22"/>
        </w:rPr>
        <w:t>2 Cor 13:1 differ only slightly from each other.  M</w:t>
      </w:r>
      <w:r w:rsidR="004D0C82" w:rsidRPr="000E2B5A">
        <w:rPr>
          <w:rFonts w:ascii="Garamond" w:hAnsi="Garamond"/>
          <w:sz w:val="22"/>
          <w:szCs w:val="22"/>
        </w:rPr>
        <w:t>a</w:t>
      </w:r>
      <w:r w:rsidRPr="000E2B5A">
        <w:rPr>
          <w:rFonts w:ascii="Garamond" w:hAnsi="Garamond"/>
          <w:sz w:val="22"/>
          <w:szCs w:val="22"/>
        </w:rPr>
        <w:t xml:space="preserve">tt 18:16 has </w:t>
      </w:r>
      <w:r w:rsidR="005D74CB" w:rsidRPr="000E2B5A">
        <w:rPr>
          <w:rFonts w:ascii="Garamond" w:hAnsi="Garamond"/>
          <w:sz w:val="22"/>
          <w:szCs w:val="22"/>
        </w:rPr>
        <w:t>‘</w:t>
      </w:r>
      <w:r w:rsidRPr="000E2B5A">
        <w:rPr>
          <w:rFonts w:ascii="Garamond" w:hAnsi="Garamond"/>
          <w:sz w:val="22"/>
          <w:szCs w:val="22"/>
        </w:rPr>
        <w:t>or</w:t>
      </w:r>
      <w:r w:rsidR="005D74CB" w:rsidRPr="000E2B5A">
        <w:rPr>
          <w:rFonts w:ascii="Garamond" w:hAnsi="Garamond"/>
          <w:sz w:val="22"/>
          <w:szCs w:val="22"/>
        </w:rPr>
        <w:t>’</w:t>
      </w:r>
      <w:r w:rsidRPr="000E2B5A">
        <w:rPr>
          <w:rFonts w:ascii="Garamond" w:hAnsi="Garamond"/>
          <w:sz w:val="22"/>
          <w:szCs w:val="22"/>
        </w:rPr>
        <w:t xml:space="preserve"> and </w:t>
      </w:r>
      <w:r w:rsidR="005D74CB" w:rsidRPr="000E2B5A">
        <w:rPr>
          <w:rFonts w:ascii="Garamond" w:hAnsi="Garamond"/>
          <w:sz w:val="22"/>
          <w:szCs w:val="22"/>
        </w:rPr>
        <w:t>‘</w:t>
      </w:r>
      <w:r w:rsidRPr="000E2B5A">
        <w:rPr>
          <w:rFonts w:ascii="Garamond" w:hAnsi="Garamond"/>
          <w:sz w:val="22"/>
          <w:szCs w:val="22"/>
        </w:rPr>
        <w:t xml:space="preserve">may </w:t>
      </w:r>
      <w:r w:rsidR="004D0C82" w:rsidRPr="000E2B5A">
        <w:rPr>
          <w:rFonts w:ascii="Garamond" w:hAnsi="Garamond"/>
          <w:sz w:val="22"/>
          <w:szCs w:val="22"/>
        </w:rPr>
        <w:t>stand,’ and</w:t>
      </w:r>
      <w:r w:rsidRPr="000E2B5A">
        <w:rPr>
          <w:rFonts w:ascii="Garamond" w:hAnsi="Garamond"/>
          <w:sz w:val="22"/>
          <w:szCs w:val="22"/>
        </w:rPr>
        <w:t xml:space="preserve"> 2 Cor 13:1 has </w:t>
      </w:r>
      <w:r w:rsidR="005D74CB" w:rsidRPr="000E2B5A">
        <w:rPr>
          <w:rFonts w:ascii="Garamond" w:hAnsi="Garamond"/>
          <w:sz w:val="22"/>
          <w:szCs w:val="22"/>
        </w:rPr>
        <w:t>‘</w:t>
      </w:r>
      <w:r w:rsidRPr="000E2B5A">
        <w:rPr>
          <w:rFonts w:ascii="Garamond" w:hAnsi="Garamond"/>
          <w:sz w:val="22"/>
          <w:szCs w:val="22"/>
        </w:rPr>
        <w:t>and</w:t>
      </w:r>
      <w:r w:rsidR="005D74CB" w:rsidRPr="000E2B5A">
        <w:rPr>
          <w:rFonts w:ascii="Garamond" w:hAnsi="Garamond"/>
          <w:sz w:val="22"/>
          <w:szCs w:val="22"/>
        </w:rPr>
        <w:t>’</w:t>
      </w:r>
      <w:r w:rsidRPr="000E2B5A">
        <w:rPr>
          <w:rFonts w:ascii="Garamond" w:hAnsi="Garamond"/>
          <w:sz w:val="22"/>
          <w:szCs w:val="22"/>
        </w:rPr>
        <w:t xml:space="preserve"> plus </w:t>
      </w:r>
      <w:r w:rsidR="005D74CB" w:rsidRPr="000E2B5A">
        <w:rPr>
          <w:rFonts w:ascii="Garamond" w:hAnsi="Garamond"/>
          <w:sz w:val="22"/>
          <w:szCs w:val="22"/>
        </w:rPr>
        <w:t>‘</w:t>
      </w:r>
      <w:r w:rsidRPr="000E2B5A">
        <w:rPr>
          <w:rFonts w:ascii="Garamond" w:hAnsi="Garamond"/>
          <w:sz w:val="22"/>
          <w:szCs w:val="22"/>
        </w:rPr>
        <w:t>shall stand.</w:t>
      </w:r>
      <w:r w:rsidR="005D74CB" w:rsidRPr="000E2B5A">
        <w:rPr>
          <w:rFonts w:ascii="Garamond" w:hAnsi="Garamond"/>
          <w:sz w:val="22"/>
          <w:szCs w:val="22"/>
        </w:rPr>
        <w:t>’</w:t>
      </w:r>
      <w:r w:rsidRPr="000E2B5A">
        <w:rPr>
          <w:rFonts w:ascii="Garamond" w:hAnsi="Garamond"/>
          <w:sz w:val="22"/>
          <w:szCs w:val="22"/>
        </w:rPr>
        <w:t xml:space="preserve">  M</w:t>
      </w:r>
      <w:r w:rsidR="004D0C82" w:rsidRPr="000E2B5A">
        <w:rPr>
          <w:rFonts w:ascii="Garamond" w:hAnsi="Garamond"/>
          <w:sz w:val="22"/>
          <w:szCs w:val="22"/>
        </w:rPr>
        <w:t>a</w:t>
      </w:r>
      <w:r w:rsidRPr="000E2B5A">
        <w:rPr>
          <w:rFonts w:ascii="Garamond" w:hAnsi="Garamond"/>
          <w:sz w:val="22"/>
          <w:szCs w:val="22"/>
        </w:rPr>
        <w:t xml:space="preserve">tt 18:16 with </w:t>
      </w:r>
      <w:r w:rsidR="005D74CB" w:rsidRPr="000E2B5A">
        <w:rPr>
          <w:rFonts w:ascii="Garamond" w:hAnsi="Garamond"/>
          <w:sz w:val="22"/>
          <w:szCs w:val="22"/>
        </w:rPr>
        <w:t>‘</w:t>
      </w:r>
      <w:r w:rsidRPr="000E2B5A">
        <w:rPr>
          <w:rFonts w:ascii="Garamond" w:hAnsi="Garamond"/>
          <w:sz w:val="22"/>
          <w:szCs w:val="22"/>
        </w:rPr>
        <w:t>or</w:t>
      </w:r>
      <w:r w:rsidR="005D74CB" w:rsidRPr="000E2B5A">
        <w:rPr>
          <w:rFonts w:ascii="Garamond" w:hAnsi="Garamond"/>
          <w:sz w:val="22"/>
          <w:szCs w:val="22"/>
        </w:rPr>
        <w:t>’</w:t>
      </w:r>
      <w:r w:rsidRPr="000E2B5A">
        <w:rPr>
          <w:rFonts w:ascii="Garamond" w:hAnsi="Garamond"/>
          <w:sz w:val="22"/>
          <w:szCs w:val="22"/>
        </w:rPr>
        <w:t xml:space="preserve"> matches the Hebrew of Deut. 19:15.</w:t>
      </w:r>
    </w:p>
    <w:p w:rsidR="00E87803" w:rsidRPr="000E2B5A" w:rsidRDefault="00E87803" w:rsidP="00D3182B">
      <w:pPr>
        <w:pStyle w:val="DefaultText"/>
        <w:tabs>
          <w:tab w:val="left" w:pos="270"/>
          <w:tab w:val="left" w:pos="555"/>
        </w:tabs>
        <w:jc w:val="both"/>
        <w:rPr>
          <w:rFonts w:ascii="Garamond" w:hAnsi="Garamond"/>
          <w:sz w:val="22"/>
          <w:szCs w:val="22"/>
        </w:rPr>
      </w:pPr>
    </w:p>
    <w:p w:rsidR="00E87803" w:rsidRPr="000E2B5A" w:rsidRDefault="00034FE0" w:rsidP="00D3182B">
      <w:pPr>
        <w:pStyle w:val="DefaultText"/>
        <w:rPr>
          <w:rFonts w:ascii="Garamond" w:hAnsi="Garamond"/>
          <w:i/>
          <w:sz w:val="22"/>
          <w:szCs w:val="22"/>
        </w:rPr>
      </w:pPr>
      <w:r w:rsidRPr="000E2B5A">
        <w:rPr>
          <w:rFonts w:ascii="Garamond" w:hAnsi="Garamond"/>
          <w:i/>
          <w:sz w:val="22"/>
          <w:szCs w:val="22"/>
        </w:rPr>
        <w:t>Summary</w:t>
      </w:r>
    </w:p>
    <w:p w:rsidR="0078388E" w:rsidRPr="000E2B5A" w:rsidRDefault="0078388E" w:rsidP="00D3182B">
      <w:pPr>
        <w:pStyle w:val="DefaultText"/>
        <w:rPr>
          <w:rFonts w:ascii="Garamond" w:hAnsi="Garamond"/>
          <w:i/>
          <w:sz w:val="22"/>
          <w:szCs w:val="22"/>
        </w:rPr>
      </w:pPr>
    </w:p>
    <w:p w:rsidR="00E87803" w:rsidRPr="000E2B5A" w:rsidRDefault="00E87803" w:rsidP="00D3182B">
      <w:pPr>
        <w:pStyle w:val="DefaultText"/>
        <w:numPr>
          <w:ilvl w:val="0"/>
          <w:numId w:val="21"/>
        </w:numPr>
        <w:ind w:left="426"/>
        <w:jc w:val="both"/>
        <w:rPr>
          <w:rFonts w:ascii="Garamond" w:hAnsi="Garamond"/>
          <w:sz w:val="22"/>
          <w:szCs w:val="22"/>
        </w:rPr>
      </w:pPr>
      <w:r w:rsidRPr="000E2B5A">
        <w:rPr>
          <w:rFonts w:ascii="Garamond" w:hAnsi="Garamond"/>
          <w:sz w:val="22"/>
          <w:szCs w:val="22"/>
        </w:rPr>
        <w:t xml:space="preserve">Neither passage has an introduction like </w:t>
      </w:r>
      <w:r w:rsidR="005D74CB" w:rsidRPr="000E2B5A">
        <w:rPr>
          <w:rFonts w:ascii="Garamond" w:hAnsi="Garamond"/>
          <w:sz w:val="22"/>
          <w:szCs w:val="22"/>
        </w:rPr>
        <w:t>‘</w:t>
      </w:r>
      <w:r w:rsidRPr="000E2B5A">
        <w:rPr>
          <w:rFonts w:ascii="Garamond" w:hAnsi="Garamond"/>
          <w:sz w:val="22"/>
          <w:szCs w:val="22"/>
        </w:rPr>
        <w:t>it is written</w:t>
      </w:r>
      <w:r w:rsidR="005D74CB" w:rsidRPr="000E2B5A">
        <w:rPr>
          <w:rFonts w:ascii="Garamond" w:hAnsi="Garamond"/>
          <w:sz w:val="22"/>
          <w:szCs w:val="22"/>
        </w:rPr>
        <w:t>’</w:t>
      </w:r>
      <w:r w:rsidR="0078388E" w:rsidRPr="000E2B5A">
        <w:rPr>
          <w:rFonts w:ascii="Garamond" w:hAnsi="Garamond"/>
          <w:sz w:val="22"/>
          <w:szCs w:val="22"/>
        </w:rPr>
        <w:t>,</w:t>
      </w:r>
      <w:r w:rsidRPr="000E2B5A">
        <w:rPr>
          <w:rFonts w:ascii="Garamond" w:hAnsi="Garamond"/>
          <w:sz w:val="22"/>
          <w:szCs w:val="22"/>
        </w:rPr>
        <w:t xml:space="preserve"> nor is a source like </w:t>
      </w:r>
      <w:r w:rsidR="005D74CB" w:rsidRPr="000E2B5A">
        <w:rPr>
          <w:rFonts w:ascii="Garamond" w:hAnsi="Garamond"/>
          <w:sz w:val="22"/>
          <w:szCs w:val="22"/>
        </w:rPr>
        <w:t>“</w:t>
      </w:r>
      <w:r w:rsidRPr="000E2B5A">
        <w:rPr>
          <w:rFonts w:ascii="Garamond" w:hAnsi="Garamond"/>
          <w:sz w:val="22"/>
          <w:szCs w:val="22"/>
        </w:rPr>
        <w:t>your Law</w:t>
      </w:r>
      <w:r w:rsidR="005D74CB" w:rsidRPr="000E2B5A">
        <w:rPr>
          <w:rFonts w:ascii="Garamond" w:hAnsi="Garamond"/>
          <w:sz w:val="22"/>
          <w:szCs w:val="22"/>
        </w:rPr>
        <w:t>”</w:t>
      </w:r>
      <w:r w:rsidRPr="000E2B5A">
        <w:rPr>
          <w:rFonts w:ascii="Garamond" w:hAnsi="Garamond"/>
          <w:sz w:val="22"/>
          <w:szCs w:val="22"/>
        </w:rPr>
        <w:t xml:space="preserve"> mentioned, as when this passage is used (but differently presented) by Jesus in J</w:t>
      </w:r>
      <w:r w:rsidR="0078388E" w:rsidRPr="000E2B5A">
        <w:rPr>
          <w:rFonts w:ascii="Garamond" w:hAnsi="Garamond"/>
          <w:sz w:val="22"/>
          <w:szCs w:val="22"/>
        </w:rPr>
        <w:t>oh</w:t>
      </w:r>
      <w:r w:rsidRPr="000E2B5A">
        <w:rPr>
          <w:rFonts w:ascii="Garamond" w:hAnsi="Garamond"/>
          <w:sz w:val="22"/>
          <w:szCs w:val="22"/>
        </w:rPr>
        <w:t xml:space="preserve">n 8:17: </w:t>
      </w:r>
      <w:r w:rsidR="005D74CB" w:rsidRPr="000E2B5A">
        <w:rPr>
          <w:rFonts w:ascii="Garamond" w:hAnsi="Garamond"/>
          <w:sz w:val="22"/>
          <w:szCs w:val="22"/>
        </w:rPr>
        <w:t>“</w:t>
      </w:r>
      <w:r w:rsidRPr="000E2B5A">
        <w:rPr>
          <w:rFonts w:ascii="Garamond" w:hAnsi="Garamond"/>
          <w:sz w:val="22"/>
          <w:szCs w:val="22"/>
        </w:rPr>
        <w:t>It is also written in your law, that the testimony</w:t>
      </w:r>
      <w:r w:rsidRPr="000E2B5A">
        <w:rPr>
          <w:rFonts w:ascii="Garamond" w:hAnsi="Garamond"/>
          <w:b/>
          <w:sz w:val="22"/>
          <w:szCs w:val="22"/>
        </w:rPr>
        <w:t xml:space="preserve"> </w:t>
      </w:r>
      <w:r w:rsidRPr="000E2B5A">
        <w:rPr>
          <w:rFonts w:ascii="Garamond" w:hAnsi="Garamond"/>
          <w:sz w:val="22"/>
          <w:szCs w:val="22"/>
        </w:rPr>
        <w:t>of two men is true</w:t>
      </w:r>
      <w:r w:rsidR="005D74CB" w:rsidRPr="000E2B5A">
        <w:rPr>
          <w:rFonts w:ascii="Garamond" w:hAnsi="Garamond"/>
          <w:sz w:val="22"/>
          <w:szCs w:val="22"/>
        </w:rPr>
        <w:t>”</w:t>
      </w:r>
      <w:r w:rsidR="0078388E" w:rsidRPr="000E2B5A">
        <w:rPr>
          <w:rFonts w:ascii="Garamond" w:hAnsi="Garamond"/>
          <w:sz w:val="22"/>
          <w:szCs w:val="22"/>
        </w:rPr>
        <w:t>.</w:t>
      </w:r>
      <w:r w:rsidRPr="000E2B5A">
        <w:rPr>
          <w:rFonts w:ascii="Garamond" w:hAnsi="Garamond"/>
          <w:sz w:val="22"/>
          <w:szCs w:val="22"/>
        </w:rPr>
        <w:t xml:space="preserve"> However, since these two parallel NT passages (M</w:t>
      </w:r>
      <w:r w:rsidR="0078388E" w:rsidRPr="000E2B5A">
        <w:rPr>
          <w:rFonts w:ascii="Garamond" w:hAnsi="Garamond"/>
          <w:sz w:val="22"/>
          <w:szCs w:val="22"/>
        </w:rPr>
        <w:t>a</w:t>
      </w:r>
      <w:r w:rsidRPr="000E2B5A">
        <w:rPr>
          <w:rFonts w:ascii="Garamond" w:hAnsi="Garamond"/>
          <w:sz w:val="22"/>
          <w:szCs w:val="22"/>
        </w:rPr>
        <w:t>tt 18:16 &amp; 2 Co 13:1) align with Jesus</w:t>
      </w:r>
      <w:r w:rsidR="005D74CB" w:rsidRPr="000E2B5A">
        <w:rPr>
          <w:rFonts w:ascii="Garamond" w:hAnsi="Garamond"/>
          <w:sz w:val="22"/>
          <w:szCs w:val="22"/>
        </w:rPr>
        <w:t>’</w:t>
      </w:r>
      <w:r w:rsidRPr="000E2B5A">
        <w:rPr>
          <w:rFonts w:ascii="Garamond" w:hAnsi="Garamond"/>
          <w:sz w:val="22"/>
          <w:szCs w:val="22"/>
        </w:rPr>
        <w:t xml:space="preserve"> different presentation of this same principle in J</w:t>
      </w:r>
      <w:r w:rsidR="0078388E" w:rsidRPr="000E2B5A">
        <w:rPr>
          <w:rFonts w:ascii="Garamond" w:hAnsi="Garamond"/>
          <w:sz w:val="22"/>
          <w:szCs w:val="22"/>
        </w:rPr>
        <w:t>oh</w:t>
      </w:r>
      <w:r w:rsidRPr="000E2B5A">
        <w:rPr>
          <w:rFonts w:ascii="Garamond" w:hAnsi="Garamond"/>
          <w:sz w:val="22"/>
          <w:szCs w:val="22"/>
        </w:rPr>
        <w:t xml:space="preserve">n 8:17, in effect, this introductory phrase can be applied to them, too.  Therefore, this confirms the existence of an OT written source, as identified by </w:t>
      </w:r>
      <w:r w:rsidR="005D74CB" w:rsidRPr="000E2B5A">
        <w:rPr>
          <w:rFonts w:ascii="Garamond" w:hAnsi="Garamond"/>
          <w:sz w:val="22"/>
          <w:szCs w:val="22"/>
        </w:rPr>
        <w:t>“</w:t>
      </w:r>
      <w:r w:rsidRPr="000E2B5A">
        <w:rPr>
          <w:rFonts w:ascii="Garamond" w:hAnsi="Garamond"/>
          <w:sz w:val="22"/>
          <w:szCs w:val="22"/>
        </w:rPr>
        <w:t>your law</w:t>
      </w:r>
      <w:r w:rsidR="005D74CB" w:rsidRPr="000E2B5A">
        <w:rPr>
          <w:rFonts w:ascii="Garamond" w:hAnsi="Garamond"/>
          <w:sz w:val="22"/>
          <w:szCs w:val="22"/>
        </w:rPr>
        <w:t>”</w:t>
      </w:r>
      <w:r w:rsidRPr="000E2B5A">
        <w:rPr>
          <w:rFonts w:ascii="Garamond" w:hAnsi="Garamond"/>
          <w:sz w:val="22"/>
          <w:szCs w:val="22"/>
        </w:rPr>
        <w:t xml:space="preserve">, for this principle. </w:t>
      </w:r>
    </w:p>
    <w:p w:rsidR="00E87803" w:rsidRPr="000E2B5A" w:rsidRDefault="00E87803" w:rsidP="00D3182B">
      <w:pPr>
        <w:pStyle w:val="DefaultText"/>
        <w:ind w:left="426" w:hanging="426"/>
        <w:jc w:val="both"/>
        <w:rPr>
          <w:rFonts w:ascii="Garamond" w:hAnsi="Garamond"/>
          <w:sz w:val="22"/>
          <w:szCs w:val="22"/>
        </w:rPr>
      </w:pPr>
    </w:p>
    <w:p w:rsidR="00E87803" w:rsidRPr="000E2B5A" w:rsidRDefault="00E87803" w:rsidP="0078388E">
      <w:pPr>
        <w:pStyle w:val="DefaultText"/>
        <w:numPr>
          <w:ilvl w:val="0"/>
          <w:numId w:val="20"/>
        </w:numPr>
        <w:tabs>
          <w:tab w:val="clear" w:pos="435"/>
        </w:tabs>
        <w:ind w:left="426" w:hanging="426"/>
        <w:jc w:val="both"/>
        <w:rPr>
          <w:rFonts w:ascii="Garamond" w:hAnsi="Garamond"/>
          <w:sz w:val="22"/>
          <w:szCs w:val="22"/>
        </w:rPr>
      </w:pPr>
      <w:r w:rsidRPr="000E2B5A">
        <w:rPr>
          <w:rFonts w:ascii="Garamond" w:hAnsi="Garamond"/>
          <w:sz w:val="22"/>
          <w:szCs w:val="22"/>
        </w:rPr>
        <w:lastRenderedPageBreak/>
        <w:t>The</w:t>
      </w:r>
      <w:r w:rsidRPr="000E2B5A">
        <w:rPr>
          <w:rFonts w:ascii="Garamond" w:hAnsi="Garamond"/>
          <w:i/>
          <w:sz w:val="22"/>
          <w:szCs w:val="22"/>
        </w:rPr>
        <w:t xml:space="preserve"> form </w:t>
      </w:r>
      <w:r w:rsidRPr="000E2B5A">
        <w:rPr>
          <w:rFonts w:ascii="Garamond" w:hAnsi="Garamond"/>
          <w:sz w:val="22"/>
          <w:szCs w:val="22"/>
        </w:rPr>
        <w:t xml:space="preserve">of </w:t>
      </w:r>
      <w:r w:rsidR="005D74CB" w:rsidRPr="000E2B5A">
        <w:rPr>
          <w:rFonts w:ascii="Garamond" w:hAnsi="Garamond"/>
          <w:sz w:val="22"/>
          <w:szCs w:val="22"/>
        </w:rPr>
        <w:t>‘</w:t>
      </w:r>
      <w:r w:rsidRPr="000E2B5A">
        <w:rPr>
          <w:rFonts w:ascii="Garamond" w:hAnsi="Garamond"/>
          <w:sz w:val="22"/>
          <w:szCs w:val="22"/>
        </w:rPr>
        <w:t>quotation</w:t>
      </w:r>
      <w:r w:rsidR="005D74CB" w:rsidRPr="000E2B5A">
        <w:rPr>
          <w:rFonts w:ascii="Garamond" w:hAnsi="Garamond"/>
          <w:sz w:val="22"/>
          <w:szCs w:val="22"/>
        </w:rPr>
        <w:t>’</w:t>
      </w:r>
      <w:r w:rsidRPr="000E2B5A">
        <w:rPr>
          <w:rFonts w:ascii="Garamond" w:hAnsi="Garamond"/>
          <w:sz w:val="22"/>
          <w:szCs w:val="22"/>
        </w:rPr>
        <w:t xml:space="preserve"> represented by M</w:t>
      </w:r>
      <w:r w:rsidR="0078388E" w:rsidRPr="000E2B5A">
        <w:rPr>
          <w:rFonts w:ascii="Garamond" w:hAnsi="Garamond"/>
          <w:sz w:val="22"/>
          <w:szCs w:val="22"/>
        </w:rPr>
        <w:t>a</w:t>
      </w:r>
      <w:r w:rsidRPr="000E2B5A">
        <w:rPr>
          <w:rFonts w:ascii="Garamond" w:hAnsi="Garamond"/>
          <w:sz w:val="22"/>
          <w:szCs w:val="22"/>
        </w:rPr>
        <w:t xml:space="preserve">tt 18:16 &amp; 2 Cor. 13:1 is comparable to some literal, or closely literal, NT quotations introduced by </w:t>
      </w:r>
      <w:r w:rsidR="005D74CB" w:rsidRPr="000E2B5A">
        <w:rPr>
          <w:rFonts w:ascii="Garamond" w:hAnsi="Garamond"/>
          <w:sz w:val="22"/>
          <w:szCs w:val="22"/>
        </w:rPr>
        <w:t>“</w:t>
      </w:r>
      <w:r w:rsidRPr="000E2B5A">
        <w:rPr>
          <w:rFonts w:ascii="Garamond" w:hAnsi="Garamond"/>
          <w:sz w:val="22"/>
          <w:szCs w:val="22"/>
        </w:rPr>
        <w:t>it is written</w:t>
      </w:r>
      <w:r w:rsidR="005D74CB" w:rsidRPr="000E2B5A">
        <w:rPr>
          <w:rFonts w:ascii="Garamond" w:hAnsi="Garamond"/>
          <w:sz w:val="22"/>
          <w:szCs w:val="22"/>
        </w:rPr>
        <w:t>”</w:t>
      </w:r>
      <w:r w:rsidRPr="000E2B5A">
        <w:rPr>
          <w:rFonts w:ascii="Garamond" w:hAnsi="Garamond"/>
          <w:sz w:val="22"/>
          <w:szCs w:val="22"/>
        </w:rPr>
        <w:t xml:space="preserve"> (see [B], below).  However, J</w:t>
      </w:r>
      <w:r w:rsidR="0078388E" w:rsidRPr="000E2B5A">
        <w:rPr>
          <w:rFonts w:ascii="Garamond" w:hAnsi="Garamond"/>
          <w:sz w:val="22"/>
          <w:szCs w:val="22"/>
        </w:rPr>
        <w:t>oh</w:t>
      </w:r>
      <w:r w:rsidRPr="000E2B5A">
        <w:rPr>
          <w:rFonts w:ascii="Garamond" w:hAnsi="Garamond"/>
          <w:sz w:val="22"/>
          <w:szCs w:val="22"/>
        </w:rPr>
        <w:t xml:space="preserve">n 8:17 shows that the use of </w:t>
      </w:r>
      <w:r w:rsidR="005D74CB" w:rsidRPr="000E2B5A">
        <w:rPr>
          <w:rFonts w:ascii="Garamond" w:hAnsi="Garamond"/>
          <w:sz w:val="22"/>
          <w:szCs w:val="22"/>
        </w:rPr>
        <w:t>‘</w:t>
      </w:r>
      <w:r w:rsidRPr="000E2B5A">
        <w:rPr>
          <w:rFonts w:ascii="Garamond" w:hAnsi="Garamond"/>
          <w:sz w:val="22"/>
          <w:szCs w:val="22"/>
        </w:rPr>
        <w:t>it is written</w:t>
      </w:r>
      <w:r w:rsidR="005D74CB" w:rsidRPr="000E2B5A">
        <w:rPr>
          <w:rFonts w:ascii="Garamond" w:hAnsi="Garamond"/>
          <w:sz w:val="22"/>
          <w:szCs w:val="22"/>
        </w:rPr>
        <w:t>’</w:t>
      </w:r>
      <w:r w:rsidRPr="000E2B5A">
        <w:rPr>
          <w:rFonts w:ascii="Garamond" w:hAnsi="Garamond"/>
          <w:sz w:val="22"/>
          <w:szCs w:val="22"/>
        </w:rPr>
        <w:t xml:space="preserve"> does not </w:t>
      </w:r>
      <w:r w:rsidRPr="000E2B5A">
        <w:rPr>
          <w:rFonts w:ascii="Garamond" w:hAnsi="Garamond"/>
          <w:i/>
          <w:sz w:val="22"/>
          <w:szCs w:val="22"/>
        </w:rPr>
        <w:t>guarantee</w:t>
      </w:r>
      <w:r w:rsidRPr="000E2B5A">
        <w:rPr>
          <w:rFonts w:ascii="Garamond" w:hAnsi="Garamond"/>
          <w:sz w:val="22"/>
          <w:szCs w:val="22"/>
        </w:rPr>
        <w:t xml:space="preserve"> a literal reproduction of what was written.  Although, in their literal form they are not so introduced, nevertheless, so close is their correspondence to Deut 19:15 that they depend (with, or without the confirmation of J</w:t>
      </w:r>
      <w:r w:rsidR="0078388E" w:rsidRPr="000E2B5A">
        <w:rPr>
          <w:rFonts w:ascii="Garamond" w:hAnsi="Garamond"/>
          <w:sz w:val="22"/>
          <w:szCs w:val="22"/>
        </w:rPr>
        <w:t>oh</w:t>
      </w:r>
      <w:r w:rsidRPr="000E2B5A">
        <w:rPr>
          <w:rFonts w:ascii="Garamond" w:hAnsi="Garamond"/>
          <w:sz w:val="22"/>
          <w:szCs w:val="22"/>
        </w:rPr>
        <w:t xml:space="preserve">n 8:17) on what is </w:t>
      </w:r>
      <w:r w:rsidRPr="000E2B5A">
        <w:rPr>
          <w:rFonts w:ascii="Garamond" w:hAnsi="Garamond"/>
          <w:i/>
          <w:sz w:val="22"/>
          <w:szCs w:val="22"/>
        </w:rPr>
        <w:t>written</w:t>
      </w:r>
      <w:r w:rsidRPr="000E2B5A">
        <w:rPr>
          <w:rFonts w:ascii="Garamond" w:hAnsi="Garamond"/>
          <w:sz w:val="22"/>
          <w:szCs w:val="22"/>
        </w:rPr>
        <w:t xml:space="preserve"> by inspiration in Deuteronomy. </w:t>
      </w:r>
    </w:p>
    <w:p w:rsidR="00E87803" w:rsidRPr="000E2B5A" w:rsidRDefault="00E87803" w:rsidP="00D3182B">
      <w:pPr>
        <w:pStyle w:val="DefaultText"/>
        <w:tabs>
          <w:tab w:val="left" w:pos="441"/>
        </w:tabs>
        <w:jc w:val="both"/>
        <w:rPr>
          <w:rFonts w:ascii="Garamond" w:hAnsi="Garamond"/>
          <w:sz w:val="22"/>
          <w:szCs w:val="22"/>
        </w:rPr>
      </w:pPr>
    </w:p>
    <w:p w:rsidR="00E87803" w:rsidRPr="000E2B5A" w:rsidRDefault="00E87803" w:rsidP="0078388E">
      <w:pPr>
        <w:pStyle w:val="DefaultText"/>
        <w:numPr>
          <w:ilvl w:val="0"/>
          <w:numId w:val="20"/>
        </w:numPr>
        <w:jc w:val="both"/>
        <w:rPr>
          <w:rFonts w:ascii="Garamond" w:hAnsi="Garamond"/>
          <w:sz w:val="22"/>
          <w:szCs w:val="22"/>
        </w:rPr>
      </w:pPr>
      <w:r w:rsidRPr="000E2B5A">
        <w:rPr>
          <w:rFonts w:ascii="Garamond" w:hAnsi="Garamond"/>
          <w:sz w:val="22"/>
          <w:szCs w:val="22"/>
        </w:rPr>
        <w:t>Since Jesus himself has used this near literal reproduction of Deut 19:15 in M</w:t>
      </w:r>
      <w:r w:rsidR="0078388E" w:rsidRPr="000E2B5A">
        <w:rPr>
          <w:rFonts w:ascii="Garamond" w:hAnsi="Garamond"/>
          <w:sz w:val="22"/>
          <w:szCs w:val="22"/>
        </w:rPr>
        <w:t>a</w:t>
      </w:r>
      <w:r w:rsidRPr="000E2B5A">
        <w:rPr>
          <w:rFonts w:ascii="Garamond" w:hAnsi="Garamond"/>
          <w:sz w:val="22"/>
          <w:szCs w:val="22"/>
        </w:rPr>
        <w:t>tt 18:16, and yet has not introduced it as he has in J</w:t>
      </w:r>
      <w:r w:rsidR="0078388E" w:rsidRPr="000E2B5A">
        <w:rPr>
          <w:rFonts w:ascii="Garamond" w:hAnsi="Garamond"/>
          <w:sz w:val="22"/>
          <w:szCs w:val="22"/>
        </w:rPr>
        <w:t>oh</w:t>
      </w:r>
      <w:r w:rsidRPr="000E2B5A">
        <w:rPr>
          <w:rFonts w:ascii="Garamond" w:hAnsi="Garamond"/>
          <w:sz w:val="22"/>
          <w:szCs w:val="22"/>
        </w:rPr>
        <w:t xml:space="preserve">n 8:17, this shows that the OT can be </w:t>
      </w:r>
      <w:r w:rsidRPr="000E2B5A">
        <w:rPr>
          <w:rFonts w:ascii="Garamond" w:hAnsi="Garamond"/>
          <w:i/>
          <w:sz w:val="22"/>
          <w:szCs w:val="22"/>
          <w:lang w:val="en-GB"/>
        </w:rPr>
        <w:t>recognised</w:t>
      </w:r>
      <w:r w:rsidRPr="000E2B5A">
        <w:rPr>
          <w:rFonts w:ascii="Garamond" w:hAnsi="Garamond"/>
          <w:sz w:val="22"/>
          <w:szCs w:val="22"/>
        </w:rPr>
        <w:t xml:space="preserve">, with or without some introductory phrasing (e.g. </w:t>
      </w:r>
      <w:r w:rsidR="005D74CB" w:rsidRPr="000E2B5A">
        <w:rPr>
          <w:rFonts w:ascii="Garamond" w:hAnsi="Garamond"/>
          <w:sz w:val="22"/>
          <w:szCs w:val="22"/>
        </w:rPr>
        <w:t>“</w:t>
      </w:r>
      <w:r w:rsidRPr="000E2B5A">
        <w:rPr>
          <w:rFonts w:ascii="Garamond" w:hAnsi="Garamond"/>
          <w:sz w:val="22"/>
          <w:szCs w:val="22"/>
        </w:rPr>
        <w:t>it is written</w:t>
      </w:r>
      <w:r w:rsidR="005D74CB" w:rsidRPr="000E2B5A">
        <w:rPr>
          <w:rFonts w:ascii="Garamond" w:hAnsi="Garamond"/>
          <w:sz w:val="22"/>
          <w:szCs w:val="22"/>
        </w:rPr>
        <w:t>”</w:t>
      </w:r>
      <w:r w:rsidRPr="000E2B5A">
        <w:rPr>
          <w:rFonts w:ascii="Garamond" w:hAnsi="Garamond"/>
          <w:sz w:val="22"/>
          <w:szCs w:val="22"/>
        </w:rPr>
        <w:t>).</w:t>
      </w:r>
    </w:p>
    <w:p w:rsidR="0078388E" w:rsidRPr="000E2B5A" w:rsidRDefault="0078388E" w:rsidP="0078388E">
      <w:pPr>
        <w:pStyle w:val="DefaultText"/>
        <w:jc w:val="both"/>
        <w:rPr>
          <w:rFonts w:ascii="Garamond" w:hAnsi="Garamond"/>
          <w:sz w:val="22"/>
          <w:szCs w:val="22"/>
        </w:rPr>
      </w:pPr>
    </w:p>
    <w:p w:rsidR="00E87803" w:rsidRPr="000E2B5A" w:rsidRDefault="00E87803" w:rsidP="00D3182B">
      <w:pPr>
        <w:pStyle w:val="DefaultText"/>
        <w:numPr>
          <w:ilvl w:val="0"/>
          <w:numId w:val="20"/>
        </w:numPr>
        <w:tabs>
          <w:tab w:val="clear" w:pos="435"/>
          <w:tab w:val="left" w:pos="441"/>
        </w:tabs>
        <w:jc w:val="both"/>
        <w:rPr>
          <w:rFonts w:ascii="Garamond" w:hAnsi="Garamond"/>
          <w:sz w:val="22"/>
          <w:szCs w:val="22"/>
        </w:rPr>
      </w:pPr>
      <w:r w:rsidRPr="000E2B5A">
        <w:rPr>
          <w:rFonts w:ascii="Garamond" w:hAnsi="Garamond"/>
          <w:sz w:val="22"/>
          <w:szCs w:val="22"/>
        </w:rPr>
        <w:t>The differences between these two NT passages (M</w:t>
      </w:r>
      <w:r w:rsidR="0078388E" w:rsidRPr="000E2B5A">
        <w:rPr>
          <w:rFonts w:ascii="Garamond" w:hAnsi="Garamond"/>
          <w:sz w:val="22"/>
          <w:szCs w:val="22"/>
        </w:rPr>
        <w:t>a</w:t>
      </w:r>
      <w:r w:rsidRPr="000E2B5A">
        <w:rPr>
          <w:rFonts w:ascii="Garamond" w:hAnsi="Garamond"/>
          <w:sz w:val="22"/>
          <w:szCs w:val="22"/>
        </w:rPr>
        <w:t xml:space="preserve">tt 18:16 &amp; 2 Cor. 13:1) are informative. For, although in these two parallel cases the differences are small, such, or wider, variations are typical of many NT quotations including other parallel quotations.  </w:t>
      </w:r>
    </w:p>
    <w:p w:rsidR="00E87803" w:rsidRPr="000E2B5A" w:rsidRDefault="00E87803" w:rsidP="0078388E">
      <w:pPr>
        <w:rPr>
          <w:sz w:val="22"/>
        </w:rPr>
      </w:pPr>
    </w:p>
    <w:p w:rsidR="00E87803" w:rsidRPr="000E2B5A" w:rsidRDefault="00E87803" w:rsidP="0078388E">
      <w:pPr>
        <w:pStyle w:val="DefaultText"/>
        <w:tabs>
          <w:tab w:val="left" w:pos="441"/>
        </w:tabs>
        <w:ind w:left="435"/>
        <w:jc w:val="both"/>
        <w:rPr>
          <w:rFonts w:ascii="Garamond" w:hAnsi="Garamond"/>
          <w:b/>
          <w:sz w:val="22"/>
          <w:szCs w:val="22"/>
        </w:rPr>
      </w:pPr>
      <w:r w:rsidRPr="000E2B5A">
        <w:rPr>
          <w:rFonts w:ascii="Garamond" w:hAnsi="Garamond"/>
          <w:sz w:val="22"/>
          <w:szCs w:val="22"/>
        </w:rPr>
        <w:t xml:space="preserve">The significant point is, that being divergent from each other, and neither being an exact copy of their OT source, nothing doubtful can fairly be attributed to the OT source itself.  Inaccuracy, textual error, or misquotation, are not relevant issues.  </w:t>
      </w:r>
      <w:r w:rsidR="005D74CB" w:rsidRPr="000E2B5A">
        <w:rPr>
          <w:rFonts w:ascii="Garamond" w:hAnsi="Garamond"/>
          <w:sz w:val="22"/>
          <w:szCs w:val="22"/>
        </w:rPr>
        <w:t>‘</w:t>
      </w:r>
      <w:r w:rsidRPr="000E2B5A">
        <w:rPr>
          <w:rFonts w:ascii="Garamond" w:hAnsi="Garamond"/>
          <w:sz w:val="22"/>
          <w:szCs w:val="22"/>
        </w:rPr>
        <w:t>Complementary difference</w:t>
      </w:r>
      <w:r w:rsidR="005D74CB" w:rsidRPr="000E2B5A">
        <w:rPr>
          <w:rFonts w:ascii="Garamond" w:hAnsi="Garamond"/>
          <w:sz w:val="22"/>
          <w:szCs w:val="22"/>
        </w:rPr>
        <w:t>’</w:t>
      </w:r>
      <w:r w:rsidRPr="000E2B5A">
        <w:rPr>
          <w:rFonts w:ascii="Garamond" w:hAnsi="Garamond"/>
          <w:sz w:val="22"/>
          <w:szCs w:val="22"/>
        </w:rPr>
        <w:t xml:space="preserve"> is rather the case.</w:t>
      </w:r>
      <w:r w:rsidR="0078388E" w:rsidRPr="000E2B5A">
        <w:rPr>
          <w:rFonts w:ascii="Garamond" w:hAnsi="Garamond"/>
          <w:sz w:val="22"/>
          <w:szCs w:val="22"/>
        </w:rPr>
        <w:t xml:space="preserve"> T</w:t>
      </w:r>
      <w:r w:rsidRPr="000E2B5A">
        <w:rPr>
          <w:rFonts w:ascii="Garamond" w:hAnsi="Garamond"/>
          <w:sz w:val="22"/>
          <w:szCs w:val="22"/>
        </w:rPr>
        <w:t>his deals with doubtful questions about the Hebrew Bible and whether</w:t>
      </w:r>
      <w:r w:rsidR="006D35B6" w:rsidRPr="000E2B5A">
        <w:rPr>
          <w:rFonts w:ascii="Garamond" w:hAnsi="Garamond"/>
          <w:sz w:val="22"/>
          <w:szCs w:val="22"/>
        </w:rPr>
        <w:t>,</w:t>
      </w:r>
      <w:r w:rsidRPr="000E2B5A">
        <w:rPr>
          <w:rFonts w:ascii="Garamond" w:hAnsi="Garamond"/>
          <w:sz w:val="22"/>
          <w:szCs w:val="22"/>
        </w:rPr>
        <w:t xml:space="preserve"> where the NT diverges from it</w:t>
      </w:r>
      <w:r w:rsidR="006D35B6" w:rsidRPr="000E2B5A">
        <w:rPr>
          <w:rFonts w:ascii="Garamond" w:hAnsi="Garamond"/>
          <w:sz w:val="22"/>
          <w:szCs w:val="22"/>
        </w:rPr>
        <w:t>,</w:t>
      </w:r>
      <w:r w:rsidRPr="000E2B5A">
        <w:rPr>
          <w:rFonts w:ascii="Garamond" w:hAnsi="Garamond"/>
          <w:sz w:val="22"/>
          <w:szCs w:val="22"/>
        </w:rPr>
        <w:t xml:space="preserve"> the MT is the source of the quotation.  </w:t>
      </w:r>
      <w:r w:rsidR="006D35B6" w:rsidRPr="000E2B5A">
        <w:rPr>
          <w:rFonts w:ascii="Garamond" w:hAnsi="Garamond"/>
          <w:sz w:val="22"/>
          <w:szCs w:val="22"/>
        </w:rPr>
        <w:t>T</w:t>
      </w:r>
      <w:r w:rsidRPr="000E2B5A">
        <w:rPr>
          <w:rFonts w:ascii="Garamond" w:hAnsi="Garamond"/>
          <w:sz w:val="22"/>
          <w:szCs w:val="22"/>
        </w:rPr>
        <w:t xml:space="preserve">his </w:t>
      </w:r>
      <w:r w:rsidR="006D35B6" w:rsidRPr="000E2B5A">
        <w:rPr>
          <w:rFonts w:ascii="Garamond" w:hAnsi="Garamond"/>
          <w:sz w:val="22"/>
          <w:szCs w:val="22"/>
        </w:rPr>
        <w:t>example</w:t>
      </w:r>
      <w:r w:rsidRPr="000E2B5A">
        <w:rPr>
          <w:rFonts w:ascii="Garamond" w:hAnsi="Garamond"/>
          <w:sz w:val="22"/>
          <w:szCs w:val="22"/>
        </w:rPr>
        <w:t xml:space="preserve"> does not prove that another Hebrew text</w:t>
      </w:r>
      <w:r w:rsidR="006D35B6" w:rsidRPr="000E2B5A">
        <w:rPr>
          <w:rFonts w:ascii="Garamond" w:hAnsi="Garamond"/>
          <w:sz w:val="22"/>
          <w:szCs w:val="22"/>
        </w:rPr>
        <w:t>,</w:t>
      </w:r>
      <w:r w:rsidRPr="000E2B5A">
        <w:rPr>
          <w:rFonts w:ascii="Garamond" w:hAnsi="Garamond"/>
          <w:sz w:val="22"/>
          <w:szCs w:val="22"/>
        </w:rPr>
        <w:t xml:space="preserve"> not now extant</w:t>
      </w:r>
      <w:r w:rsidR="006D35B6" w:rsidRPr="000E2B5A">
        <w:rPr>
          <w:rFonts w:ascii="Garamond" w:hAnsi="Garamond"/>
          <w:sz w:val="22"/>
          <w:szCs w:val="22"/>
        </w:rPr>
        <w:t>,</w:t>
      </w:r>
      <w:r w:rsidRPr="000E2B5A">
        <w:rPr>
          <w:rFonts w:ascii="Garamond" w:hAnsi="Garamond"/>
          <w:sz w:val="22"/>
          <w:szCs w:val="22"/>
        </w:rPr>
        <w:t xml:space="preserve"> is the source cited verbatim by NT.  Both NT parallel passages include (simple) differences, </w:t>
      </w:r>
      <w:r w:rsidR="002D507F" w:rsidRPr="000E2B5A">
        <w:rPr>
          <w:rFonts w:ascii="Garamond" w:hAnsi="Garamond"/>
          <w:sz w:val="22"/>
          <w:szCs w:val="22"/>
        </w:rPr>
        <w:t>and we can ask</w:t>
      </w:r>
      <w:r w:rsidRPr="000E2B5A">
        <w:rPr>
          <w:rFonts w:ascii="Garamond" w:hAnsi="Garamond"/>
          <w:sz w:val="22"/>
          <w:szCs w:val="22"/>
        </w:rPr>
        <w:t xml:space="preserve"> </w:t>
      </w:r>
      <w:r w:rsidR="002D507F" w:rsidRPr="000E2B5A">
        <w:rPr>
          <w:rFonts w:ascii="Garamond" w:hAnsi="Garamond"/>
          <w:sz w:val="22"/>
          <w:szCs w:val="22"/>
        </w:rPr>
        <w:t xml:space="preserve">that </w:t>
      </w:r>
      <w:r w:rsidRPr="000E2B5A">
        <w:rPr>
          <w:rFonts w:ascii="Garamond" w:hAnsi="Garamond"/>
          <w:sz w:val="22"/>
          <w:szCs w:val="22"/>
        </w:rPr>
        <w:t xml:space="preserve">if neither is from </w:t>
      </w:r>
      <w:r w:rsidR="006D35B6" w:rsidRPr="000E2B5A">
        <w:rPr>
          <w:rFonts w:ascii="Garamond" w:hAnsi="Garamond"/>
          <w:sz w:val="22"/>
          <w:szCs w:val="22"/>
        </w:rPr>
        <w:t xml:space="preserve">the </w:t>
      </w:r>
      <w:r w:rsidRPr="000E2B5A">
        <w:rPr>
          <w:rFonts w:ascii="Garamond" w:hAnsi="Garamond"/>
          <w:sz w:val="22"/>
          <w:szCs w:val="22"/>
        </w:rPr>
        <w:t>M</w:t>
      </w:r>
      <w:r w:rsidR="006D35B6" w:rsidRPr="000E2B5A">
        <w:rPr>
          <w:rFonts w:ascii="Garamond" w:hAnsi="Garamond"/>
          <w:sz w:val="22"/>
          <w:szCs w:val="22"/>
        </w:rPr>
        <w:t>T</w:t>
      </w:r>
      <w:r w:rsidR="002D507F" w:rsidRPr="000E2B5A">
        <w:rPr>
          <w:rFonts w:ascii="Garamond" w:hAnsi="Garamond"/>
          <w:sz w:val="22"/>
          <w:szCs w:val="22"/>
        </w:rPr>
        <w:t>,</w:t>
      </w:r>
      <w:r w:rsidRPr="000E2B5A">
        <w:rPr>
          <w:rFonts w:ascii="Garamond" w:hAnsi="Garamond"/>
          <w:sz w:val="22"/>
          <w:szCs w:val="22"/>
        </w:rPr>
        <w:t xml:space="preserve"> which </w:t>
      </w:r>
      <w:r w:rsidR="006D35B6" w:rsidRPr="000E2B5A">
        <w:rPr>
          <w:rFonts w:ascii="Garamond" w:hAnsi="Garamond"/>
          <w:sz w:val="22"/>
          <w:szCs w:val="22"/>
        </w:rPr>
        <w:t>of the texts</w:t>
      </w:r>
      <w:r w:rsidRPr="000E2B5A">
        <w:rPr>
          <w:rFonts w:ascii="Garamond" w:hAnsi="Garamond"/>
          <w:sz w:val="22"/>
          <w:szCs w:val="22"/>
        </w:rPr>
        <w:t xml:space="preserve"> is drawing on some non-extant Hebrew text? </w:t>
      </w:r>
      <w:r w:rsidRPr="000E2B5A">
        <w:rPr>
          <w:rFonts w:ascii="Garamond" w:hAnsi="Garamond"/>
          <w:b/>
          <w:sz w:val="22"/>
          <w:szCs w:val="22"/>
        </w:rPr>
        <w:t xml:space="preserve">More extreme NT quotational differences reinforce this kind of evidence and leave objectors to </w:t>
      </w:r>
      <w:r w:rsidR="006D35B6" w:rsidRPr="000E2B5A">
        <w:rPr>
          <w:rFonts w:ascii="Garamond" w:hAnsi="Garamond"/>
          <w:b/>
          <w:sz w:val="22"/>
          <w:szCs w:val="22"/>
        </w:rPr>
        <w:t xml:space="preserve">the </w:t>
      </w:r>
      <w:r w:rsidRPr="000E2B5A">
        <w:rPr>
          <w:rFonts w:ascii="Garamond" w:hAnsi="Garamond"/>
          <w:b/>
          <w:sz w:val="22"/>
          <w:szCs w:val="22"/>
        </w:rPr>
        <w:t>MT without a credible case.  Where are we told quotations have to be verbatim?</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ind w:left="426" w:hanging="426"/>
        <w:jc w:val="both"/>
        <w:rPr>
          <w:rFonts w:ascii="Garamond" w:hAnsi="Garamond"/>
          <w:sz w:val="22"/>
          <w:szCs w:val="22"/>
        </w:rPr>
      </w:pPr>
      <w:r w:rsidRPr="000E2B5A">
        <w:rPr>
          <w:rFonts w:ascii="Garamond" w:hAnsi="Garamond"/>
          <w:sz w:val="22"/>
          <w:szCs w:val="22"/>
        </w:rPr>
        <w:t xml:space="preserve">(e) These differences help us to understand, or have access to, how Scriptural meaning operates.   </w:t>
      </w:r>
      <w:r w:rsidR="000E293E" w:rsidRPr="000E2B5A">
        <w:rPr>
          <w:rFonts w:ascii="Garamond" w:hAnsi="Garamond"/>
          <w:sz w:val="22"/>
          <w:szCs w:val="22"/>
        </w:rPr>
        <w:t>W</w:t>
      </w:r>
      <w:r w:rsidRPr="000E2B5A">
        <w:rPr>
          <w:rFonts w:ascii="Garamond" w:hAnsi="Garamond"/>
          <w:sz w:val="22"/>
          <w:szCs w:val="22"/>
        </w:rPr>
        <w:t xml:space="preserve">ith the variation </w:t>
      </w:r>
      <w:r w:rsidR="005D74CB" w:rsidRPr="000E2B5A">
        <w:rPr>
          <w:rFonts w:ascii="Garamond" w:hAnsi="Garamond"/>
          <w:sz w:val="22"/>
          <w:szCs w:val="22"/>
        </w:rPr>
        <w:t>‘</w:t>
      </w:r>
      <w:r w:rsidRPr="000E2B5A">
        <w:rPr>
          <w:rFonts w:ascii="Garamond" w:hAnsi="Garamond"/>
          <w:sz w:val="22"/>
          <w:szCs w:val="22"/>
        </w:rPr>
        <w:t>and</w:t>
      </w:r>
      <w:r w:rsidR="005D74CB" w:rsidRPr="000E2B5A">
        <w:rPr>
          <w:rFonts w:ascii="Garamond" w:hAnsi="Garamond"/>
          <w:sz w:val="22"/>
          <w:szCs w:val="22"/>
        </w:rPr>
        <w:t>’</w:t>
      </w:r>
      <w:r w:rsidRPr="000E2B5A">
        <w:rPr>
          <w:rFonts w:ascii="Garamond" w:hAnsi="Garamond"/>
          <w:sz w:val="22"/>
          <w:szCs w:val="22"/>
        </w:rPr>
        <w:t xml:space="preserve"> and </w:t>
      </w:r>
      <w:r w:rsidR="005D74CB" w:rsidRPr="000E2B5A">
        <w:rPr>
          <w:rFonts w:ascii="Garamond" w:hAnsi="Garamond"/>
          <w:sz w:val="22"/>
          <w:szCs w:val="22"/>
        </w:rPr>
        <w:t>‘</w:t>
      </w:r>
      <w:r w:rsidR="000E293E" w:rsidRPr="000E2B5A">
        <w:rPr>
          <w:rFonts w:ascii="Garamond" w:hAnsi="Garamond"/>
          <w:sz w:val="22"/>
          <w:szCs w:val="22"/>
        </w:rPr>
        <w:t>or</w:t>
      </w:r>
      <w:r w:rsidR="005D74CB" w:rsidRPr="000E2B5A">
        <w:rPr>
          <w:rFonts w:ascii="Garamond" w:hAnsi="Garamond"/>
          <w:sz w:val="22"/>
          <w:szCs w:val="22"/>
        </w:rPr>
        <w:t>’</w:t>
      </w:r>
      <w:r w:rsidR="000E293E" w:rsidRPr="000E2B5A">
        <w:rPr>
          <w:rFonts w:ascii="Garamond" w:hAnsi="Garamond"/>
          <w:sz w:val="22"/>
          <w:szCs w:val="22"/>
        </w:rPr>
        <w:t>,</w:t>
      </w:r>
      <w:r w:rsidRPr="000E2B5A">
        <w:rPr>
          <w:rFonts w:ascii="Garamond" w:hAnsi="Garamond"/>
          <w:sz w:val="22"/>
          <w:szCs w:val="22"/>
        </w:rPr>
        <w:t xml:space="preserve"> it is simply that their meaning, or function, </w:t>
      </w:r>
      <w:r w:rsidR="000E293E" w:rsidRPr="000E2B5A">
        <w:rPr>
          <w:rFonts w:ascii="Garamond" w:hAnsi="Garamond"/>
          <w:sz w:val="22"/>
          <w:szCs w:val="22"/>
        </w:rPr>
        <w:t>is (logically) included. The ‘or’ in Deut 1</w:t>
      </w:r>
      <w:r w:rsidRPr="000E2B5A">
        <w:rPr>
          <w:rFonts w:ascii="Garamond" w:hAnsi="Garamond"/>
          <w:sz w:val="22"/>
          <w:szCs w:val="22"/>
        </w:rPr>
        <w:t>9:15 and M</w:t>
      </w:r>
      <w:r w:rsidR="000E293E" w:rsidRPr="000E2B5A">
        <w:rPr>
          <w:rFonts w:ascii="Garamond" w:hAnsi="Garamond"/>
          <w:sz w:val="22"/>
          <w:szCs w:val="22"/>
        </w:rPr>
        <w:t>a</w:t>
      </w:r>
      <w:r w:rsidRPr="000E2B5A">
        <w:rPr>
          <w:rFonts w:ascii="Garamond" w:hAnsi="Garamond"/>
          <w:sz w:val="22"/>
          <w:szCs w:val="22"/>
        </w:rPr>
        <w:t>tt 18:16 d</w:t>
      </w:r>
      <w:r w:rsidR="000E293E" w:rsidRPr="000E2B5A">
        <w:rPr>
          <w:rFonts w:ascii="Garamond" w:hAnsi="Garamond"/>
          <w:sz w:val="22"/>
          <w:szCs w:val="22"/>
        </w:rPr>
        <w:t>oes not limit the number to two;</w:t>
      </w:r>
      <w:r w:rsidRPr="000E2B5A">
        <w:rPr>
          <w:rFonts w:ascii="Garamond" w:hAnsi="Garamond"/>
          <w:sz w:val="22"/>
          <w:szCs w:val="22"/>
        </w:rPr>
        <w:t xml:space="preserve"> this is the legal minimum.  The</w:t>
      </w:r>
      <w:r w:rsidR="000E293E" w:rsidRPr="000E2B5A">
        <w:rPr>
          <w:rFonts w:ascii="Garamond" w:hAnsi="Garamond"/>
          <w:sz w:val="22"/>
          <w:szCs w:val="22"/>
        </w:rPr>
        <w:t>re is provision for three as well as</w:t>
      </w:r>
      <w:r w:rsidRPr="000E2B5A">
        <w:rPr>
          <w:rFonts w:ascii="Garamond" w:hAnsi="Garamond"/>
          <w:sz w:val="22"/>
          <w:szCs w:val="22"/>
        </w:rPr>
        <w:t xml:space="preserve"> two. Thus</w:t>
      </w:r>
      <w:r w:rsidR="000E293E" w:rsidRPr="000E2B5A">
        <w:rPr>
          <w:rFonts w:ascii="Garamond" w:hAnsi="Garamond"/>
          <w:sz w:val="22"/>
          <w:szCs w:val="22"/>
        </w:rPr>
        <w:t>,</w:t>
      </w:r>
      <w:r w:rsidRPr="000E2B5A">
        <w:rPr>
          <w:rFonts w:ascii="Garamond" w:hAnsi="Garamond"/>
          <w:sz w:val="22"/>
          <w:szCs w:val="22"/>
        </w:rPr>
        <w:t xml:space="preserve"> 2 Cor.13:1</w:t>
      </w:r>
      <w:r w:rsidR="005D74CB" w:rsidRPr="000E2B5A">
        <w:rPr>
          <w:rFonts w:ascii="Garamond" w:hAnsi="Garamond"/>
          <w:sz w:val="22"/>
          <w:szCs w:val="22"/>
        </w:rPr>
        <w:t>’</w:t>
      </w:r>
      <w:r w:rsidRPr="000E2B5A">
        <w:rPr>
          <w:rFonts w:ascii="Garamond" w:hAnsi="Garamond"/>
          <w:sz w:val="22"/>
          <w:szCs w:val="22"/>
        </w:rPr>
        <w:t xml:space="preserve">s </w:t>
      </w:r>
      <w:r w:rsidR="005D74CB" w:rsidRPr="000E2B5A">
        <w:rPr>
          <w:rFonts w:ascii="Garamond" w:hAnsi="Garamond"/>
          <w:sz w:val="22"/>
          <w:szCs w:val="22"/>
        </w:rPr>
        <w:t>‘</w:t>
      </w:r>
      <w:r w:rsidRPr="000E2B5A">
        <w:rPr>
          <w:rFonts w:ascii="Garamond" w:hAnsi="Garamond"/>
          <w:sz w:val="22"/>
          <w:szCs w:val="22"/>
        </w:rPr>
        <w:t>or</w:t>
      </w:r>
      <w:r w:rsidR="005D74CB" w:rsidRPr="000E2B5A">
        <w:rPr>
          <w:rFonts w:ascii="Garamond" w:hAnsi="Garamond"/>
          <w:sz w:val="22"/>
          <w:szCs w:val="22"/>
        </w:rPr>
        <w:t>’</w:t>
      </w:r>
      <w:r w:rsidRPr="000E2B5A">
        <w:rPr>
          <w:rFonts w:ascii="Garamond" w:hAnsi="Garamond"/>
          <w:sz w:val="22"/>
          <w:szCs w:val="22"/>
        </w:rPr>
        <w:t xml:space="preserve"> has an inclusive (</w:t>
      </w:r>
      <w:r w:rsidR="005D74CB" w:rsidRPr="000E2B5A">
        <w:rPr>
          <w:rFonts w:ascii="Garamond" w:hAnsi="Garamond"/>
          <w:sz w:val="22"/>
          <w:szCs w:val="22"/>
        </w:rPr>
        <w:t>‘</w:t>
      </w:r>
      <w:r w:rsidRPr="000E2B5A">
        <w:rPr>
          <w:rFonts w:ascii="Garamond" w:hAnsi="Garamond"/>
          <w:sz w:val="22"/>
          <w:szCs w:val="22"/>
        </w:rPr>
        <w:t>and</w:t>
      </w:r>
      <w:r w:rsidR="005D74CB" w:rsidRPr="000E2B5A">
        <w:rPr>
          <w:rFonts w:ascii="Garamond" w:hAnsi="Garamond"/>
          <w:sz w:val="22"/>
          <w:szCs w:val="22"/>
        </w:rPr>
        <w:t>’</w:t>
      </w:r>
      <w:r w:rsidRPr="000E2B5A">
        <w:rPr>
          <w:rFonts w:ascii="Garamond" w:hAnsi="Garamond"/>
          <w:sz w:val="22"/>
          <w:szCs w:val="22"/>
        </w:rPr>
        <w:t>) rather than an exclusive (</w:t>
      </w:r>
      <w:r w:rsidR="005D74CB" w:rsidRPr="000E2B5A">
        <w:rPr>
          <w:rFonts w:ascii="Garamond" w:hAnsi="Garamond"/>
          <w:sz w:val="22"/>
          <w:szCs w:val="22"/>
        </w:rPr>
        <w:t>‘</w:t>
      </w:r>
      <w:r w:rsidRPr="000E2B5A">
        <w:rPr>
          <w:rFonts w:ascii="Garamond" w:hAnsi="Garamond"/>
          <w:sz w:val="22"/>
          <w:szCs w:val="22"/>
        </w:rPr>
        <w:t>not both</w:t>
      </w:r>
      <w:r w:rsidR="005D74CB" w:rsidRPr="000E2B5A">
        <w:rPr>
          <w:rFonts w:ascii="Garamond" w:hAnsi="Garamond"/>
          <w:sz w:val="22"/>
          <w:szCs w:val="22"/>
        </w:rPr>
        <w:t>’</w:t>
      </w:r>
      <w:r w:rsidRPr="000E2B5A">
        <w:rPr>
          <w:rFonts w:ascii="Garamond" w:hAnsi="Garamond"/>
          <w:sz w:val="22"/>
          <w:szCs w:val="22"/>
        </w:rPr>
        <w:t>) sense:   two must apply, but so also can three (</w:t>
      </w:r>
      <w:r w:rsidR="000E293E" w:rsidRPr="000E2B5A">
        <w:rPr>
          <w:rFonts w:ascii="Garamond" w:hAnsi="Garamond"/>
          <w:sz w:val="22"/>
          <w:szCs w:val="22"/>
        </w:rPr>
        <w:t>and</w:t>
      </w:r>
      <w:r w:rsidRPr="000E2B5A">
        <w:rPr>
          <w:rFonts w:ascii="Garamond" w:hAnsi="Garamond"/>
          <w:sz w:val="22"/>
          <w:szCs w:val="22"/>
        </w:rPr>
        <w:t xml:space="preserve"> perhaps more).  This is </w:t>
      </w:r>
      <w:r w:rsidRPr="000E2B5A">
        <w:rPr>
          <w:rFonts w:ascii="Garamond" w:hAnsi="Garamond"/>
          <w:i/>
          <w:sz w:val="22"/>
          <w:szCs w:val="22"/>
        </w:rPr>
        <w:t>sense-for-sense</w:t>
      </w:r>
      <w:r w:rsidRPr="000E2B5A">
        <w:rPr>
          <w:rFonts w:ascii="Garamond" w:hAnsi="Garamond"/>
          <w:sz w:val="22"/>
          <w:szCs w:val="22"/>
        </w:rPr>
        <w:t xml:space="preserve">, rather than </w:t>
      </w:r>
      <w:r w:rsidRPr="000E2B5A">
        <w:rPr>
          <w:rFonts w:ascii="Garamond" w:hAnsi="Garamond"/>
          <w:i/>
          <w:sz w:val="22"/>
          <w:szCs w:val="22"/>
        </w:rPr>
        <w:t>word-for-word</w:t>
      </w:r>
      <w:r w:rsidRPr="000E2B5A">
        <w:rPr>
          <w:rFonts w:ascii="Garamond" w:hAnsi="Garamond"/>
          <w:sz w:val="22"/>
          <w:szCs w:val="22"/>
        </w:rPr>
        <w:t>, presentation.</w:t>
      </w:r>
    </w:p>
    <w:p w:rsidR="002D507F" w:rsidRPr="000E2B5A" w:rsidRDefault="002D507F" w:rsidP="00D3182B">
      <w:pPr>
        <w:pStyle w:val="DefaultText"/>
        <w:ind w:left="426" w:hanging="426"/>
        <w:jc w:val="both"/>
        <w:rPr>
          <w:rFonts w:ascii="Garamond" w:hAnsi="Garamond"/>
          <w:sz w:val="22"/>
          <w:szCs w:val="22"/>
        </w:rPr>
      </w:pPr>
    </w:p>
    <w:p w:rsidR="00E87803" w:rsidRPr="000E2B5A" w:rsidRDefault="00E87803" w:rsidP="00D3182B">
      <w:pPr>
        <w:pStyle w:val="DefaultText"/>
        <w:ind w:left="426"/>
        <w:jc w:val="both"/>
        <w:rPr>
          <w:rFonts w:ascii="Garamond" w:hAnsi="Garamond"/>
          <w:sz w:val="22"/>
          <w:szCs w:val="22"/>
        </w:rPr>
      </w:pPr>
      <w:r w:rsidRPr="000E2B5A">
        <w:rPr>
          <w:rFonts w:ascii="Garamond" w:hAnsi="Garamond"/>
          <w:sz w:val="22"/>
          <w:szCs w:val="22"/>
        </w:rPr>
        <w:t>The NT</w:t>
      </w:r>
      <w:r w:rsidR="005D74CB" w:rsidRPr="000E2B5A">
        <w:rPr>
          <w:rFonts w:ascii="Garamond" w:hAnsi="Garamond"/>
          <w:sz w:val="22"/>
          <w:szCs w:val="22"/>
        </w:rPr>
        <w:t>’</w:t>
      </w:r>
      <w:r w:rsidRPr="000E2B5A">
        <w:rPr>
          <w:rFonts w:ascii="Garamond" w:hAnsi="Garamond"/>
          <w:sz w:val="22"/>
          <w:szCs w:val="22"/>
        </w:rPr>
        <w:t xml:space="preserve">s addition of </w:t>
      </w:r>
      <w:r w:rsidR="005D74CB" w:rsidRPr="000E2B5A">
        <w:rPr>
          <w:rFonts w:ascii="Garamond" w:hAnsi="Garamond"/>
          <w:sz w:val="22"/>
          <w:szCs w:val="22"/>
        </w:rPr>
        <w:t>‘</w:t>
      </w:r>
      <w:r w:rsidRPr="000E2B5A">
        <w:rPr>
          <w:rFonts w:ascii="Garamond" w:hAnsi="Garamond"/>
          <w:sz w:val="22"/>
          <w:szCs w:val="22"/>
        </w:rPr>
        <w:t>every</w:t>
      </w:r>
      <w:r w:rsidR="005D74CB" w:rsidRPr="000E2B5A">
        <w:rPr>
          <w:rFonts w:ascii="Garamond" w:hAnsi="Garamond"/>
          <w:sz w:val="22"/>
          <w:szCs w:val="22"/>
        </w:rPr>
        <w:t>’</w:t>
      </w:r>
      <w:r w:rsidRPr="000E2B5A">
        <w:rPr>
          <w:rFonts w:ascii="Garamond" w:hAnsi="Garamond"/>
          <w:sz w:val="22"/>
          <w:szCs w:val="22"/>
        </w:rPr>
        <w:t xml:space="preserve"> attached to </w:t>
      </w:r>
      <w:r w:rsidR="005D74CB" w:rsidRPr="000E2B5A">
        <w:rPr>
          <w:rFonts w:ascii="Garamond" w:hAnsi="Garamond"/>
          <w:sz w:val="22"/>
          <w:szCs w:val="22"/>
        </w:rPr>
        <w:t>‘</w:t>
      </w:r>
      <w:r w:rsidRPr="000E2B5A">
        <w:rPr>
          <w:rFonts w:ascii="Garamond" w:hAnsi="Garamond"/>
          <w:sz w:val="22"/>
          <w:szCs w:val="22"/>
        </w:rPr>
        <w:t>word</w:t>
      </w:r>
      <w:r w:rsidR="005D74CB" w:rsidRPr="000E2B5A">
        <w:rPr>
          <w:rFonts w:ascii="Garamond" w:hAnsi="Garamond"/>
          <w:sz w:val="22"/>
          <w:szCs w:val="22"/>
        </w:rPr>
        <w:t>’</w:t>
      </w:r>
      <w:r w:rsidRPr="000E2B5A">
        <w:rPr>
          <w:rFonts w:ascii="Garamond" w:hAnsi="Garamond"/>
          <w:sz w:val="22"/>
          <w:szCs w:val="22"/>
        </w:rPr>
        <w:t xml:space="preserve"> makes explicit what is implicit in the OT Law.  </w:t>
      </w:r>
      <w:r w:rsidRPr="000E2B5A">
        <w:rPr>
          <w:rFonts w:ascii="Garamond" w:hAnsi="Garamond"/>
          <w:i/>
          <w:sz w:val="22"/>
          <w:szCs w:val="22"/>
        </w:rPr>
        <w:t>Each</w:t>
      </w:r>
      <w:r w:rsidRPr="000E2B5A">
        <w:rPr>
          <w:rFonts w:ascii="Garamond" w:hAnsi="Garamond"/>
          <w:sz w:val="22"/>
          <w:szCs w:val="22"/>
        </w:rPr>
        <w:t xml:space="preserve"> significant verbal component of the </w:t>
      </w:r>
      <w:r w:rsidR="002D507F" w:rsidRPr="000E2B5A">
        <w:rPr>
          <w:rFonts w:ascii="Garamond" w:hAnsi="Garamond"/>
          <w:sz w:val="22"/>
          <w:szCs w:val="22"/>
        </w:rPr>
        <w:t>W</w:t>
      </w:r>
      <w:r w:rsidRPr="000E2B5A">
        <w:rPr>
          <w:rFonts w:ascii="Garamond" w:hAnsi="Garamond"/>
          <w:sz w:val="22"/>
          <w:szCs w:val="22"/>
        </w:rPr>
        <w:t xml:space="preserve">ord, or statement, </w:t>
      </w:r>
      <w:r w:rsidRPr="000E2B5A">
        <w:rPr>
          <w:rFonts w:ascii="Garamond" w:hAnsi="Garamond"/>
          <w:sz w:val="22"/>
          <w:szCs w:val="22"/>
        </w:rPr>
        <w:lastRenderedPageBreak/>
        <w:t xml:space="preserve">expressed must </w:t>
      </w:r>
      <w:r w:rsidR="000E293E" w:rsidRPr="000E2B5A">
        <w:rPr>
          <w:rFonts w:ascii="Garamond" w:hAnsi="Garamond"/>
          <w:sz w:val="22"/>
          <w:szCs w:val="22"/>
        </w:rPr>
        <w:t>contribute to</w:t>
      </w:r>
      <w:r w:rsidRPr="000E2B5A">
        <w:rPr>
          <w:rFonts w:ascii="Garamond" w:hAnsi="Garamond"/>
          <w:sz w:val="22"/>
          <w:szCs w:val="22"/>
        </w:rPr>
        <w:t xml:space="preserve"> the same truth value.  </w:t>
      </w:r>
      <w:r w:rsidR="005D74CB" w:rsidRPr="000E2B5A">
        <w:rPr>
          <w:rFonts w:ascii="Garamond" w:hAnsi="Garamond"/>
          <w:sz w:val="22"/>
          <w:szCs w:val="22"/>
        </w:rPr>
        <w:t>‘</w:t>
      </w:r>
      <w:r w:rsidRPr="000E2B5A">
        <w:rPr>
          <w:rFonts w:ascii="Garamond" w:hAnsi="Garamond"/>
          <w:sz w:val="22"/>
          <w:szCs w:val="22"/>
        </w:rPr>
        <w:t>Word</w:t>
      </w:r>
      <w:r w:rsidR="005D74CB" w:rsidRPr="000E2B5A">
        <w:rPr>
          <w:rFonts w:ascii="Garamond" w:hAnsi="Garamond"/>
          <w:sz w:val="22"/>
          <w:szCs w:val="22"/>
        </w:rPr>
        <w:t>’</w:t>
      </w:r>
      <w:r w:rsidRPr="000E2B5A">
        <w:rPr>
          <w:rFonts w:ascii="Garamond" w:hAnsi="Garamond"/>
          <w:sz w:val="22"/>
          <w:szCs w:val="22"/>
        </w:rPr>
        <w:t xml:space="preserve"> (OT) is used for that which spoken, </w:t>
      </w:r>
      <w:r w:rsidR="005D74CB" w:rsidRPr="000E2B5A">
        <w:rPr>
          <w:rFonts w:ascii="Garamond" w:hAnsi="Garamond"/>
          <w:sz w:val="22"/>
          <w:szCs w:val="22"/>
        </w:rPr>
        <w:t>‘</w:t>
      </w:r>
      <w:r w:rsidRPr="000E2B5A">
        <w:rPr>
          <w:rFonts w:ascii="Garamond" w:hAnsi="Garamond"/>
          <w:sz w:val="22"/>
          <w:szCs w:val="22"/>
        </w:rPr>
        <w:t>every word</w:t>
      </w:r>
      <w:r w:rsidR="005D74CB" w:rsidRPr="000E2B5A">
        <w:rPr>
          <w:rFonts w:ascii="Garamond" w:hAnsi="Garamond"/>
          <w:sz w:val="22"/>
          <w:szCs w:val="22"/>
        </w:rPr>
        <w:t>’</w:t>
      </w:r>
      <w:r w:rsidRPr="000E2B5A">
        <w:rPr>
          <w:rFonts w:ascii="Garamond" w:hAnsi="Garamond"/>
          <w:sz w:val="22"/>
          <w:szCs w:val="22"/>
        </w:rPr>
        <w:t xml:space="preserve"> (NT) for each of its total verbal components.  The (whole) word stands if every constituent word stands. Thus, these lexical (word) differences do not produce contrary semantic (meaning) differences.  Even though these are less divergent parallel quotations, such minor features of variation are, in principle, instances of what can be termed </w:t>
      </w:r>
      <w:r w:rsidR="005D74CB" w:rsidRPr="000E2B5A">
        <w:rPr>
          <w:rFonts w:ascii="Garamond" w:hAnsi="Garamond"/>
          <w:sz w:val="22"/>
          <w:szCs w:val="22"/>
        </w:rPr>
        <w:t>‘</w:t>
      </w:r>
      <w:r w:rsidRPr="000E2B5A">
        <w:rPr>
          <w:rFonts w:ascii="Garamond" w:hAnsi="Garamond"/>
          <w:sz w:val="22"/>
          <w:szCs w:val="22"/>
        </w:rPr>
        <w:t>complementar</w:t>
      </w:r>
      <w:r w:rsidR="000E293E" w:rsidRPr="000E2B5A">
        <w:rPr>
          <w:rFonts w:ascii="Garamond" w:hAnsi="Garamond"/>
          <w:sz w:val="22"/>
          <w:szCs w:val="22"/>
        </w:rPr>
        <w:t>y difference</w:t>
      </w:r>
      <w:r w:rsidR="005D74CB" w:rsidRPr="000E2B5A">
        <w:rPr>
          <w:rFonts w:ascii="Garamond" w:hAnsi="Garamond"/>
          <w:sz w:val="22"/>
          <w:szCs w:val="22"/>
        </w:rPr>
        <w:t>’</w:t>
      </w:r>
      <w:r w:rsidR="000E293E" w:rsidRPr="000E2B5A">
        <w:rPr>
          <w:rFonts w:ascii="Garamond" w:hAnsi="Garamond"/>
          <w:sz w:val="22"/>
          <w:szCs w:val="22"/>
        </w:rPr>
        <w:t>.</w:t>
      </w:r>
      <w:r w:rsidRPr="000E2B5A">
        <w:rPr>
          <w:rFonts w:ascii="Garamond" w:hAnsi="Garamond"/>
          <w:sz w:val="22"/>
          <w:szCs w:val="22"/>
          <w:vertAlign w:val="superscript"/>
        </w:rPr>
        <w:footnoteReference w:id="27"/>
      </w:r>
      <w:r w:rsidRPr="000E2B5A">
        <w:rPr>
          <w:rFonts w:ascii="Garamond" w:hAnsi="Garamond"/>
          <w:sz w:val="22"/>
          <w:szCs w:val="22"/>
        </w:rPr>
        <w:t xml:space="preserve">    </w:t>
      </w:r>
    </w:p>
    <w:p w:rsidR="00E87803" w:rsidRPr="000E2B5A" w:rsidRDefault="00E87803" w:rsidP="00D3182B">
      <w:pPr>
        <w:pStyle w:val="DefaultText"/>
        <w:ind w:left="426"/>
        <w:jc w:val="both"/>
        <w:rPr>
          <w:rFonts w:ascii="Garamond" w:hAnsi="Garamond"/>
          <w:sz w:val="22"/>
          <w:szCs w:val="22"/>
        </w:rPr>
      </w:pPr>
    </w:p>
    <w:p w:rsidR="00E87803" w:rsidRPr="000E2B5A" w:rsidRDefault="00E87803" w:rsidP="000E293E">
      <w:pPr>
        <w:pStyle w:val="DefaultText"/>
        <w:rPr>
          <w:rFonts w:ascii="Garamond" w:hAnsi="Garamond"/>
          <w:sz w:val="22"/>
          <w:szCs w:val="22"/>
        </w:rPr>
      </w:pPr>
      <w:r w:rsidRPr="000E2B5A">
        <w:rPr>
          <w:rFonts w:ascii="Garamond" w:hAnsi="Garamond"/>
          <w:sz w:val="22"/>
          <w:szCs w:val="22"/>
        </w:rPr>
        <w:t xml:space="preserve">[B] </w:t>
      </w:r>
      <w:r w:rsidR="005D74CB" w:rsidRPr="000E2B5A">
        <w:rPr>
          <w:rFonts w:ascii="Garamond" w:hAnsi="Garamond"/>
          <w:sz w:val="22"/>
          <w:szCs w:val="22"/>
        </w:rPr>
        <w:t>“</w:t>
      </w:r>
      <w:r w:rsidRPr="000E2B5A">
        <w:rPr>
          <w:rFonts w:ascii="Garamond" w:hAnsi="Garamond"/>
          <w:sz w:val="22"/>
          <w:szCs w:val="22"/>
          <w:u w:val="single"/>
        </w:rPr>
        <w:t>The first, or great, commandment in the law</w:t>
      </w:r>
      <w:r w:rsidR="005D74CB" w:rsidRPr="000E2B5A">
        <w:rPr>
          <w:rFonts w:ascii="Garamond" w:hAnsi="Garamond"/>
          <w:sz w:val="22"/>
          <w:szCs w:val="22"/>
        </w:rPr>
        <w:t>”</w:t>
      </w:r>
    </w:p>
    <w:p w:rsidR="000E293E" w:rsidRPr="000E2B5A" w:rsidRDefault="000E293E" w:rsidP="000E293E">
      <w:pPr>
        <w:pStyle w:val="DefaultText"/>
        <w:rPr>
          <w:rFonts w:ascii="Garamond" w:hAnsi="Garamond"/>
          <w:sz w:val="22"/>
          <w:szCs w:val="22"/>
          <w:u w:val="single"/>
        </w:rPr>
      </w:pPr>
    </w:p>
    <w:p w:rsidR="000E293E" w:rsidRPr="000E2B5A" w:rsidRDefault="000E293E" w:rsidP="000E293E">
      <w:pPr>
        <w:pStyle w:val="DefaultText"/>
        <w:rPr>
          <w:rFonts w:ascii="Garamond" w:hAnsi="Garamond"/>
          <w:sz w:val="22"/>
          <w:szCs w:val="22"/>
          <w:u w:val="single"/>
        </w:rPr>
      </w:pPr>
      <w:r w:rsidRPr="000E2B5A">
        <w:rPr>
          <w:rFonts w:ascii="Garamond" w:hAnsi="Garamond"/>
          <w:sz w:val="22"/>
          <w:szCs w:val="22"/>
          <w:u w:val="single"/>
        </w:rPr>
        <w:t xml:space="preserve">Matthew </w:t>
      </w:r>
      <w:r w:rsidR="002D507F" w:rsidRPr="000E2B5A">
        <w:rPr>
          <w:rFonts w:ascii="Garamond" w:hAnsi="Garamond"/>
          <w:sz w:val="22"/>
          <w:szCs w:val="22"/>
          <w:u w:val="single"/>
        </w:rPr>
        <w:t>22:37</w:t>
      </w:r>
      <w:r w:rsidR="002B1875" w:rsidRPr="000E2B5A">
        <w:rPr>
          <w:rFonts w:ascii="Garamond" w:hAnsi="Garamond"/>
          <w:sz w:val="22"/>
          <w:szCs w:val="22"/>
          <w:u w:val="single"/>
        </w:rPr>
        <w:t>,</w:t>
      </w:r>
      <w:r w:rsidRPr="000E2B5A">
        <w:rPr>
          <w:rFonts w:ascii="Garamond" w:hAnsi="Garamond"/>
          <w:sz w:val="22"/>
          <w:szCs w:val="22"/>
          <w:u w:val="single"/>
        </w:rPr>
        <w:t xml:space="preserve"> Mark 12:30 </w:t>
      </w:r>
      <w:r w:rsidR="002B1875" w:rsidRPr="000E2B5A">
        <w:rPr>
          <w:rFonts w:ascii="Garamond" w:hAnsi="Garamond"/>
          <w:sz w:val="22"/>
          <w:szCs w:val="22"/>
          <w:u w:val="single"/>
        </w:rPr>
        <w:t xml:space="preserve">and Luke 10:27 </w:t>
      </w:r>
      <w:r w:rsidR="002D507F" w:rsidRPr="000E2B5A">
        <w:rPr>
          <w:rFonts w:ascii="Garamond" w:hAnsi="Garamond"/>
          <w:sz w:val="22"/>
          <w:szCs w:val="22"/>
          <w:u w:val="single"/>
        </w:rPr>
        <w:t>quoting</w:t>
      </w:r>
      <w:r w:rsidRPr="000E2B5A">
        <w:rPr>
          <w:rFonts w:ascii="Garamond" w:hAnsi="Garamond"/>
          <w:sz w:val="22"/>
          <w:szCs w:val="22"/>
          <w:u w:val="single"/>
        </w:rPr>
        <w:t xml:space="preserve"> Deut</w:t>
      </w:r>
      <w:r w:rsidR="002D507F" w:rsidRPr="000E2B5A">
        <w:rPr>
          <w:rFonts w:ascii="Garamond" w:hAnsi="Garamond"/>
          <w:sz w:val="22"/>
          <w:szCs w:val="22"/>
          <w:u w:val="single"/>
        </w:rPr>
        <w:t>eronomy</w:t>
      </w:r>
      <w:r w:rsidRPr="000E2B5A">
        <w:rPr>
          <w:rFonts w:ascii="Garamond" w:hAnsi="Garamond"/>
          <w:sz w:val="22"/>
          <w:szCs w:val="22"/>
          <w:u w:val="single"/>
        </w:rPr>
        <w:t xml:space="preserve"> 6:5</w:t>
      </w:r>
    </w:p>
    <w:p w:rsidR="000E293E" w:rsidRPr="000E2B5A" w:rsidRDefault="000E293E"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The quotation of Deut. 6:5, below, occurs in a parallel account in Matt</w:t>
      </w:r>
      <w:r w:rsidR="007E2A2C" w:rsidRPr="000E2B5A">
        <w:rPr>
          <w:rFonts w:ascii="Garamond" w:hAnsi="Garamond"/>
          <w:sz w:val="22"/>
          <w:szCs w:val="22"/>
        </w:rPr>
        <w:t>hew</w:t>
      </w:r>
      <w:r w:rsidRPr="000E2B5A">
        <w:rPr>
          <w:rFonts w:ascii="Garamond" w:hAnsi="Garamond"/>
          <w:sz w:val="22"/>
          <w:szCs w:val="22"/>
        </w:rPr>
        <w:t xml:space="preserve"> 22 </w:t>
      </w:r>
      <w:r w:rsidR="007E2A2C" w:rsidRPr="000E2B5A">
        <w:rPr>
          <w:rFonts w:ascii="Garamond" w:hAnsi="Garamond"/>
          <w:sz w:val="22"/>
          <w:szCs w:val="22"/>
        </w:rPr>
        <w:t>and</w:t>
      </w:r>
      <w:r w:rsidRPr="000E2B5A">
        <w:rPr>
          <w:rFonts w:ascii="Garamond" w:hAnsi="Garamond"/>
          <w:sz w:val="22"/>
          <w:szCs w:val="22"/>
        </w:rPr>
        <w:t xml:space="preserve"> M</w:t>
      </w:r>
      <w:r w:rsidR="007E2A2C" w:rsidRPr="000E2B5A">
        <w:rPr>
          <w:rFonts w:ascii="Garamond" w:hAnsi="Garamond"/>
          <w:sz w:val="22"/>
          <w:szCs w:val="22"/>
        </w:rPr>
        <w:t>ar</w:t>
      </w:r>
      <w:r w:rsidRPr="000E2B5A">
        <w:rPr>
          <w:rFonts w:ascii="Garamond" w:hAnsi="Garamond"/>
          <w:sz w:val="22"/>
          <w:szCs w:val="22"/>
        </w:rPr>
        <w:t>k 12.  This OT passage also occurs in L</w:t>
      </w:r>
      <w:r w:rsidR="007E2A2C" w:rsidRPr="000E2B5A">
        <w:rPr>
          <w:rFonts w:ascii="Garamond" w:hAnsi="Garamond"/>
          <w:sz w:val="22"/>
          <w:szCs w:val="22"/>
        </w:rPr>
        <w:t>uke</w:t>
      </w:r>
      <w:r w:rsidRPr="000E2B5A">
        <w:rPr>
          <w:rFonts w:ascii="Garamond" w:hAnsi="Garamond"/>
          <w:sz w:val="22"/>
          <w:szCs w:val="22"/>
        </w:rPr>
        <w:t xml:space="preserve"> 10:27, but not in L</w:t>
      </w:r>
      <w:r w:rsidR="007E2A2C" w:rsidRPr="000E2B5A">
        <w:rPr>
          <w:rFonts w:ascii="Garamond" w:hAnsi="Garamond"/>
          <w:sz w:val="22"/>
          <w:szCs w:val="22"/>
        </w:rPr>
        <w:t>uke</w:t>
      </w:r>
      <w:r w:rsidRPr="000E2B5A">
        <w:rPr>
          <w:rFonts w:ascii="Garamond" w:hAnsi="Garamond"/>
          <w:sz w:val="22"/>
          <w:szCs w:val="22"/>
        </w:rPr>
        <w:t xml:space="preserve"> 20, which appears to be parallel to M</w:t>
      </w:r>
      <w:r w:rsidR="007E2A2C" w:rsidRPr="000E2B5A">
        <w:rPr>
          <w:rFonts w:ascii="Garamond" w:hAnsi="Garamond"/>
          <w:sz w:val="22"/>
          <w:szCs w:val="22"/>
        </w:rPr>
        <w:t>a</w:t>
      </w:r>
      <w:r w:rsidRPr="000E2B5A">
        <w:rPr>
          <w:rFonts w:ascii="Garamond" w:hAnsi="Garamond"/>
          <w:sz w:val="22"/>
          <w:szCs w:val="22"/>
        </w:rPr>
        <w:t>tt</w:t>
      </w:r>
      <w:r w:rsidR="007E2A2C" w:rsidRPr="000E2B5A">
        <w:rPr>
          <w:rFonts w:ascii="Garamond" w:hAnsi="Garamond"/>
          <w:sz w:val="22"/>
          <w:szCs w:val="22"/>
        </w:rPr>
        <w:t>hew</w:t>
      </w:r>
      <w:r w:rsidRPr="000E2B5A">
        <w:rPr>
          <w:rFonts w:ascii="Garamond" w:hAnsi="Garamond"/>
          <w:sz w:val="22"/>
          <w:szCs w:val="22"/>
        </w:rPr>
        <w:t xml:space="preserve"> 22 </w:t>
      </w:r>
      <w:r w:rsidR="007E2A2C" w:rsidRPr="000E2B5A">
        <w:rPr>
          <w:rFonts w:ascii="Garamond" w:hAnsi="Garamond"/>
          <w:sz w:val="22"/>
          <w:szCs w:val="22"/>
        </w:rPr>
        <w:t>and</w:t>
      </w:r>
      <w:r w:rsidRPr="000E2B5A">
        <w:rPr>
          <w:rFonts w:ascii="Garamond" w:hAnsi="Garamond"/>
          <w:sz w:val="22"/>
          <w:szCs w:val="22"/>
        </w:rPr>
        <w:t xml:space="preserve"> M</w:t>
      </w:r>
      <w:r w:rsidR="007E2A2C" w:rsidRPr="000E2B5A">
        <w:rPr>
          <w:rFonts w:ascii="Garamond" w:hAnsi="Garamond"/>
          <w:sz w:val="22"/>
          <w:szCs w:val="22"/>
        </w:rPr>
        <w:t>ark</w:t>
      </w:r>
      <w:r w:rsidRPr="000E2B5A">
        <w:rPr>
          <w:rFonts w:ascii="Garamond" w:hAnsi="Garamond"/>
          <w:sz w:val="22"/>
          <w:szCs w:val="22"/>
        </w:rPr>
        <w:t xml:space="preserve"> 12.  </w:t>
      </w:r>
    </w:p>
    <w:p w:rsidR="00E87803" w:rsidRPr="000E2B5A" w:rsidRDefault="00E87803" w:rsidP="007E2A2C">
      <w:pPr>
        <w:pStyle w:val="DefaultText"/>
        <w:rPr>
          <w:rFonts w:ascii="Garamond" w:hAnsi="Garamond"/>
          <w:sz w:val="22"/>
          <w:szCs w:val="22"/>
        </w:rPr>
      </w:pPr>
    </w:p>
    <w:p w:rsidR="00E87803" w:rsidRPr="000E2B5A" w:rsidRDefault="00E87803" w:rsidP="00D3182B">
      <w:pPr>
        <w:pStyle w:val="DefaultText"/>
        <w:jc w:val="both"/>
        <w:rPr>
          <w:rFonts w:ascii="Garamond" w:hAnsi="Garamond"/>
          <w:i/>
          <w:sz w:val="22"/>
          <w:szCs w:val="22"/>
        </w:rPr>
      </w:pPr>
      <w:r w:rsidRPr="000E2B5A">
        <w:rPr>
          <w:rFonts w:ascii="Garamond" w:hAnsi="Garamond"/>
          <w:b/>
          <w:i/>
          <w:sz w:val="22"/>
          <w:szCs w:val="22"/>
        </w:rPr>
        <w:t>OT source cited in the NT</w:t>
      </w:r>
    </w:p>
    <w:p w:rsidR="007E2A2C" w:rsidRPr="000E2B5A" w:rsidRDefault="007E2A2C" w:rsidP="00D3182B">
      <w:pPr>
        <w:pStyle w:val="DefaultText"/>
        <w:tabs>
          <w:tab w:val="left" w:pos="1125"/>
        </w:tabs>
        <w:jc w:val="both"/>
        <w:rPr>
          <w:rFonts w:ascii="Garamond" w:hAnsi="Garamond"/>
          <w:sz w:val="22"/>
          <w:szCs w:val="22"/>
        </w:rPr>
      </w:pPr>
    </w:p>
    <w:p w:rsidR="00E87803" w:rsidRPr="000E2B5A" w:rsidRDefault="00E87803" w:rsidP="007E2A2C">
      <w:pPr>
        <w:pStyle w:val="DefaultText"/>
        <w:tabs>
          <w:tab w:val="left" w:pos="1125"/>
        </w:tabs>
        <w:jc w:val="both"/>
        <w:rPr>
          <w:rFonts w:ascii="Garamond" w:hAnsi="Garamond"/>
          <w:sz w:val="22"/>
          <w:szCs w:val="22"/>
        </w:rPr>
      </w:pPr>
      <w:r w:rsidRPr="000E2B5A">
        <w:rPr>
          <w:rFonts w:ascii="Garamond" w:hAnsi="Garamond"/>
          <w:sz w:val="22"/>
          <w:szCs w:val="22"/>
        </w:rPr>
        <w:t>Deut. 6:5   And thou shalt love the Lord thy God</w:t>
      </w:r>
      <w:r w:rsidRPr="000E2B5A">
        <w:rPr>
          <w:rFonts w:ascii="Garamond" w:hAnsi="Garamond"/>
          <w:b/>
          <w:sz w:val="22"/>
          <w:szCs w:val="22"/>
        </w:rPr>
        <w:t xml:space="preserve"> </w:t>
      </w:r>
      <w:r w:rsidRPr="000E2B5A">
        <w:rPr>
          <w:rFonts w:ascii="Garamond" w:hAnsi="Garamond"/>
          <w:sz w:val="22"/>
          <w:szCs w:val="22"/>
        </w:rPr>
        <w:t xml:space="preserve">with (or </w:t>
      </w:r>
      <w:r w:rsidR="005D74CB" w:rsidRPr="000E2B5A">
        <w:rPr>
          <w:rFonts w:ascii="Garamond" w:hAnsi="Garamond"/>
          <w:sz w:val="22"/>
          <w:szCs w:val="22"/>
        </w:rPr>
        <w:t>‘</w:t>
      </w:r>
      <w:r w:rsidRPr="000E2B5A">
        <w:rPr>
          <w:rFonts w:ascii="Garamond" w:hAnsi="Garamond"/>
          <w:sz w:val="22"/>
          <w:szCs w:val="22"/>
        </w:rPr>
        <w:t>in</w:t>
      </w:r>
      <w:r w:rsidR="005D74CB" w:rsidRPr="000E2B5A">
        <w:rPr>
          <w:rFonts w:ascii="Garamond" w:hAnsi="Garamond"/>
          <w:sz w:val="22"/>
          <w:szCs w:val="22"/>
        </w:rPr>
        <w:t>’</w:t>
      </w:r>
      <w:r w:rsidRPr="000E2B5A">
        <w:rPr>
          <w:rFonts w:ascii="Garamond" w:hAnsi="Garamond"/>
          <w:sz w:val="22"/>
          <w:szCs w:val="22"/>
        </w:rPr>
        <w:t xml:space="preserve">) all thine heart, and with (or </w:t>
      </w:r>
      <w:r w:rsidR="005D74CB" w:rsidRPr="000E2B5A">
        <w:rPr>
          <w:rFonts w:ascii="Garamond" w:hAnsi="Garamond"/>
          <w:sz w:val="22"/>
          <w:szCs w:val="22"/>
        </w:rPr>
        <w:t>‘</w:t>
      </w:r>
      <w:r w:rsidRPr="000E2B5A">
        <w:rPr>
          <w:rFonts w:ascii="Garamond" w:hAnsi="Garamond"/>
          <w:sz w:val="22"/>
          <w:szCs w:val="22"/>
        </w:rPr>
        <w:t>in</w:t>
      </w:r>
      <w:r w:rsidR="005D74CB" w:rsidRPr="000E2B5A">
        <w:rPr>
          <w:rFonts w:ascii="Garamond" w:hAnsi="Garamond"/>
          <w:sz w:val="22"/>
          <w:szCs w:val="22"/>
        </w:rPr>
        <w:t>’</w:t>
      </w:r>
      <w:r w:rsidRPr="000E2B5A">
        <w:rPr>
          <w:rFonts w:ascii="Garamond" w:hAnsi="Garamond"/>
          <w:sz w:val="22"/>
          <w:szCs w:val="22"/>
        </w:rPr>
        <w:t>) all thy soul</w:t>
      </w:r>
      <w:r w:rsidR="007E2A2C" w:rsidRPr="000E2B5A">
        <w:rPr>
          <w:rFonts w:ascii="Garamond" w:hAnsi="Garamond"/>
          <w:sz w:val="22"/>
          <w:szCs w:val="22"/>
        </w:rPr>
        <w:t>, and</w:t>
      </w:r>
      <w:r w:rsidRPr="000E2B5A">
        <w:rPr>
          <w:rFonts w:ascii="Garamond" w:hAnsi="Garamond"/>
          <w:sz w:val="22"/>
          <w:szCs w:val="22"/>
        </w:rPr>
        <w:t xml:space="preserve"> with (or </w:t>
      </w:r>
      <w:r w:rsidR="005D74CB" w:rsidRPr="000E2B5A">
        <w:rPr>
          <w:rFonts w:ascii="Garamond" w:hAnsi="Garamond"/>
          <w:sz w:val="22"/>
          <w:szCs w:val="22"/>
        </w:rPr>
        <w:t>‘</w:t>
      </w:r>
      <w:r w:rsidRPr="000E2B5A">
        <w:rPr>
          <w:rFonts w:ascii="Garamond" w:hAnsi="Garamond"/>
          <w:sz w:val="22"/>
          <w:szCs w:val="22"/>
        </w:rPr>
        <w:t>in</w:t>
      </w:r>
      <w:r w:rsidR="005D74CB" w:rsidRPr="000E2B5A">
        <w:rPr>
          <w:rFonts w:ascii="Garamond" w:hAnsi="Garamond"/>
          <w:sz w:val="22"/>
          <w:szCs w:val="22"/>
        </w:rPr>
        <w:t>’</w:t>
      </w:r>
      <w:r w:rsidRPr="000E2B5A">
        <w:rPr>
          <w:rFonts w:ascii="Garamond" w:hAnsi="Garamond"/>
          <w:sz w:val="22"/>
          <w:szCs w:val="22"/>
        </w:rPr>
        <w:t>) all thy</w:t>
      </w:r>
      <w:r w:rsidRPr="000E2B5A">
        <w:rPr>
          <w:rFonts w:ascii="Garamond" w:hAnsi="Garamond"/>
          <w:b/>
          <w:sz w:val="22"/>
          <w:szCs w:val="22"/>
        </w:rPr>
        <w:t xml:space="preserve"> </w:t>
      </w:r>
      <w:r w:rsidRPr="000E2B5A">
        <w:rPr>
          <w:rFonts w:ascii="Garamond" w:hAnsi="Garamond"/>
          <w:sz w:val="22"/>
          <w:szCs w:val="22"/>
        </w:rPr>
        <w:t>might.</w:t>
      </w:r>
    </w:p>
    <w:p w:rsidR="00E87803" w:rsidRPr="000E2B5A" w:rsidRDefault="00E87803" w:rsidP="00D3182B">
      <w:pPr>
        <w:pStyle w:val="DefaultText"/>
        <w:rPr>
          <w:rFonts w:ascii="Garamond" w:hAnsi="Garamond"/>
          <w:b/>
          <w:sz w:val="22"/>
          <w:szCs w:val="22"/>
        </w:rPr>
      </w:pPr>
    </w:p>
    <w:p w:rsidR="00E87803" w:rsidRPr="000E2B5A" w:rsidRDefault="00E87803" w:rsidP="00D3182B">
      <w:pPr>
        <w:pStyle w:val="DefaultText"/>
        <w:rPr>
          <w:rFonts w:ascii="Garamond" w:hAnsi="Garamond"/>
          <w:i/>
          <w:sz w:val="22"/>
          <w:szCs w:val="22"/>
        </w:rPr>
      </w:pPr>
      <w:r w:rsidRPr="000E2B5A">
        <w:rPr>
          <w:rFonts w:ascii="Garamond" w:hAnsi="Garamond"/>
          <w:b/>
          <w:i/>
          <w:sz w:val="22"/>
          <w:szCs w:val="22"/>
        </w:rPr>
        <w:t>NT (Gospel parallel) use made of this source text</w:t>
      </w:r>
    </w:p>
    <w:p w:rsidR="007E2A2C" w:rsidRPr="000E2B5A" w:rsidRDefault="007E2A2C" w:rsidP="007E2A2C">
      <w:pPr>
        <w:pStyle w:val="DefaultText"/>
        <w:jc w:val="both"/>
        <w:rPr>
          <w:rFonts w:ascii="Garamond" w:hAnsi="Garamond"/>
          <w:sz w:val="22"/>
          <w:szCs w:val="22"/>
        </w:rPr>
      </w:pPr>
    </w:p>
    <w:p w:rsidR="00E87803" w:rsidRPr="000E2B5A" w:rsidRDefault="007E2A2C" w:rsidP="007E2A2C">
      <w:pPr>
        <w:pStyle w:val="DefaultText"/>
        <w:jc w:val="both"/>
        <w:rPr>
          <w:rFonts w:ascii="Garamond" w:hAnsi="Garamond"/>
          <w:sz w:val="22"/>
          <w:szCs w:val="22"/>
        </w:rPr>
      </w:pPr>
      <w:r w:rsidRPr="000E2B5A">
        <w:rPr>
          <w:rFonts w:ascii="Garamond" w:hAnsi="Garamond"/>
          <w:sz w:val="22"/>
          <w:szCs w:val="22"/>
        </w:rPr>
        <w:t>(i) Matt 22:37 Thou</w:t>
      </w:r>
      <w:r w:rsidR="00E87803" w:rsidRPr="000E2B5A">
        <w:rPr>
          <w:rFonts w:ascii="Garamond" w:hAnsi="Garamond"/>
          <w:sz w:val="22"/>
          <w:szCs w:val="22"/>
        </w:rPr>
        <w:t xml:space="preserve"> shalt love the Lord thy God with (or </w:t>
      </w:r>
      <w:r w:rsidR="005D74CB" w:rsidRPr="000E2B5A">
        <w:rPr>
          <w:rFonts w:ascii="Garamond" w:hAnsi="Garamond"/>
          <w:sz w:val="22"/>
          <w:szCs w:val="22"/>
        </w:rPr>
        <w:t>‘</w:t>
      </w:r>
      <w:r w:rsidR="00E87803" w:rsidRPr="000E2B5A">
        <w:rPr>
          <w:rFonts w:ascii="Garamond" w:hAnsi="Garamond"/>
          <w:sz w:val="22"/>
          <w:szCs w:val="22"/>
        </w:rPr>
        <w:t>in</w:t>
      </w:r>
      <w:r w:rsidR="005D74CB" w:rsidRPr="000E2B5A">
        <w:rPr>
          <w:rFonts w:ascii="Garamond" w:hAnsi="Garamond"/>
          <w:sz w:val="22"/>
          <w:szCs w:val="22"/>
        </w:rPr>
        <w:t>’</w:t>
      </w:r>
      <w:r w:rsidR="00E87803" w:rsidRPr="000E2B5A">
        <w:rPr>
          <w:rFonts w:ascii="Garamond" w:hAnsi="Garamond"/>
          <w:sz w:val="22"/>
          <w:szCs w:val="22"/>
        </w:rPr>
        <w:t xml:space="preserve">) all thy heart, and with (or </w:t>
      </w:r>
      <w:r w:rsidR="005D74CB" w:rsidRPr="000E2B5A">
        <w:rPr>
          <w:rFonts w:ascii="Garamond" w:hAnsi="Garamond"/>
          <w:sz w:val="22"/>
          <w:szCs w:val="22"/>
        </w:rPr>
        <w:t>‘</w:t>
      </w:r>
      <w:r w:rsidR="00E87803" w:rsidRPr="000E2B5A">
        <w:rPr>
          <w:rFonts w:ascii="Garamond" w:hAnsi="Garamond"/>
          <w:sz w:val="22"/>
          <w:szCs w:val="22"/>
        </w:rPr>
        <w:t>in</w:t>
      </w:r>
      <w:r w:rsidR="005D74CB" w:rsidRPr="000E2B5A">
        <w:rPr>
          <w:rFonts w:ascii="Garamond" w:hAnsi="Garamond"/>
          <w:sz w:val="22"/>
          <w:szCs w:val="22"/>
        </w:rPr>
        <w:t>’</w:t>
      </w:r>
      <w:r w:rsidR="00E87803" w:rsidRPr="000E2B5A">
        <w:rPr>
          <w:rFonts w:ascii="Garamond" w:hAnsi="Garamond"/>
          <w:sz w:val="22"/>
          <w:szCs w:val="22"/>
        </w:rPr>
        <w:t xml:space="preserve">) all thy soul, and with (or </w:t>
      </w:r>
      <w:r w:rsidR="005D74CB" w:rsidRPr="000E2B5A">
        <w:rPr>
          <w:rFonts w:ascii="Garamond" w:hAnsi="Garamond"/>
          <w:sz w:val="22"/>
          <w:szCs w:val="22"/>
        </w:rPr>
        <w:t>‘</w:t>
      </w:r>
      <w:r w:rsidR="00E87803" w:rsidRPr="000E2B5A">
        <w:rPr>
          <w:rFonts w:ascii="Garamond" w:hAnsi="Garamond"/>
          <w:sz w:val="22"/>
          <w:szCs w:val="22"/>
        </w:rPr>
        <w:t>in</w:t>
      </w:r>
      <w:r w:rsidR="005D74CB" w:rsidRPr="000E2B5A">
        <w:rPr>
          <w:rFonts w:ascii="Garamond" w:hAnsi="Garamond"/>
          <w:sz w:val="22"/>
          <w:szCs w:val="22"/>
        </w:rPr>
        <w:t>’</w:t>
      </w:r>
      <w:r w:rsidR="00E87803" w:rsidRPr="000E2B5A">
        <w:rPr>
          <w:rFonts w:ascii="Garamond" w:hAnsi="Garamond"/>
          <w:sz w:val="22"/>
          <w:szCs w:val="22"/>
        </w:rPr>
        <w:t>) all thy mind.</w:t>
      </w:r>
    </w:p>
    <w:p w:rsidR="00E87803" w:rsidRPr="000E2B5A" w:rsidRDefault="00E87803" w:rsidP="00D3182B">
      <w:pPr>
        <w:pStyle w:val="DefaultText"/>
        <w:jc w:val="both"/>
        <w:rPr>
          <w:rFonts w:ascii="Garamond" w:hAnsi="Garamond"/>
          <w:sz w:val="22"/>
          <w:szCs w:val="22"/>
        </w:rPr>
      </w:pPr>
    </w:p>
    <w:p w:rsidR="00E87803" w:rsidRPr="000E2B5A" w:rsidRDefault="007E2A2C" w:rsidP="007E2A2C">
      <w:pPr>
        <w:pStyle w:val="DefaultText"/>
        <w:jc w:val="both"/>
        <w:rPr>
          <w:rFonts w:ascii="Garamond" w:hAnsi="Garamond"/>
          <w:sz w:val="22"/>
          <w:szCs w:val="22"/>
        </w:rPr>
      </w:pPr>
      <w:r w:rsidRPr="000E2B5A">
        <w:rPr>
          <w:rFonts w:ascii="Garamond" w:hAnsi="Garamond"/>
          <w:sz w:val="22"/>
          <w:szCs w:val="22"/>
        </w:rPr>
        <w:t xml:space="preserve">(ii) </w:t>
      </w:r>
      <w:r w:rsidR="00E87803" w:rsidRPr="000E2B5A">
        <w:rPr>
          <w:rFonts w:ascii="Garamond" w:hAnsi="Garamond"/>
          <w:sz w:val="22"/>
          <w:szCs w:val="22"/>
        </w:rPr>
        <w:t>M</w:t>
      </w:r>
      <w:r w:rsidRPr="000E2B5A">
        <w:rPr>
          <w:rFonts w:ascii="Garamond" w:hAnsi="Garamond"/>
          <w:sz w:val="22"/>
          <w:szCs w:val="22"/>
        </w:rPr>
        <w:t>ar</w:t>
      </w:r>
      <w:r w:rsidR="00E87803" w:rsidRPr="000E2B5A">
        <w:rPr>
          <w:rFonts w:ascii="Garamond" w:hAnsi="Garamond"/>
          <w:sz w:val="22"/>
          <w:szCs w:val="22"/>
        </w:rPr>
        <w:t>k 12:30 And thou shalt love the Lord thy God</w:t>
      </w:r>
      <w:r w:rsidR="00E87803" w:rsidRPr="000E2B5A">
        <w:rPr>
          <w:rFonts w:ascii="Garamond" w:hAnsi="Garamond"/>
          <w:b/>
          <w:sz w:val="22"/>
          <w:szCs w:val="22"/>
        </w:rPr>
        <w:t xml:space="preserve"> </w:t>
      </w:r>
      <w:r w:rsidR="00E87803" w:rsidRPr="000E2B5A">
        <w:rPr>
          <w:rFonts w:ascii="Garamond" w:hAnsi="Garamond"/>
          <w:sz w:val="22"/>
          <w:szCs w:val="22"/>
        </w:rPr>
        <w:t xml:space="preserve">with (or </w:t>
      </w:r>
      <w:r w:rsidR="005D74CB" w:rsidRPr="000E2B5A">
        <w:rPr>
          <w:rFonts w:ascii="Garamond" w:hAnsi="Garamond"/>
          <w:sz w:val="22"/>
          <w:szCs w:val="22"/>
        </w:rPr>
        <w:t>‘</w:t>
      </w:r>
      <w:r w:rsidR="00E87803" w:rsidRPr="000E2B5A">
        <w:rPr>
          <w:rFonts w:ascii="Garamond" w:hAnsi="Garamond"/>
          <w:sz w:val="22"/>
          <w:szCs w:val="22"/>
        </w:rPr>
        <w:t>out of</w:t>
      </w:r>
      <w:r w:rsidR="005D74CB" w:rsidRPr="000E2B5A">
        <w:rPr>
          <w:rFonts w:ascii="Garamond" w:hAnsi="Garamond"/>
          <w:sz w:val="22"/>
          <w:szCs w:val="22"/>
        </w:rPr>
        <w:t>’</w:t>
      </w:r>
      <w:r w:rsidR="00E87803" w:rsidRPr="000E2B5A">
        <w:rPr>
          <w:rFonts w:ascii="Garamond" w:hAnsi="Garamond"/>
          <w:sz w:val="22"/>
          <w:szCs w:val="22"/>
        </w:rPr>
        <w:t>) all thy</w:t>
      </w:r>
      <w:r w:rsidR="00E87803" w:rsidRPr="000E2B5A">
        <w:rPr>
          <w:rFonts w:ascii="Garamond" w:hAnsi="Garamond"/>
          <w:b/>
          <w:sz w:val="22"/>
          <w:szCs w:val="22"/>
        </w:rPr>
        <w:t xml:space="preserve"> </w:t>
      </w:r>
      <w:r w:rsidR="00E87803" w:rsidRPr="000E2B5A">
        <w:rPr>
          <w:rFonts w:ascii="Garamond" w:hAnsi="Garamond"/>
          <w:sz w:val="22"/>
          <w:szCs w:val="22"/>
        </w:rPr>
        <w:t xml:space="preserve">heart, and with (or </w:t>
      </w:r>
      <w:r w:rsidR="005D74CB" w:rsidRPr="000E2B5A">
        <w:rPr>
          <w:rFonts w:ascii="Garamond" w:hAnsi="Garamond"/>
          <w:sz w:val="22"/>
          <w:szCs w:val="22"/>
        </w:rPr>
        <w:t>‘</w:t>
      </w:r>
      <w:r w:rsidR="00E87803" w:rsidRPr="000E2B5A">
        <w:rPr>
          <w:rFonts w:ascii="Garamond" w:hAnsi="Garamond"/>
          <w:sz w:val="22"/>
          <w:szCs w:val="22"/>
        </w:rPr>
        <w:t>out of</w:t>
      </w:r>
      <w:r w:rsidR="005D74CB" w:rsidRPr="000E2B5A">
        <w:rPr>
          <w:rFonts w:ascii="Garamond" w:hAnsi="Garamond"/>
          <w:sz w:val="22"/>
          <w:szCs w:val="22"/>
        </w:rPr>
        <w:t>’</w:t>
      </w:r>
      <w:r w:rsidR="00E87803" w:rsidRPr="000E2B5A">
        <w:rPr>
          <w:rFonts w:ascii="Garamond" w:hAnsi="Garamond"/>
          <w:sz w:val="22"/>
          <w:szCs w:val="22"/>
        </w:rPr>
        <w:t xml:space="preserve">) all thy soul, and with (or </w:t>
      </w:r>
      <w:r w:rsidR="005D74CB" w:rsidRPr="000E2B5A">
        <w:rPr>
          <w:rFonts w:ascii="Garamond" w:hAnsi="Garamond"/>
          <w:sz w:val="22"/>
          <w:szCs w:val="22"/>
        </w:rPr>
        <w:t>‘</w:t>
      </w:r>
      <w:r w:rsidR="00E87803" w:rsidRPr="000E2B5A">
        <w:rPr>
          <w:rFonts w:ascii="Garamond" w:hAnsi="Garamond"/>
          <w:sz w:val="22"/>
          <w:szCs w:val="22"/>
        </w:rPr>
        <w:t>out of</w:t>
      </w:r>
      <w:r w:rsidR="005D74CB" w:rsidRPr="000E2B5A">
        <w:rPr>
          <w:rFonts w:ascii="Garamond" w:hAnsi="Garamond"/>
          <w:sz w:val="22"/>
          <w:szCs w:val="22"/>
        </w:rPr>
        <w:t>’</w:t>
      </w:r>
      <w:r w:rsidR="00E87803" w:rsidRPr="000E2B5A">
        <w:rPr>
          <w:rFonts w:ascii="Garamond" w:hAnsi="Garamond"/>
          <w:sz w:val="22"/>
          <w:szCs w:val="22"/>
        </w:rPr>
        <w:t>) all thy</w:t>
      </w:r>
      <w:r w:rsidR="00E87803" w:rsidRPr="000E2B5A">
        <w:rPr>
          <w:rFonts w:ascii="Garamond" w:hAnsi="Garamond"/>
          <w:b/>
          <w:sz w:val="22"/>
          <w:szCs w:val="22"/>
        </w:rPr>
        <w:t xml:space="preserve"> </w:t>
      </w:r>
      <w:r w:rsidR="00E87803" w:rsidRPr="000E2B5A">
        <w:rPr>
          <w:rFonts w:ascii="Garamond" w:hAnsi="Garamond"/>
          <w:sz w:val="22"/>
          <w:szCs w:val="22"/>
        </w:rPr>
        <w:t xml:space="preserve">mind, and with (or </w:t>
      </w:r>
      <w:r w:rsidR="005D74CB" w:rsidRPr="000E2B5A">
        <w:rPr>
          <w:rFonts w:ascii="Garamond" w:hAnsi="Garamond"/>
          <w:sz w:val="22"/>
          <w:szCs w:val="22"/>
        </w:rPr>
        <w:t>‘</w:t>
      </w:r>
      <w:r w:rsidR="00E87803" w:rsidRPr="000E2B5A">
        <w:rPr>
          <w:rFonts w:ascii="Garamond" w:hAnsi="Garamond"/>
          <w:sz w:val="22"/>
          <w:szCs w:val="22"/>
        </w:rPr>
        <w:t>out of</w:t>
      </w:r>
      <w:r w:rsidR="005D74CB" w:rsidRPr="000E2B5A">
        <w:rPr>
          <w:rFonts w:ascii="Garamond" w:hAnsi="Garamond"/>
          <w:sz w:val="22"/>
          <w:szCs w:val="22"/>
        </w:rPr>
        <w:t>’</w:t>
      </w:r>
      <w:r w:rsidR="00E87803" w:rsidRPr="000E2B5A">
        <w:rPr>
          <w:rFonts w:ascii="Garamond" w:hAnsi="Garamond"/>
          <w:sz w:val="22"/>
          <w:szCs w:val="22"/>
        </w:rPr>
        <w:t>) all thy strength.</w:t>
      </w:r>
    </w:p>
    <w:p w:rsidR="002D507F" w:rsidRPr="000E2B5A" w:rsidRDefault="002D507F" w:rsidP="007E2A2C">
      <w:pPr>
        <w:pStyle w:val="DefaultText"/>
        <w:jc w:val="both"/>
        <w:rPr>
          <w:rFonts w:ascii="Garamond" w:hAnsi="Garamond"/>
          <w:sz w:val="22"/>
          <w:szCs w:val="22"/>
        </w:rPr>
      </w:pPr>
    </w:p>
    <w:p w:rsidR="002B1875" w:rsidRPr="000E2B5A" w:rsidRDefault="002B1875" w:rsidP="002B1875">
      <w:pPr>
        <w:rPr>
          <w:sz w:val="22"/>
        </w:rPr>
      </w:pPr>
      <w:r w:rsidRPr="000E2B5A">
        <w:rPr>
          <w:sz w:val="22"/>
          <w:szCs w:val="22"/>
        </w:rPr>
        <w:t xml:space="preserve">(iii) Luke 10:27 </w:t>
      </w:r>
      <w:r w:rsidRPr="000E2B5A">
        <w:rPr>
          <w:sz w:val="22"/>
        </w:rPr>
        <w:t>Thou shalt love the Lord thy God out of all thy heart, and with/in all thy soul, and with/in all thy strength, and with/in all thy mind.</w:t>
      </w:r>
    </w:p>
    <w:p w:rsidR="00E87803" w:rsidRPr="000E2B5A" w:rsidRDefault="00E87803" w:rsidP="00D3182B">
      <w:pPr>
        <w:pStyle w:val="DefaultText"/>
        <w:jc w:val="both"/>
        <w:rPr>
          <w:rFonts w:ascii="Garamond" w:hAnsi="Garamond"/>
          <w:i/>
          <w:sz w:val="22"/>
          <w:szCs w:val="22"/>
        </w:rPr>
      </w:pPr>
      <w:r w:rsidRPr="000E2B5A">
        <w:rPr>
          <w:rFonts w:ascii="Garamond" w:hAnsi="Garamond"/>
          <w:i/>
          <w:sz w:val="22"/>
          <w:szCs w:val="22"/>
        </w:rPr>
        <w:lastRenderedPageBreak/>
        <w:t>Observations</w:t>
      </w:r>
    </w:p>
    <w:p w:rsidR="006847EF" w:rsidRPr="000E2B5A" w:rsidRDefault="006847EF"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These parallel passages in the Gospels exhibit variations of reportage, or presentation, similar to what we saw earlier when we compared M</w:t>
      </w:r>
      <w:r w:rsidR="006847EF" w:rsidRPr="000E2B5A">
        <w:rPr>
          <w:rFonts w:ascii="Garamond" w:hAnsi="Garamond"/>
          <w:sz w:val="22"/>
          <w:szCs w:val="22"/>
        </w:rPr>
        <w:t>a</w:t>
      </w:r>
      <w:r w:rsidRPr="000E2B5A">
        <w:rPr>
          <w:rFonts w:ascii="Garamond" w:hAnsi="Garamond"/>
          <w:sz w:val="22"/>
          <w:szCs w:val="22"/>
        </w:rPr>
        <w:t>tt 12:46-50, M</w:t>
      </w:r>
      <w:r w:rsidR="006847EF" w:rsidRPr="000E2B5A">
        <w:rPr>
          <w:rFonts w:ascii="Garamond" w:hAnsi="Garamond"/>
          <w:sz w:val="22"/>
          <w:szCs w:val="22"/>
        </w:rPr>
        <w:t>ar</w:t>
      </w:r>
      <w:r w:rsidRPr="000E2B5A">
        <w:rPr>
          <w:rFonts w:ascii="Garamond" w:hAnsi="Garamond"/>
          <w:sz w:val="22"/>
          <w:szCs w:val="22"/>
        </w:rPr>
        <w:t>k 3:31-35 and L</w:t>
      </w:r>
      <w:r w:rsidR="006847EF" w:rsidRPr="000E2B5A">
        <w:rPr>
          <w:rFonts w:ascii="Garamond" w:hAnsi="Garamond"/>
          <w:sz w:val="22"/>
          <w:szCs w:val="22"/>
        </w:rPr>
        <w:t>u</w:t>
      </w:r>
      <w:r w:rsidRPr="000E2B5A">
        <w:rPr>
          <w:rFonts w:ascii="Garamond" w:hAnsi="Garamond"/>
          <w:sz w:val="22"/>
          <w:szCs w:val="22"/>
        </w:rPr>
        <w:t>k</w:t>
      </w:r>
      <w:r w:rsidR="006847EF" w:rsidRPr="000E2B5A">
        <w:rPr>
          <w:rFonts w:ascii="Garamond" w:hAnsi="Garamond"/>
          <w:sz w:val="22"/>
          <w:szCs w:val="22"/>
        </w:rPr>
        <w:t>e</w:t>
      </w:r>
      <w:r w:rsidRPr="000E2B5A">
        <w:rPr>
          <w:rFonts w:ascii="Garamond" w:hAnsi="Garamond"/>
          <w:sz w:val="22"/>
          <w:szCs w:val="22"/>
        </w:rPr>
        <w:t xml:space="preserve"> 8:19-21.  Also</w:t>
      </w:r>
      <w:r w:rsidR="006847EF" w:rsidRPr="000E2B5A">
        <w:rPr>
          <w:rFonts w:ascii="Garamond" w:hAnsi="Garamond"/>
          <w:sz w:val="22"/>
          <w:szCs w:val="22"/>
        </w:rPr>
        <w:t>,</w:t>
      </w:r>
      <w:r w:rsidRPr="000E2B5A">
        <w:rPr>
          <w:rFonts w:ascii="Garamond" w:hAnsi="Garamond"/>
          <w:sz w:val="22"/>
          <w:szCs w:val="22"/>
        </w:rPr>
        <w:t xml:space="preserve"> within these parallel Gospels is a parallel quotation taken from Deuteronomy.  However, a striking difference is that although Deut. 6:5 occurs in both Gospels, Deut. 6:4 which is inserted prior to Deut. 6:5 in M</w:t>
      </w:r>
      <w:r w:rsidR="006847EF" w:rsidRPr="000E2B5A">
        <w:rPr>
          <w:rFonts w:ascii="Garamond" w:hAnsi="Garamond"/>
          <w:sz w:val="22"/>
          <w:szCs w:val="22"/>
        </w:rPr>
        <w:t>ar</w:t>
      </w:r>
      <w:r w:rsidRPr="000E2B5A">
        <w:rPr>
          <w:rFonts w:ascii="Garamond" w:hAnsi="Garamond"/>
          <w:sz w:val="22"/>
          <w:szCs w:val="22"/>
        </w:rPr>
        <w:t xml:space="preserve">k 12:30, as part of </w:t>
      </w:r>
      <w:r w:rsidR="005D74CB" w:rsidRPr="000E2B5A">
        <w:rPr>
          <w:rFonts w:ascii="Garamond" w:hAnsi="Garamond"/>
          <w:sz w:val="22"/>
          <w:szCs w:val="22"/>
        </w:rPr>
        <w:t>“</w:t>
      </w:r>
      <w:r w:rsidRPr="000E2B5A">
        <w:rPr>
          <w:rFonts w:ascii="Garamond" w:hAnsi="Garamond"/>
          <w:sz w:val="22"/>
          <w:szCs w:val="22"/>
        </w:rPr>
        <w:t>the first of all the commandments</w:t>
      </w:r>
      <w:r w:rsidR="005D74CB" w:rsidRPr="000E2B5A">
        <w:rPr>
          <w:rFonts w:ascii="Garamond" w:hAnsi="Garamond"/>
          <w:sz w:val="22"/>
          <w:szCs w:val="22"/>
        </w:rPr>
        <w:t>”</w:t>
      </w:r>
      <w:r w:rsidRPr="000E2B5A">
        <w:rPr>
          <w:rFonts w:ascii="Garamond" w:hAnsi="Garamond"/>
          <w:sz w:val="22"/>
          <w:szCs w:val="22"/>
        </w:rPr>
        <w:t xml:space="preserve"> does not appear in the parallel context in Matthew 22.  So, these two parallel texts are useful to consider because they contain both variation in reportage </w:t>
      </w:r>
      <w:r w:rsidRPr="000E2B5A">
        <w:rPr>
          <w:rFonts w:ascii="Garamond" w:hAnsi="Garamond"/>
          <w:i/>
          <w:sz w:val="22"/>
          <w:szCs w:val="22"/>
        </w:rPr>
        <w:t>and</w:t>
      </w:r>
      <w:r w:rsidRPr="000E2B5A">
        <w:rPr>
          <w:rFonts w:ascii="Garamond" w:hAnsi="Garamond"/>
          <w:sz w:val="22"/>
          <w:szCs w:val="22"/>
        </w:rPr>
        <w:t xml:space="preserve"> variation in quotation.    We shall consider how Deut 6:5 is presented in both Gospels.</w:t>
      </w:r>
    </w:p>
    <w:p w:rsidR="00E87803" w:rsidRPr="000E2B5A" w:rsidRDefault="00E87803" w:rsidP="00D3182B">
      <w:pPr>
        <w:pStyle w:val="DefaultText"/>
        <w:jc w:val="both"/>
        <w:rPr>
          <w:rFonts w:ascii="Garamond" w:hAnsi="Garamond"/>
          <w:sz w:val="22"/>
          <w:szCs w:val="22"/>
        </w:rPr>
      </w:pPr>
    </w:p>
    <w:p w:rsidR="006847EF"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[1] </w:t>
      </w:r>
      <w:r w:rsidRPr="000E2B5A">
        <w:rPr>
          <w:rFonts w:ascii="Garamond" w:hAnsi="Garamond"/>
          <w:sz w:val="22"/>
          <w:szCs w:val="22"/>
          <w:u w:val="single"/>
        </w:rPr>
        <w:t>Omission</w:t>
      </w:r>
      <w:r w:rsidRPr="000E2B5A">
        <w:rPr>
          <w:rFonts w:ascii="Garamond" w:hAnsi="Garamond"/>
          <w:sz w:val="22"/>
          <w:szCs w:val="22"/>
        </w:rPr>
        <w:t>: Material in one Gospel which is missing from the other:</w:t>
      </w: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 </w:t>
      </w:r>
    </w:p>
    <w:p w:rsidR="00E87803" w:rsidRPr="000E2B5A" w:rsidRDefault="00E87803" w:rsidP="00D3182B">
      <w:pPr>
        <w:pStyle w:val="DefaultText"/>
        <w:tabs>
          <w:tab w:val="left" w:pos="270"/>
          <w:tab w:val="left" w:pos="555"/>
        </w:tabs>
        <w:rPr>
          <w:rFonts w:ascii="Garamond" w:hAnsi="Garamond"/>
          <w:sz w:val="22"/>
          <w:szCs w:val="22"/>
        </w:rPr>
      </w:pPr>
      <w:r w:rsidRPr="000E2B5A">
        <w:rPr>
          <w:rFonts w:ascii="Garamond" w:hAnsi="Garamond"/>
          <w:sz w:val="22"/>
          <w:szCs w:val="22"/>
        </w:rPr>
        <w:tab/>
        <w:t xml:space="preserve">Matthew does not have </w:t>
      </w:r>
      <w:r w:rsidR="005D74CB" w:rsidRPr="000E2B5A">
        <w:rPr>
          <w:rFonts w:ascii="Garamond" w:hAnsi="Garamond"/>
          <w:sz w:val="22"/>
          <w:szCs w:val="22"/>
        </w:rPr>
        <w:t>“</w:t>
      </w:r>
      <w:r w:rsidRPr="000E2B5A">
        <w:rPr>
          <w:rFonts w:ascii="Garamond" w:hAnsi="Garamond"/>
          <w:sz w:val="22"/>
          <w:szCs w:val="22"/>
        </w:rPr>
        <w:t>and with all thy strength</w:t>
      </w:r>
      <w:r w:rsidR="005D74CB" w:rsidRPr="000E2B5A">
        <w:rPr>
          <w:rFonts w:ascii="Garamond" w:hAnsi="Garamond"/>
          <w:sz w:val="22"/>
          <w:szCs w:val="22"/>
        </w:rPr>
        <w:t>”</w:t>
      </w:r>
      <w:r w:rsidRPr="000E2B5A">
        <w:rPr>
          <w:rFonts w:ascii="Garamond" w:hAnsi="Garamond"/>
          <w:sz w:val="22"/>
          <w:szCs w:val="22"/>
        </w:rPr>
        <w:t xml:space="preserve"> although Mark does. </w:t>
      </w:r>
    </w:p>
    <w:p w:rsidR="00E87803" w:rsidRPr="000E2B5A" w:rsidRDefault="00E87803" w:rsidP="00D3182B">
      <w:pPr>
        <w:pStyle w:val="DefaultText"/>
        <w:tabs>
          <w:tab w:val="left" w:pos="1467"/>
        </w:tabs>
        <w:rPr>
          <w:rFonts w:ascii="Garamond" w:hAnsi="Garamond"/>
          <w:sz w:val="22"/>
          <w:szCs w:val="22"/>
        </w:rPr>
      </w:pPr>
    </w:p>
    <w:p w:rsidR="00E87803" w:rsidRPr="000E2B5A" w:rsidRDefault="00E87803" w:rsidP="00D3182B">
      <w:pPr>
        <w:pStyle w:val="DefaultText"/>
        <w:tabs>
          <w:tab w:val="left" w:pos="1467"/>
        </w:tabs>
        <w:rPr>
          <w:rFonts w:ascii="Garamond" w:hAnsi="Garamond"/>
          <w:sz w:val="22"/>
          <w:szCs w:val="22"/>
        </w:rPr>
      </w:pPr>
      <w:r w:rsidRPr="000E2B5A">
        <w:rPr>
          <w:rFonts w:ascii="Garamond" w:hAnsi="Garamond"/>
          <w:sz w:val="22"/>
          <w:szCs w:val="22"/>
        </w:rPr>
        <w:t xml:space="preserve">[2] </w:t>
      </w:r>
      <w:r w:rsidRPr="000E2B5A">
        <w:rPr>
          <w:rFonts w:ascii="Garamond" w:hAnsi="Garamond"/>
          <w:sz w:val="22"/>
          <w:szCs w:val="22"/>
          <w:u w:val="single"/>
        </w:rPr>
        <w:t>Omission</w:t>
      </w:r>
      <w:r w:rsidRPr="000E2B5A">
        <w:rPr>
          <w:rFonts w:ascii="Garamond" w:hAnsi="Garamond"/>
          <w:sz w:val="22"/>
          <w:szCs w:val="22"/>
        </w:rPr>
        <w:t>: Material in the OT which is missing from the NT:</w:t>
      </w:r>
    </w:p>
    <w:p w:rsidR="00E87803" w:rsidRPr="000E2B5A" w:rsidRDefault="00E87803" w:rsidP="00D3182B">
      <w:pPr>
        <w:pStyle w:val="DefaultText"/>
        <w:tabs>
          <w:tab w:val="left" w:pos="1467"/>
        </w:tabs>
        <w:rPr>
          <w:rFonts w:ascii="Garamond" w:hAnsi="Garamond"/>
          <w:sz w:val="22"/>
          <w:szCs w:val="22"/>
        </w:rPr>
      </w:pPr>
    </w:p>
    <w:p w:rsidR="00E87803" w:rsidRPr="000E2B5A" w:rsidRDefault="00E87803" w:rsidP="00D3182B">
      <w:pPr>
        <w:pStyle w:val="DefaultText"/>
        <w:tabs>
          <w:tab w:val="left" w:pos="278"/>
          <w:tab w:val="left" w:pos="561"/>
        </w:tabs>
        <w:rPr>
          <w:rFonts w:ascii="Garamond" w:hAnsi="Garamond"/>
          <w:sz w:val="22"/>
          <w:szCs w:val="22"/>
        </w:rPr>
      </w:pPr>
      <w:r w:rsidRPr="000E2B5A">
        <w:rPr>
          <w:rFonts w:ascii="Garamond" w:hAnsi="Garamond"/>
          <w:sz w:val="22"/>
          <w:szCs w:val="22"/>
        </w:rPr>
        <w:tab/>
        <w:t xml:space="preserve">Matthew does not match the </w:t>
      </w:r>
      <w:r w:rsidR="006847EF" w:rsidRPr="000E2B5A">
        <w:rPr>
          <w:rFonts w:ascii="Garamond" w:hAnsi="Garamond"/>
          <w:sz w:val="22"/>
          <w:szCs w:val="22"/>
        </w:rPr>
        <w:t xml:space="preserve">Hebrew text in its omission of </w:t>
      </w:r>
      <w:r w:rsidR="005D74CB" w:rsidRPr="000E2B5A">
        <w:rPr>
          <w:rFonts w:ascii="Garamond" w:hAnsi="Garamond"/>
          <w:sz w:val="22"/>
          <w:szCs w:val="22"/>
        </w:rPr>
        <w:t>“</w:t>
      </w:r>
      <w:r w:rsidRPr="000E2B5A">
        <w:rPr>
          <w:rFonts w:ascii="Garamond" w:hAnsi="Garamond"/>
          <w:sz w:val="22"/>
          <w:szCs w:val="22"/>
        </w:rPr>
        <w:t xml:space="preserve">and with all thy </w:t>
      </w:r>
      <w:r w:rsidRPr="000E2B5A">
        <w:rPr>
          <w:rFonts w:ascii="Garamond" w:hAnsi="Garamond"/>
          <w:sz w:val="22"/>
          <w:szCs w:val="22"/>
        </w:rPr>
        <w:tab/>
      </w:r>
      <w:r w:rsidRPr="000E2B5A">
        <w:rPr>
          <w:rFonts w:ascii="Garamond" w:hAnsi="Garamond"/>
          <w:sz w:val="22"/>
          <w:szCs w:val="22"/>
        </w:rPr>
        <w:tab/>
        <w:t>strength</w:t>
      </w:r>
      <w:r w:rsidR="005D74CB" w:rsidRPr="000E2B5A">
        <w:rPr>
          <w:rFonts w:ascii="Garamond" w:hAnsi="Garamond"/>
          <w:sz w:val="22"/>
          <w:szCs w:val="22"/>
        </w:rPr>
        <w:t>”</w:t>
      </w:r>
      <w:r w:rsidR="006847EF" w:rsidRPr="000E2B5A">
        <w:rPr>
          <w:rFonts w:ascii="Garamond" w:hAnsi="Garamond"/>
          <w:sz w:val="22"/>
          <w:szCs w:val="22"/>
        </w:rPr>
        <w:t>.</w:t>
      </w:r>
    </w:p>
    <w:p w:rsidR="00E87803" w:rsidRPr="000E2B5A" w:rsidRDefault="00E87803" w:rsidP="00D3182B">
      <w:pPr>
        <w:pStyle w:val="DefaultText"/>
        <w:tabs>
          <w:tab w:val="left" w:pos="278"/>
          <w:tab w:val="left" w:pos="561"/>
        </w:tabs>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[3] </w:t>
      </w:r>
      <w:r w:rsidRPr="000E2B5A">
        <w:rPr>
          <w:rFonts w:ascii="Garamond" w:hAnsi="Garamond"/>
          <w:sz w:val="22"/>
          <w:szCs w:val="22"/>
          <w:u w:val="single"/>
        </w:rPr>
        <w:t>Addition</w:t>
      </w:r>
      <w:r w:rsidRPr="000E2B5A">
        <w:rPr>
          <w:rFonts w:ascii="Garamond" w:hAnsi="Garamond"/>
          <w:sz w:val="22"/>
          <w:szCs w:val="22"/>
        </w:rPr>
        <w:t>: Material which is added in the NT:</w:t>
      </w:r>
    </w:p>
    <w:p w:rsidR="006847EF" w:rsidRPr="000E2B5A" w:rsidRDefault="006847EF" w:rsidP="00D3182B">
      <w:pPr>
        <w:pStyle w:val="DefaultText"/>
        <w:jc w:val="both"/>
        <w:rPr>
          <w:rFonts w:ascii="Garamond" w:hAnsi="Garamond"/>
          <w:sz w:val="22"/>
          <w:szCs w:val="22"/>
        </w:rPr>
      </w:pPr>
    </w:p>
    <w:p w:rsidR="00E87803" w:rsidRPr="000E2B5A" w:rsidRDefault="00E87803" w:rsidP="006847EF">
      <w:pPr>
        <w:pStyle w:val="DefaultText"/>
        <w:tabs>
          <w:tab w:val="left" w:pos="270"/>
          <w:tab w:val="left" w:pos="555"/>
        </w:tabs>
        <w:ind w:left="270"/>
        <w:rPr>
          <w:rFonts w:ascii="Garamond" w:hAnsi="Garamond"/>
          <w:sz w:val="22"/>
          <w:szCs w:val="22"/>
        </w:rPr>
      </w:pPr>
      <w:r w:rsidRPr="000E2B5A">
        <w:rPr>
          <w:rFonts w:ascii="Garamond" w:hAnsi="Garamond"/>
          <w:sz w:val="22"/>
          <w:szCs w:val="22"/>
        </w:rPr>
        <w:t xml:space="preserve">Both Matthew and Mark have </w:t>
      </w:r>
      <w:r w:rsidR="005D74CB" w:rsidRPr="000E2B5A">
        <w:rPr>
          <w:rFonts w:ascii="Garamond" w:hAnsi="Garamond"/>
          <w:sz w:val="22"/>
          <w:szCs w:val="22"/>
        </w:rPr>
        <w:t>“</w:t>
      </w:r>
      <w:r w:rsidRPr="000E2B5A">
        <w:rPr>
          <w:rFonts w:ascii="Garamond" w:hAnsi="Garamond"/>
          <w:sz w:val="22"/>
          <w:szCs w:val="22"/>
        </w:rPr>
        <w:t>mind</w:t>
      </w:r>
      <w:r w:rsidR="005D74CB" w:rsidRPr="000E2B5A">
        <w:rPr>
          <w:rFonts w:ascii="Garamond" w:hAnsi="Garamond"/>
          <w:sz w:val="22"/>
          <w:szCs w:val="22"/>
        </w:rPr>
        <w:t>”</w:t>
      </w:r>
      <w:r w:rsidRPr="000E2B5A">
        <w:rPr>
          <w:rFonts w:ascii="Garamond" w:hAnsi="Garamond"/>
          <w:sz w:val="22"/>
          <w:szCs w:val="22"/>
        </w:rPr>
        <w:t xml:space="preserve"> which is not in the Hebrew text of </w:t>
      </w:r>
      <w:r w:rsidR="006847EF" w:rsidRPr="000E2B5A">
        <w:rPr>
          <w:rFonts w:ascii="Garamond" w:hAnsi="Garamond"/>
          <w:sz w:val="22"/>
          <w:szCs w:val="22"/>
        </w:rPr>
        <w:t>Deut</w:t>
      </w:r>
      <w:r w:rsidRPr="000E2B5A">
        <w:rPr>
          <w:rFonts w:ascii="Garamond" w:hAnsi="Garamond"/>
          <w:sz w:val="22"/>
          <w:szCs w:val="22"/>
        </w:rPr>
        <w:t xml:space="preserve"> 6:5. </w:t>
      </w:r>
    </w:p>
    <w:p w:rsidR="00E87803" w:rsidRPr="000E2B5A" w:rsidRDefault="00E87803" w:rsidP="00D3182B">
      <w:pPr>
        <w:pStyle w:val="DefaultText"/>
        <w:rPr>
          <w:rFonts w:ascii="Garamond" w:hAnsi="Garamond"/>
          <w:sz w:val="22"/>
          <w:szCs w:val="22"/>
        </w:rPr>
      </w:pPr>
    </w:p>
    <w:p w:rsidR="00E87803" w:rsidRPr="000E2B5A" w:rsidRDefault="00E87803" w:rsidP="00D3182B">
      <w:pPr>
        <w:pStyle w:val="DefaultText"/>
        <w:rPr>
          <w:rFonts w:ascii="Garamond" w:hAnsi="Garamond"/>
          <w:sz w:val="22"/>
          <w:szCs w:val="22"/>
        </w:rPr>
      </w:pPr>
      <w:r w:rsidRPr="000E2B5A">
        <w:rPr>
          <w:rFonts w:ascii="Garamond" w:hAnsi="Garamond"/>
          <w:sz w:val="22"/>
          <w:szCs w:val="22"/>
        </w:rPr>
        <w:t xml:space="preserve">[4] </w:t>
      </w:r>
      <w:r w:rsidRPr="000E2B5A">
        <w:rPr>
          <w:rFonts w:ascii="Garamond" w:hAnsi="Garamond"/>
          <w:sz w:val="22"/>
          <w:szCs w:val="22"/>
          <w:u w:val="single"/>
        </w:rPr>
        <w:t>Word (or semantic) variation</w:t>
      </w:r>
      <w:r w:rsidRPr="000E2B5A">
        <w:rPr>
          <w:rFonts w:ascii="Garamond" w:hAnsi="Garamond"/>
          <w:sz w:val="22"/>
          <w:szCs w:val="22"/>
        </w:rPr>
        <w:t>:</w:t>
      </w:r>
    </w:p>
    <w:p w:rsidR="006847EF" w:rsidRPr="000E2B5A" w:rsidRDefault="006847EF"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The Hebrew text of Deut. 6:5 has </w:t>
      </w:r>
      <w:r w:rsidR="005D74CB" w:rsidRPr="000E2B5A">
        <w:rPr>
          <w:rFonts w:ascii="Garamond" w:hAnsi="Garamond"/>
          <w:sz w:val="22"/>
          <w:szCs w:val="22"/>
        </w:rPr>
        <w:t>‘</w:t>
      </w:r>
      <w:r w:rsidRPr="000E2B5A">
        <w:rPr>
          <w:rFonts w:ascii="Garamond" w:hAnsi="Garamond"/>
          <w:sz w:val="22"/>
          <w:szCs w:val="22"/>
        </w:rPr>
        <w:t>with</w:t>
      </w:r>
      <w:r w:rsidR="005D74CB" w:rsidRPr="000E2B5A">
        <w:rPr>
          <w:rFonts w:ascii="Garamond" w:hAnsi="Garamond"/>
          <w:sz w:val="22"/>
          <w:szCs w:val="22"/>
        </w:rPr>
        <w:t>’</w:t>
      </w:r>
      <w:r w:rsidRPr="000E2B5A">
        <w:rPr>
          <w:rFonts w:ascii="Garamond" w:hAnsi="Garamond"/>
          <w:sz w:val="22"/>
          <w:szCs w:val="22"/>
        </w:rPr>
        <w:t xml:space="preserve"> (or an instrumental </w:t>
      </w:r>
      <w:r w:rsidR="005D74CB" w:rsidRPr="000E2B5A">
        <w:rPr>
          <w:rFonts w:ascii="Garamond" w:hAnsi="Garamond"/>
          <w:sz w:val="22"/>
          <w:szCs w:val="22"/>
        </w:rPr>
        <w:t>‘</w:t>
      </w:r>
      <w:r w:rsidRPr="000E2B5A">
        <w:rPr>
          <w:rFonts w:ascii="Garamond" w:hAnsi="Garamond"/>
          <w:sz w:val="22"/>
          <w:szCs w:val="22"/>
        </w:rPr>
        <w:t>in</w:t>
      </w:r>
      <w:r w:rsidR="005D74CB" w:rsidRPr="000E2B5A">
        <w:rPr>
          <w:rFonts w:ascii="Garamond" w:hAnsi="Garamond"/>
          <w:sz w:val="22"/>
          <w:szCs w:val="22"/>
        </w:rPr>
        <w:t>’</w:t>
      </w:r>
      <w:r w:rsidRPr="000E2B5A">
        <w:rPr>
          <w:rFonts w:ascii="Garamond" w:hAnsi="Garamond"/>
          <w:sz w:val="22"/>
          <w:szCs w:val="22"/>
        </w:rPr>
        <w:t xml:space="preserve">) attached to each instance of </w:t>
      </w:r>
      <w:r w:rsidR="005D74CB" w:rsidRPr="000E2B5A">
        <w:rPr>
          <w:rFonts w:ascii="Garamond" w:hAnsi="Garamond"/>
          <w:sz w:val="22"/>
          <w:szCs w:val="22"/>
        </w:rPr>
        <w:t>‘</w:t>
      </w:r>
      <w:r w:rsidRPr="000E2B5A">
        <w:rPr>
          <w:rFonts w:ascii="Garamond" w:hAnsi="Garamond"/>
          <w:sz w:val="22"/>
          <w:szCs w:val="22"/>
        </w:rPr>
        <w:t>all thy</w:t>
      </w:r>
      <w:r w:rsidR="005D74CB" w:rsidRPr="000E2B5A">
        <w:rPr>
          <w:rFonts w:ascii="Garamond" w:hAnsi="Garamond"/>
          <w:sz w:val="22"/>
          <w:szCs w:val="22"/>
        </w:rPr>
        <w:t>’</w:t>
      </w:r>
      <w:r w:rsidR="006847EF" w:rsidRPr="000E2B5A">
        <w:rPr>
          <w:rFonts w:ascii="Garamond" w:hAnsi="Garamond"/>
          <w:sz w:val="22"/>
          <w:szCs w:val="22"/>
        </w:rPr>
        <w:t>.</w:t>
      </w:r>
      <w:r w:rsidRPr="000E2B5A">
        <w:rPr>
          <w:rFonts w:ascii="Garamond" w:hAnsi="Garamond"/>
          <w:sz w:val="22"/>
          <w:szCs w:val="22"/>
        </w:rPr>
        <w:t xml:space="preserve">   Matthew</w:t>
      </w:r>
      <w:r w:rsidR="005D74CB" w:rsidRPr="000E2B5A">
        <w:rPr>
          <w:rFonts w:ascii="Garamond" w:hAnsi="Garamond"/>
          <w:sz w:val="22"/>
          <w:szCs w:val="22"/>
        </w:rPr>
        <w:t>’</w:t>
      </w:r>
      <w:r w:rsidRPr="000E2B5A">
        <w:rPr>
          <w:rFonts w:ascii="Garamond" w:hAnsi="Garamond"/>
          <w:sz w:val="22"/>
          <w:szCs w:val="22"/>
        </w:rPr>
        <w:t>s Greek [</w:t>
      </w:r>
      <w:r w:rsidRPr="000E2B5A">
        <w:rPr>
          <w:rFonts w:ascii="Garamond" w:hAnsi="Garamond"/>
          <w:i/>
          <w:sz w:val="22"/>
          <w:szCs w:val="22"/>
        </w:rPr>
        <w:t>en</w:t>
      </w:r>
      <w:r w:rsidRPr="000E2B5A">
        <w:rPr>
          <w:rFonts w:ascii="Garamond" w:hAnsi="Garamond"/>
          <w:sz w:val="22"/>
          <w:szCs w:val="22"/>
        </w:rPr>
        <w:t>] agrees with this, but Mark on the other hand has [</w:t>
      </w:r>
      <w:r w:rsidRPr="000E2B5A">
        <w:rPr>
          <w:rFonts w:ascii="Garamond" w:hAnsi="Garamond"/>
          <w:i/>
          <w:sz w:val="22"/>
          <w:szCs w:val="22"/>
        </w:rPr>
        <w:t>ek</w:t>
      </w:r>
      <w:r w:rsidRPr="000E2B5A">
        <w:rPr>
          <w:rFonts w:ascii="Garamond" w:hAnsi="Garamond"/>
          <w:sz w:val="22"/>
          <w:szCs w:val="22"/>
        </w:rPr>
        <w:t xml:space="preserve">] </w:t>
      </w:r>
      <w:r w:rsidR="005D74CB" w:rsidRPr="000E2B5A">
        <w:rPr>
          <w:rFonts w:ascii="Garamond" w:hAnsi="Garamond"/>
          <w:sz w:val="22"/>
          <w:szCs w:val="22"/>
        </w:rPr>
        <w:t>‘</w:t>
      </w:r>
      <w:r w:rsidRPr="000E2B5A">
        <w:rPr>
          <w:rFonts w:ascii="Garamond" w:hAnsi="Garamond"/>
          <w:sz w:val="22"/>
          <w:szCs w:val="22"/>
        </w:rPr>
        <w:t>out of</w:t>
      </w:r>
      <w:r w:rsidR="005D74CB" w:rsidRPr="000E2B5A">
        <w:rPr>
          <w:rFonts w:ascii="Garamond" w:hAnsi="Garamond"/>
          <w:sz w:val="22"/>
          <w:szCs w:val="22"/>
        </w:rPr>
        <w:t>’</w:t>
      </w:r>
      <w:r w:rsidR="006847EF" w:rsidRPr="000E2B5A">
        <w:rPr>
          <w:rFonts w:ascii="Garamond" w:hAnsi="Garamond"/>
          <w:sz w:val="22"/>
          <w:szCs w:val="22"/>
        </w:rPr>
        <w:t>.</w:t>
      </w:r>
      <w:r w:rsidRPr="000E2B5A">
        <w:rPr>
          <w:rFonts w:ascii="Garamond" w:hAnsi="Garamond"/>
          <w:sz w:val="22"/>
          <w:szCs w:val="22"/>
          <w:vertAlign w:val="superscript"/>
        </w:rPr>
        <w:footnoteReference w:id="28"/>
      </w:r>
      <w:r w:rsidRPr="000E2B5A">
        <w:rPr>
          <w:rFonts w:ascii="Garamond" w:hAnsi="Garamond"/>
          <w:sz w:val="22"/>
          <w:szCs w:val="22"/>
        </w:rPr>
        <w:t xml:space="preserve">   </w:t>
      </w:r>
    </w:p>
    <w:p w:rsidR="007B452A" w:rsidRPr="000E2B5A" w:rsidRDefault="005A4F9B" w:rsidP="00D3182B">
      <w:pPr>
        <w:pStyle w:val="DefaultText"/>
        <w:jc w:val="both"/>
        <w:rPr>
          <w:rFonts w:ascii="Garamond" w:hAnsi="Garamond"/>
          <w:sz w:val="22"/>
          <w:szCs w:val="22"/>
        </w:rPr>
      </w:pPr>
      <w:r>
        <w:rPr>
          <w:rFonts w:ascii="Garamond" w:hAnsi="Garamond"/>
          <w:noProof/>
          <w:snapToGrid/>
          <w:sz w:val="22"/>
          <w:szCs w:val="22"/>
          <w:u w:val="single"/>
        </w:rPr>
        <w:lastRenderedPageBreak/>
        <w:pict>
          <v:shape id="_x0000_s1147" type="#_x0000_t202" style="position:absolute;left:0;text-align:left;margin-left:1.35pt;margin-top:16.8pt;width:113.75pt;height:110pt;z-index:251662848" o:allowincell="f">
            <v:textbox style="mso-next-textbox:#_x0000_s1147">
              <w:txbxContent>
                <w:p w:rsidR="00E35D87" w:rsidRPr="007B452A" w:rsidRDefault="00E35D87" w:rsidP="00E87803">
                  <w:pPr>
                    <w:pStyle w:val="DefaultText"/>
                    <w:jc w:val="center"/>
                    <w:rPr>
                      <w:rFonts w:ascii="Garamond" w:hAnsi="Garamond"/>
                      <w:sz w:val="22"/>
                    </w:rPr>
                  </w:pPr>
                  <w:r w:rsidRPr="007B452A">
                    <w:rPr>
                      <w:rFonts w:ascii="Garamond" w:hAnsi="Garamond"/>
                      <w:sz w:val="22"/>
                      <w:u w:val="single"/>
                    </w:rPr>
                    <w:t>Matthew 22:37</w:t>
                  </w:r>
                </w:p>
                <w:p w:rsidR="00E35D87" w:rsidRPr="007B452A" w:rsidRDefault="00E35D87" w:rsidP="00E87803">
                  <w:pPr>
                    <w:pStyle w:val="DefaultText"/>
                    <w:jc w:val="both"/>
                    <w:rPr>
                      <w:rFonts w:ascii="Garamond" w:hAnsi="Garamond"/>
                      <w:sz w:val="6"/>
                    </w:rPr>
                  </w:pPr>
                </w:p>
                <w:p w:rsidR="00E35D87" w:rsidRPr="007B452A" w:rsidRDefault="00E35D87" w:rsidP="00E87803">
                  <w:pPr>
                    <w:rPr>
                      <w:sz w:val="22"/>
                    </w:rPr>
                  </w:pPr>
                  <w:r w:rsidRPr="007B452A">
                    <w:rPr>
                      <w:sz w:val="22"/>
                    </w:rPr>
                    <w:t xml:space="preserve">Thou shalt love the Lord thy God </w:t>
                  </w:r>
                  <w:r w:rsidRPr="007B452A">
                    <w:rPr>
                      <w:b/>
                      <w:sz w:val="22"/>
                    </w:rPr>
                    <w:t>with/in</w:t>
                  </w:r>
                  <w:r w:rsidRPr="007B452A">
                    <w:rPr>
                      <w:sz w:val="22"/>
                    </w:rPr>
                    <w:t xml:space="preserve"> all thy heart, and </w:t>
                  </w:r>
                  <w:r w:rsidRPr="007B452A">
                    <w:rPr>
                      <w:b/>
                      <w:sz w:val="22"/>
                    </w:rPr>
                    <w:t>with/ in</w:t>
                  </w:r>
                  <w:r w:rsidRPr="007B452A">
                    <w:rPr>
                      <w:sz w:val="22"/>
                    </w:rPr>
                    <w:t xml:space="preserve"> all thy soul, and </w:t>
                  </w:r>
                  <w:r w:rsidRPr="007B452A">
                    <w:rPr>
                      <w:b/>
                      <w:sz w:val="22"/>
                    </w:rPr>
                    <w:t>with/in</w:t>
                  </w:r>
                  <w:r w:rsidRPr="007B452A">
                    <w:rPr>
                      <w:sz w:val="22"/>
                    </w:rPr>
                    <w:t xml:space="preserve"> all thy mind.</w:t>
                  </w:r>
                </w:p>
              </w:txbxContent>
            </v:textbox>
            <w10:wrap type="topAndBottom"/>
          </v:shape>
        </w:pict>
      </w:r>
      <w:r>
        <w:rPr>
          <w:rFonts w:ascii="Garamond" w:hAnsi="Garamond"/>
          <w:noProof/>
          <w:snapToGrid/>
          <w:sz w:val="22"/>
          <w:szCs w:val="22"/>
          <w:u w:val="single"/>
        </w:rPr>
        <w:pict>
          <v:shape id="_x0000_s1148" type="#_x0000_t202" style="position:absolute;left:0;text-align:left;margin-left:121.5pt;margin-top:16.8pt;width:116.25pt;height:110pt;z-index:251663872" o:allowincell="f">
            <v:textbox style="mso-next-textbox:#_x0000_s1148">
              <w:txbxContent>
                <w:p w:rsidR="00E35D87" w:rsidRPr="007B452A" w:rsidRDefault="00E35D87" w:rsidP="00E87803">
                  <w:pPr>
                    <w:pStyle w:val="DefaultText"/>
                    <w:jc w:val="center"/>
                    <w:rPr>
                      <w:rFonts w:ascii="Garamond" w:hAnsi="Garamond"/>
                      <w:sz w:val="22"/>
                    </w:rPr>
                  </w:pPr>
                  <w:r w:rsidRPr="007B452A">
                    <w:rPr>
                      <w:rFonts w:ascii="Garamond" w:hAnsi="Garamond"/>
                      <w:sz w:val="22"/>
                      <w:u w:val="single"/>
                    </w:rPr>
                    <w:t>Mark 12:30</w:t>
                  </w:r>
                  <w:r w:rsidRPr="007B452A">
                    <w:rPr>
                      <w:rFonts w:ascii="Garamond" w:hAnsi="Garamond"/>
                      <w:sz w:val="22"/>
                    </w:rPr>
                    <w:t xml:space="preserve"> </w:t>
                  </w:r>
                </w:p>
                <w:p w:rsidR="00E35D87" w:rsidRPr="007B452A" w:rsidRDefault="00E35D87" w:rsidP="00E87803">
                  <w:pPr>
                    <w:pStyle w:val="DefaultText"/>
                    <w:jc w:val="center"/>
                    <w:rPr>
                      <w:rFonts w:ascii="Garamond" w:hAnsi="Garamond"/>
                      <w:sz w:val="6"/>
                    </w:rPr>
                  </w:pPr>
                </w:p>
                <w:p w:rsidR="00E35D87" w:rsidRPr="007B452A" w:rsidRDefault="00E35D87" w:rsidP="00E87803">
                  <w:pPr>
                    <w:rPr>
                      <w:sz w:val="22"/>
                    </w:rPr>
                  </w:pPr>
                  <w:r w:rsidRPr="007B452A">
                    <w:rPr>
                      <w:sz w:val="22"/>
                    </w:rPr>
                    <w:t>And thou</w:t>
                  </w:r>
                  <w:r w:rsidRPr="007B452A">
                    <w:rPr>
                      <w:b/>
                      <w:sz w:val="22"/>
                    </w:rPr>
                    <w:t xml:space="preserve"> </w:t>
                  </w:r>
                  <w:r w:rsidRPr="007B452A">
                    <w:rPr>
                      <w:sz w:val="22"/>
                    </w:rPr>
                    <w:t xml:space="preserve">shalt love the Lord thy God </w:t>
                  </w:r>
                  <w:r w:rsidRPr="007B452A">
                    <w:rPr>
                      <w:b/>
                      <w:sz w:val="22"/>
                    </w:rPr>
                    <w:t>out of</w:t>
                  </w:r>
                  <w:r w:rsidRPr="007B452A">
                    <w:rPr>
                      <w:sz w:val="22"/>
                    </w:rPr>
                    <w:t xml:space="preserve"> all thy heart, and </w:t>
                  </w:r>
                  <w:r w:rsidRPr="007B452A">
                    <w:rPr>
                      <w:b/>
                      <w:sz w:val="22"/>
                    </w:rPr>
                    <w:t>out of</w:t>
                  </w:r>
                  <w:r w:rsidRPr="007B452A">
                    <w:rPr>
                      <w:sz w:val="22"/>
                    </w:rPr>
                    <w:t xml:space="preserve"> all thy soul,  and </w:t>
                  </w:r>
                  <w:r w:rsidRPr="007B452A">
                    <w:rPr>
                      <w:b/>
                      <w:sz w:val="22"/>
                    </w:rPr>
                    <w:t>out of</w:t>
                  </w:r>
                  <w:r w:rsidRPr="007B452A">
                    <w:rPr>
                      <w:sz w:val="22"/>
                    </w:rPr>
                    <w:t xml:space="preserve"> all thy mind,  and </w:t>
                  </w:r>
                  <w:r w:rsidRPr="007B452A">
                    <w:rPr>
                      <w:b/>
                      <w:sz w:val="22"/>
                    </w:rPr>
                    <w:t>out of</w:t>
                  </w:r>
                  <w:r w:rsidRPr="007B452A">
                    <w:rPr>
                      <w:sz w:val="22"/>
                    </w:rPr>
                    <w:t xml:space="preserve"> all thy strength.</w:t>
                  </w:r>
                </w:p>
              </w:txbxContent>
            </v:textbox>
            <w10:wrap type="topAndBottom"/>
          </v:shape>
        </w:pict>
      </w:r>
      <w:r>
        <w:rPr>
          <w:rFonts w:ascii="Garamond" w:hAnsi="Garamond"/>
          <w:noProof/>
          <w:snapToGrid/>
          <w:sz w:val="22"/>
          <w:szCs w:val="22"/>
        </w:rPr>
        <w:pict>
          <v:shape id="_x0000_s1149" type="#_x0000_t202" style="position:absolute;left:0;text-align:left;margin-left:243.3pt;margin-top:16.8pt;width:113.95pt;height:110pt;z-index:251664896" o:allowincell="f">
            <v:textbox style="mso-next-textbox:#_x0000_s1149">
              <w:txbxContent>
                <w:p w:rsidR="00E35D87" w:rsidRPr="007B452A" w:rsidRDefault="00E35D87" w:rsidP="00E87803">
                  <w:pPr>
                    <w:pStyle w:val="DefaultText"/>
                    <w:jc w:val="center"/>
                    <w:rPr>
                      <w:rFonts w:ascii="Garamond" w:hAnsi="Garamond"/>
                      <w:sz w:val="22"/>
                      <w:u w:val="single"/>
                    </w:rPr>
                  </w:pPr>
                  <w:r w:rsidRPr="007B452A">
                    <w:rPr>
                      <w:rFonts w:ascii="Garamond" w:hAnsi="Garamond"/>
                      <w:sz w:val="22"/>
                      <w:u w:val="single"/>
                    </w:rPr>
                    <w:t>Luke 10:27</w:t>
                  </w:r>
                </w:p>
                <w:p w:rsidR="00E35D87" w:rsidRPr="007B452A" w:rsidRDefault="00E35D87" w:rsidP="00E87803">
                  <w:pPr>
                    <w:pStyle w:val="DefaultText"/>
                    <w:jc w:val="center"/>
                    <w:rPr>
                      <w:rFonts w:ascii="Garamond" w:hAnsi="Garamond"/>
                      <w:sz w:val="6"/>
                    </w:rPr>
                  </w:pPr>
                </w:p>
                <w:p w:rsidR="00E35D87" w:rsidRPr="007B452A" w:rsidRDefault="00E35D87" w:rsidP="00E87803">
                  <w:pPr>
                    <w:rPr>
                      <w:sz w:val="22"/>
                    </w:rPr>
                  </w:pPr>
                  <w:r w:rsidRPr="007B452A">
                    <w:rPr>
                      <w:sz w:val="22"/>
                    </w:rPr>
                    <w:t>Thou shalt love the Lord</w:t>
                  </w:r>
                  <w:r w:rsidRPr="007B452A">
                    <w:rPr>
                      <w:b/>
                      <w:sz w:val="22"/>
                    </w:rPr>
                    <w:t xml:space="preserve"> </w:t>
                  </w:r>
                  <w:r w:rsidRPr="007B452A">
                    <w:rPr>
                      <w:sz w:val="22"/>
                    </w:rPr>
                    <w:t xml:space="preserve">thy God </w:t>
                  </w:r>
                  <w:r w:rsidRPr="007B452A">
                    <w:rPr>
                      <w:b/>
                      <w:sz w:val="22"/>
                    </w:rPr>
                    <w:t>out of</w:t>
                  </w:r>
                  <w:r w:rsidRPr="007B452A">
                    <w:rPr>
                      <w:sz w:val="22"/>
                    </w:rPr>
                    <w:t xml:space="preserve"> all thy heart, and </w:t>
                  </w:r>
                  <w:r w:rsidRPr="007B452A">
                    <w:rPr>
                      <w:b/>
                      <w:sz w:val="22"/>
                    </w:rPr>
                    <w:t>with/in</w:t>
                  </w:r>
                  <w:r w:rsidRPr="007B452A">
                    <w:rPr>
                      <w:sz w:val="22"/>
                    </w:rPr>
                    <w:t xml:space="preserve"> all thy soul,  and </w:t>
                  </w:r>
                  <w:r w:rsidRPr="007B452A">
                    <w:rPr>
                      <w:b/>
                      <w:sz w:val="22"/>
                    </w:rPr>
                    <w:t>with/in</w:t>
                  </w:r>
                  <w:r w:rsidRPr="007B452A">
                    <w:rPr>
                      <w:sz w:val="22"/>
                    </w:rPr>
                    <w:t xml:space="preserve"> all thy strength,</w:t>
                  </w:r>
                  <w:r>
                    <w:rPr>
                      <w:sz w:val="22"/>
                    </w:rPr>
                    <w:t xml:space="preserve"> </w:t>
                  </w:r>
                  <w:r w:rsidRPr="007B452A">
                    <w:rPr>
                      <w:sz w:val="22"/>
                    </w:rPr>
                    <w:t xml:space="preserve">and </w:t>
                  </w:r>
                  <w:r w:rsidRPr="007B452A">
                    <w:rPr>
                      <w:b/>
                      <w:sz w:val="22"/>
                    </w:rPr>
                    <w:t>with/in</w:t>
                  </w:r>
                  <w:r w:rsidRPr="007B452A">
                    <w:rPr>
                      <w:sz w:val="22"/>
                    </w:rPr>
                    <w:t xml:space="preserve"> all thy mind.</w:t>
                  </w:r>
                </w:p>
              </w:txbxContent>
            </v:textbox>
            <w10:wrap type="topAndBottom"/>
          </v:shape>
        </w:pict>
      </w:r>
    </w:p>
    <w:p w:rsidR="00683926" w:rsidRPr="000E2B5A" w:rsidRDefault="00683926"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This important difference exposes what is entailed in the context of Deut</w:t>
      </w:r>
      <w:r w:rsidR="004A26FE" w:rsidRPr="000E2B5A">
        <w:rPr>
          <w:rFonts w:ascii="Garamond" w:hAnsi="Garamond"/>
          <w:sz w:val="22"/>
          <w:szCs w:val="22"/>
        </w:rPr>
        <w:t>eronomy</w:t>
      </w:r>
      <w:r w:rsidRPr="000E2B5A">
        <w:rPr>
          <w:rFonts w:ascii="Garamond" w:hAnsi="Garamond"/>
          <w:sz w:val="22"/>
          <w:szCs w:val="22"/>
        </w:rPr>
        <w:t xml:space="preserve"> 6.   </w:t>
      </w:r>
      <w:r w:rsidR="005D74CB" w:rsidRPr="000E2B5A">
        <w:rPr>
          <w:rFonts w:ascii="Garamond" w:hAnsi="Garamond"/>
          <w:sz w:val="22"/>
          <w:szCs w:val="22"/>
        </w:rPr>
        <w:t>‘</w:t>
      </w:r>
      <w:r w:rsidRPr="000E2B5A">
        <w:rPr>
          <w:rFonts w:ascii="Garamond" w:hAnsi="Garamond"/>
          <w:sz w:val="22"/>
          <w:szCs w:val="22"/>
        </w:rPr>
        <w:t>Out of</w:t>
      </w:r>
      <w:r w:rsidR="005D74CB" w:rsidRPr="000E2B5A">
        <w:rPr>
          <w:rFonts w:ascii="Garamond" w:hAnsi="Garamond"/>
          <w:sz w:val="22"/>
          <w:szCs w:val="22"/>
        </w:rPr>
        <w:t>’</w:t>
      </w:r>
      <w:r w:rsidRPr="000E2B5A">
        <w:rPr>
          <w:rFonts w:ascii="Garamond" w:hAnsi="Garamond"/>
          <w:sz w:val="22"/>
          <w:szCs w:val="22"/>
        </w:rPr>
        <w:t xml:space="preserve"> (NT Mark), complementing </w:t>
      </w:r>
      <w:r w:rsidR="005D74CB" w:rsidRPr="000E2B5A">
        <w:rPr>
          <w:rFonts w:ascii="Garamond" w:hAnsi="Garamond"/>
          <w:sz w:val="22"/>
          <w:szCs w:val="22"/>
        </w:rPr>
        <w:t>‘</w:t>
      </w:r>
      <w:r w:rsidRPr="000E2B5A">
        <w:rPr>
          <w:rFonts w:ascii="Garamond" w:hAnsi="Garamond"/>
          <w:sz w:val="22"/>
          <w:szCs w:val="22"/>
        </w:rPr>
        <w:t>with</w:t>
      </w:r>
      <w:r w:rsidR="005D74CB" w:rsidRPr="000E2B5A">
        <w:rPr>
          <w:rFonts w:ascii="Garamond" w:hAnsi="Garamond"/>
          <w:sz w:val="22"/>
          <w:szCs w:val="22"/>
        </w:rPr>
        <w:t>’</w:t>
      </w:r>
      <w:r w:rsidRPr="000E2B5A">
        <w:rPr>
          <w:rFonts w:ascii="Garamond" w:hAnsi="Garamond"/>
          <w:sz w:val="22"/>
          <w:szCs w:val="22"/>
        </w:rPr>
        <w:t>/</w:t>
      </w:r>
      <w:r w:rsidR="005D74CB" w:rsidRPr="000E2B5A">
        <w:rPr>
          <w:rFonts w:ascii="Garamond" w:hAnsi="Garamond"/>
          <w:sz w:val="22"/>
          <w:szCs w:val="22"/>
        </w:rPr>
        <w:t>’</w:t>
      </w:r>
      <w:r w:rsidRPr="000E2B5A">
        <w:rPr>
          <w:rFonts w:ascii="Garamond" w:hAnsi="Garamond"/>
          <w:sz w:val="22"/>
          <w:szCs w:val="22"/>
        </w:rPr>
        <w:t>in</w:t>
      </w:r>
      <w:r w:rsidR="005D74CB" w:rsidRPr="000E2B5A">
        <w:rPr>
          <w:rFonts w:ascii="Garamond" w:hAnsi="Garamond"/>
          <w:sz w:val="22"/>
          <w:szCs w:val="22"/>
        </w:rPr>
        <w:t>’</w:t>
      </w:r>
      <w:r w:rsidRPr="000E2B5A">
        <w:rPr>
          <w:rFonts w:ascii="Garamond" w:hAnsi="Garamond"/>
          <w:sz w:val="22"/>
          <w:szCs w:val="22"/>
        </w:rPr>
        <w:t xml:space="preserve"> (OT and NT Matthew), stresses the</w:t>
      </w:r>
      <w:r w:rsidRPr="000E2B5A">
        <w:rPr>
          <w:rFonts w:ascii="Garamond" w:hAnsi="Garamond"/>
          <w:i/>
          <w:sz w:val="22"/>
          <w:szCs w:val="22"/>
        </w:rPr>
        <w:t xml:space="preserve"> result from within. </w:t>
      </w:r>
      <w:r w:rsidRPr="000E2B5A">
        <w:rPr>
          <w:rFonts w:ascii="Garamond" w:hAnsi="Garamond"/>
          <w:sz w:val="22"/>
          <w:szCs w:val="22"/>
        </w:rPr>
        <w:t xml:space="preserve">The outcome of what is </w:t>
      </w:r>
      <w:r w:rsidR="005D74CB" w:rsidRPr="000E2B5A">
        <w:rPr>
          <w:rFonts w:ascii="Garamond" w:hAnsi="Garamond"/>
          <w:sz w:val="22"/>
          <w:szCs w:val="22"/>
        </w:rPr>
        <w:t>‘</w:t>
      </w:r>
      <w:r w:rsidRPr="000E2B5A">
        <w:rPr>
          <w:rFonts w:ascii="Garamond" w:hAnsi="Garamond"/>
          <w:sz w:val="22"/>
          <w:szCs w:val="22"/>
        </w:rPr>
        <w:t>in</w:t>
      </w:r>
      <w:r w:rsidR="005D74CB" w:rsidRPr="000E2B5A">
        <w:rPr>
          <w:rFonts w:ascii="Garamond" w:hAnsi="Garamond"/>
          <w:sz w:val="22"/>
          <w:szCs w:val="22"/>
        </w:rPr>
        <w:t>’</w:t>
      </w:r>
      <w:r w:rsidR="004A26FE" w:rsidRPr="000E2B5A">
        <w:rPr>
          <w:rFonts w:ascii="Garamond" w:hAnsi="Garamond"/>
          <w:sz w:val="22"/>
          <w:szCs w:val="22"/>
        </w:rPr>
        <w:t>,</w:t>
      </w:r>
      <w:r w:rsidRPr="000E2B5A">
        <w:rPr>
          <w:rFonts w:ascii="Garamond" w:hAnsi="Garamond"/>
          <w:sz w:val="22"/>
          <w:szCs w:val="22"/>
        </w:rPr>
        <w:t xml:space="preserve"> or done </w:t>
      </w:r>
      <w:r w:rsidR="005D74CB" w:rsidRPr="000E2B5A">
        <w:rPr>
          <w:rFonts w:ascii="Garamond" w:hAnsi="Garamond"/>
          <w:sz w:val="22"/>
          <w:szCs w:val="22"/>
        </w:rPr>
        <w:t>‘</w:t>
      </w:r>
      <w:r w:rsidRPr="000E2B5A">
        <w:rPr>
          <w:rFonts w:ascii="Garamond" w:hAnsi="Garamond"/>
          <w:sz w:val="22"/>
          <w:szCs w:val="22"/>
        </w:rPr>
        <w:t>with</w:t>
      </w:r>
      <w:r w:rsidR="005D74CB" w:rsidRPr="000E2B5A">
        <w:rPr>
          <w:rFonts w:ascii="Garamond" w:hAnsi="Garamond"/>
          <w:sz w:val="22"/>
          <w:szCs w:val="22"/>
        </w:rPr>
        <w:t>’</w:t>
      </w:r>
      <w:r w:rsidRPr="000E2B5A">
        <w:rPr>
          <w:rFonts w:ascii="Garamond" w:hAnsi="Garamond"/>
          <w:sz w:val="22"/>
          <w:szCs w:val="22"/>
        </w:rPr>
        <w:t xml:space="preserve"> (</w:t>
      </w:r>
      <w:r w:rsidR="005D74CB" w:rsidRPr="000E2B5A">
        <w:rPr>
          <w:rFonts w:ascii="Garamond" w:hAnsi="Garamond"/>
          <w:sz w:val="22"/>
          <w:szCs w:val="22"/>
        </w:rPr>
        <w:t>‘</w:t>
      </w:r>
      <w:r w:rsidRPr="000E2B5A">
        <w:rPr>
          <w:rFonts w:ascii="Garamond" w:hAnsi="Garamond"/>
          <w:sz w:val="22"/>
          <w:szCs w:val="22"/>
        </w:rPr>
        <w:t>all thy...</w:t>
      </w:r>
      <w:r w:rsidR="005D74CB" w:rsidRPr="000E2B5A">
        <w:rPr>
          <w:rFonts w:ascii="Garamond" w:hAnsi="Garamond"/>
          <w:sz w:val="22"/>
          <w:szCs w:val="22"/>
        </w:rPr>
        <w:t>’</w:t>
      </w:r>
      <w:r w:rsidRPr="000E2B5A">
        <w:rPr>
          <w:rFonts w:ascii="Garamond" w:hAnsi="Garamond"/>
          <w:sz w:val="22"/>
          <w:szCs w:val="22"/>
        </w:rPr>
        <w:t xml:space="preserve">) is: </w:t>
      </w:r>
      <w:r w:rsidR="005D74CB" w:rsidRPr="000E2B5A">
        <w:rPr>
          <w:rFonts w:ascii="Garamond" w:hAnsi="Garamond"/>
          <w:sz w:val="22"/>
          <w:szCs w:val="22"/>
        </w:rPr>
        <w:t>“</w:t>
      </w:r>
      <w:r w:rsidRPr="000E2B5A">
        <w:rPr>
          <w:rFonts w:ascii="Garamond" w:hAnsi="Garamond"/>
          <w:sz w:val="22"/>
          <w:szCs w:val="22"/>
          <w:u w:val="single"/>
        </w:rPr>
        <w:t>out of</w:t>
      </w:r>
      <w:r w:rsidRPr="000E2B5A">
        <w:rPr>
          <w:rFonts w:ascii="Garamond" w:hAnsi="Garamond"/>
          <w:sz w:val="22"/>
          <w:szCs w:val="22"/>
        </w:rPr>
        <w:t xml:space="preserve"> the heart (soul, mind and strength) of man</w:t>
      </w:r>
      <w:r w:rsidR="005D74CB" w:rsidRPr="000E2B5A">
        <w:rPr>
          <w:rFonts w:ascii="Garamond" w:hAnsi="Garamond"/>
          <w:sz w:val="22"/>
          <w:szCs w:val="22"/>
        </w:rPr>
        <w:t>”</w:t>
      </w:r>
      <w:r w:rsidR="004A26FE" w:rsidRPr="000E2B5A">
        <w:rPr>
          <w:rFonts w:ascii="Garamond" w:hAnsi="Garamond"/>
          <w:sz w:val="22"/>
          <w:szCs w:val="22"/>
        </w:rPr>
        <w:t>,</w:t>
      </w:r>
      <w:r w:rsidRPr="000E2B5A">
        <w:rPr>
          <w:rFonts w:ascii="Garamond" w:hAnsi="Garamond"/>
          <w:sz w:val="22"/>
          <w:szCs w:val="22"/>
        </w:rPr>
        <w:t xml:space="preserve"> transformed by the Gospel, proceeds the love of God.  Thereby the commandment is fulfilled.</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lastRenderedPageBreak/>
        <w:t>In Deut 6:6, another level operates.  For God</w:t>
      </w:r>
      <w:r w:rsidR="005D74CB" w:rsidRPr="000E2B5A">
        <w:rPr>
          <w:rFonts w:ascii="Garamond" w:hAnsi="Garamond"/>
          <w:sz w:val="22"/>
          <w:szCs w:val="22"/>
        </w:rPr>
        <w:t>’</w:t>
      </w:r>
      <w:r w:rsidRPr="000E2B5A">
        <w:rPr>
          <w:rFonts w:ascii="Garamond" w:hAnsi="Garamond"/>
          <w:sz w:val="22"/>
          <w:szCs w:val="22"/>
        </w:rPr>
        <w:t xml:space="preserve">s commandments to be fulfilled they must first be inscribed </w:t>
      </w:r>
      <w:r w:rsidR="005D74CB" w:rsidRPr="000E2B5A">
        <w:rPr>
          <w:rFonts w:ascii="Garamond" w:hAnsi="Garamond"/>
          <w:sz w:val="22"/>
          <w:szCs w:val="22"/>
        </w:rPr>
        <w:t>‘</w:t>
      </w:r>
      <w:r w:rsidRPr="000E2B5A">
        <w:rPr>
          <w:rFonts w:ascii="Garamond" w:hAnsi="Garamond"/>
          <w:sz w:val="22"/>
          <w:szCs w:val="22"/>
        </w:rPr>
        <w:t>upon</w:t>
      </w:r>
      <w:r w:rsidR="005D74CB" w:rsidRPr="000E2B5A">
        <w:rPr>
          <w:rFonts w:ascii="Garamond" w:hAnsi="Garamond"/>
          <w:sz w:val="22"/>
          <w:szCs w:val="22"/>
        </w:rPr>
        <w:t>’</w:t>
      </w:r>
      <w:r w:rsidRPr="000E2B5A">
        <w:rPr>
          <w:rFonts w:ascii="Garamond" w:hAnsi="Garamond"/>
          <w:sz w:val="22"/>
          <w:szCs w:val="22"/>
        </w:rPr>
        <w:t xml:space="preserve"> the heart (as they were to be </w:t>
      </w:r>
      <w:r w:rsidR="005D74CB" w:rsidRPr="000E2B5A">
        <w:rPr>
          <w:rFonts w:ascii="Garamond" w:hAnsi="Garamond"/>
          <w:sz w:val="22"/>
          <w:szCs w:val="22"/>
        </w:rPr>
        <w:t>‘</w:t>
      </w:r>
      <w:r w:rsidRPr="000E2B5A">
        <w:rPr>
          <w:rFonts w:ascii="Garamond" w:hAnsi="Garamond"/>
          <w:sz w:val="22"/>
          <w:szCs w:val="22"/>
        </w:rPr>
        <w:t>upon</w:t>
      </w:r>
      <w:r w:rsidR="005D74CB" w:rsidRPr="000E2B5A">
        <w:rPr>
          <w:rFonts w:ascii="Garamond" w:hAnsi="Garamond"/>
          <w:sz w:val="22"/>
          <w:szCs w:val="22"/>
        </w:rPr>
        <w:t>’</w:t>
      </w:r>
      <w:r w:rsidRPr="000E2B5A">
        <w:rPr>
          <w:rFonts w:ascii="Garamond" w:hAnsi="Garamond"/>
          <w:sz w:val="22"/>
          <w:szCs w:val="22"/>
        </w:rPr>
        <w:t xml:space="preserve"> the doorposts).  It is </w:t>
      </w:r>
      <w:r w:rsidR="005D74CB" w:rsidRPr="000E2B5A">
        <w:rPr>
          <w:rFonts w:ascii="Garamond" w:hAnsi="Garamond"/>
          <w:sz w:val="22"/>
          <w:szCs w:val="22"/>
        </w:rPr>
        <w:t>‘</w:t>
      </w:r>
      <w:r w:rsidRPr="000E2B5A">
        <w:rPr>
          <w:rFonts w:ascii="Garamond" w:hAnsi="Garamond"/>
          <w:sz w:val="22"/>
          <w:szCs w:val="22"/>
        </w:rPr>
        <w:t>out of</w:t>
      </w:r>
      <w:r w:rsidR="005D74CB" w:rsidRPr="000E2B5A">
        <w:rPr>
          <w:rFonts w:ascii="Garamond" w:hAnsi="Garamond"/>
          <w:sz w:val="22"/>
          <w:szCs w:val="22"/>
        </w:rPr>
        <w:t>’</w:t>
      </w:r>
      <w:r w:rsidRPr="000E2B5A">
        <w:rPr>
          <w:rFonts w:ascii="Garamond" w:hAnsi="Garamond"/>
          <w:sz w:val="22"/>
          <w:szCs w:val="22"/>
        </w:rPr>
        <w:t xml:space="preserve"> the </w:t>
      </w:r>
      <w:r w:rsidR="005D74CB" w:rsidRPr="000E2B5A">
        <w:rPr>
          <w:rFonts w:ascii="Garamond" w:hAnsi="Garamond"/>
          <w:sz w:val="22"/>
          <w:szCs w:val="22"/>
        </w:rPr>
        <w:t>“</w:t>
      </w:r>
      <w:r w:rsidRPr="000E2B5A">
        <w:rPr>
          <w:rFonts w:ascii="Garamond" w:hAnsi="Garamond"/>
          <w:sz w:val="22"/>
          <w:szCs w:val="22"/>
        </w:rPr>
        <w:t>fleshy tables of the heart</w:t>
      </w:r>
      <w:r w:rsidR="005D74CB" w:rsidRPr="000E2B5A">
        <w:rPr>
          <w:rFonts w:ascii="Garamond" w:hAnsi="Garamond"/>
          <w:sz w:val="22"/>
          <w:szCs w:val="22"/>
        </w:rPr>
        <w:t>”</w:t>
      </w:r>
      <w:r w:rsidR="002B1875" w:rsidRPr="000E2B5A">
        <w:rPr>
          <w:rFonts w:ascii="Garamond" w:hAnsi="Garamond"/>
          <w:sz w:val="22"/>
          <w:szCs w:val="22"/>
        </w:rPr>
        <w:t xml:space="preserve"> (KJV 2 Cor</w:t>
      </w:r>
      <w:r w:rsidRPr="000E2B5A">
        <w:rPr>
          <w:rFonts w:ascii="Garamond" w:hAnsi="Garamond"/>
          <w:sz w:val="22"/>
          <w:szCs w:val="22"/>
        </w:rPr>
        <w:t xml:space="preserve"> 3:3) upon which the Word is written that God can be loved with the totality of one</w:t>
      </w:r>
      <w:r w:rsidR="005D74CB" w:rsidRPr="000E2B5A">
        <w:rPr>
          <w:rFonts w:ascii="Garamond" w:hAnsi="Garamond"/>
          <w:sz w:val="22"/>
          <w:szCs w:val="22"/>
        </w:rPr>
        <w:t>’</w:t>
      </w:r>
      <w:r w:rsidRPr="000E2B5A">
        <w:rPr>
          <w:rFonts w:ascii="Garamond" w:hAnsi="Garamond"/>
          <w:sz w:val="22"/>
          <w:szCs w:val="22"/>
        </w:rPr>
        <w:t>s being.</w:t>
      </w:r>
      <w:r w:rsidRPr="000E2B5A">
        <w:rPr>
          <w:rFonts w:ascii="Garamond" w:hAnsi="Garamond"/>
          <w:sz w:val="22"/>
          <w:szCs w:val="22"/>
          <w:vertAlign w:val="superscript"/>
        </w:rPr>
        <w:footnoteReference w:id="29"/>
      </w:r>
      <w:r w:rsidR="002B1875" w:rsidRPr="000E2B5A">
        <w:rPr>
          <w:rFonts w:ascii="Garamond" w:hAnsi="Garamond"/>
          <w:sz w:val="22"/>
          <w:szCs w:val="22"/>
        </w:rPr>
        <w:t xml:space="preserve">  Thus, Deut</w:t>
      </w:r>
      <w:r w:rsidRPr="000E2B5A">
        <w:rPr>
          <w:rFonts w:ascii="Garamond" w:hAnsi="Garamond"/>
          <w:sz w:val="22"/>
          <w:szCs w:val="22"/>
        </w:rPr>
        <w:t xml:space="preserve"> 6:6 Hebrew should be rendered: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center"/>
        <w:rPr>
          <w:rFonts w:ascii="Garamond" w:hAnsi="Garamond"/>
          <w:sz w:val="22"/>
          <w:szCs w:val="22"/>
        </w:rPr>
      </w:pPr>
      <w:r w:rsidRPr="000E2B5A">
        <w:rPr>
          <w:rFonts w:ascii="Garamond" w:hAnsi="Garamond"/>
          <w:sz w:val="22"/>
          <w:szCs w:val="22"/>
        </w:rPr>
        <w:t xml:space="preserve">And these words, which I command thee this day, shall be </w:t>
      </w:r>
      <w:r w:rsidRPr="000E2B5A">
        <w:rPr>
          <w:rFonts w:ascii="Garamond" w:hAnsi="Garamond"/>
          <w:sz w:val="22"/>
          <w:szCs w:val="22"/>
          <w:u w:val="single"/>
        </w:rPr>
        <w:t>upon</w:t>
      </w:r>
      <w:r w:rsidRPr="000E2B5A">
        <w:rPr>
          <w:rFonts w:ascii="Garamond" w:hAnsi="Garamond"/>
          <w:sz w:val="22"/>
          <w:szCs w:val="22"/>
        </w:rPr>
        <w:t xml:space="preserve"> thine heart.</w:t>
      </w:r>
    </w:p>
    <w:p w:rsidR="00E87803" w:rsidRPr="000E2B5A" w:rsidRDefault="00E87803" w:rsidP="00D3182B">
      <w:pPr>
        <w:pStyle w:val="DefaultText"/>
        <w:jc w:val="center"/>
        <w:rPr>
          <w:rFonts w:ascii="Garamond" w:hAnsi="Garamond"/>
          <w:sz w:val="22"/>
          <w:szCs w:val="22"/>
          <w:u w:val="single"/>
        </w:rPr>
      </w:pPr>
    </w:p>
    <w:p w:rsidR="002B1875" w:rsidRPr="000E2B5A" w:rsidRDefault="00E87803" w:rsidP="002B1875">
      <w:pPr>
        <w:pStyle w:val="DefaultText"/>
        <w:tabs>
          <w:tab w:val="left" w:pos="1612"/>
          <w:tab w:val="left" w:pos="3163"/>
          <w:tab w:val="left" w:pos="4914"/>
        </w:tabs>
        <w:jc w:val="both"/>
        <w:rPr>
          <w:rFonts w:ascii="Garamond" w:hAnsi="Garamond"/>
          <w:sz w:val="22"/>
          <w:szCs w:val="22"/>
        </w:rPr>
      </w:pPr>
      <w:r w:rsidRPr="000E2B5A">
        <w:rPr>
          <w:rFonts w:ascii="Garamond" w:hAnsi="Garamond"/>
          <w:sz w:val="22"/>
          <w:szCs w:val="22"/>
        </w:rPr>
        <w:t>Finally, although L</w:t>
      </w:r>
      <w:r w:rsidR="002B1875" w:rsidRPr="000E2B5A">
        <w:rPr>
          <w:rFonts w:ascii="Garamond" w:hAnsi="Garamond"/>
          <w:sz w:val="22"/>
          <w:szCs w:val="22"/>
        </w:rPr>
        <w:t>u</w:t>
      </w:r>
      <w:r w:rsidRPr="000E2B5A">
        <w:rPr>
          <w:rFonts w:ascii="Garamond" w:hAnsi="Garamond"/>
          <w:sz w:val="22"/>
          <w:szCs w:val="22"/>
        </w:rPr>
        <w:t>k</w:t>
      </w:r>
      <w:r w:rsidR="002B1875" w:rsidRPr="000E2B5A">
        <w:rPr>
          <w:rFonts w:ascii="Garamond" w:hAnsi="Garamond"/>
          <w:sz w:val="22"/>
          <w:szCs w:val="22"/>
        </w:rPr>
        <w:t>e</w:t>
      </w:r>
      <w:r w:rsidRPr="000E2B5A">
        <w:rPr>
          <w:rFonts w:ascii="Garamond" w:hAnsi="Garamond"/>
          <w:sz w:val="22"/>
          <w:szCs w:val="22"/>
        </w:rPr>
        <w:t xml:space="preserve"> 10:27 (above) is not surrounded by the extended issues found in Matthew 22 and in Mark 12, it is also an instance of Deut 6:5.  For this r</w:t>
      </w:r>
      <w:r w:rsidR="002B1875" w:rsidRPr="000E2B5A">
        <w:rPr>
          <w:rFonts w:ascii="Garamond" w:hAnsi="Garamond"/>
          <w:sz w:val="22"/>
          <w:szCs w:val="22"/>
        </w:rPr>
        <w:t>eason, Deut 6:5’s</w:t>
      </w:r>
      <w:r w:rsidRPr="000E2B5A">
        <w:rPr>
          <w:rFonts w:ascii="Garamond" w:hAnsi="Garamond"/>
          <w:sz w:val="22"/>
          <w:szCs w:val="22"/>
        </w:rPr>
        <w:t xml:space="preserve"> mode of presentation in Luke can be related to its use in Matthew and Mark.  Noticeably, L</w:t>
      </w:r>
      <w:r w:rsidR="002B1875" w:rsidRPr="000E2B5A">
        <w:rPr>
          <w:rFonts w:ascii="Garamond" w:hAnsi="Garamond"/>
          <w:sz w:val="22"/>
          <w:szCs w:val="22"/>
        </w:rPr>
        <w:t>u</w:t>
      </w:r>
      <w:r w:rsidRPr="000E2B5A">
        <w:rPr>
          <w:rFonts w:ascii="Garamond" w:hAnsi="Garamond"/>
          <w:sz w:val="22"/>
          <w:szCs w:val="22"/>
        </w:rPr>
        <w:t>k</w:t>
      </w:r>
      <w:r w:rsidR="002B1875" w:rsidRPr="000E2B5A">
        <w:rPr>
          <w:rFonts w:ascii="Garamond" w:hAnsi="Garamond"/>
          <w:sz w:val="22"/>
          <w:szCs w:val="22"/>
        </w:rPr>
        <w:t>e</w:t>
      </w:r>
      <w:r w:rsidRPr="000E2B5A">
        <w:rPr>
          <w:rFonts w:ascii="Garamond" w:hAnsi="Garamond"/>
          <w:sz w:val="22"/>
          <w:szCs w:val="22"/>
        </w:rPr>
        <w:t xml:space="preserve"> 10:27 is like a mixture of M</w:t>
      </w:r>
      <w:r w:rsidR="002B1875" w:rsidRPr="000E2B5A">
        <w:rPr>
          <w:rFonts w:ascii="Garamond" w:hAnsi="Garamond"/>
          <w:sz w:val="22"/>
          <w:szCs w:val="22"/>
        </w:rPr>
        <w:t>ar</w:t>
      </w:r>
      <w:r w:rsidRPr="000E2B5A">
        <w:rPr>
          <w:rFonts w:ascii="Garamond" w:hAnsi="Garamond"/>
          <w:sz w:val="22"/>
          <w:szCs w:val="22"/>
        </w:rPr>
        <w:t>k 12:30 and M</w:t>
      </w:r>
      <w:r w:rsidR="002B1875" w:rsidRPr="000E2B5A">
        <w:rPr>
          <w:rFonts w:ascii="Garamond" w:hAnsi="Garamond"/>
          <w:sz w:val="22"/>
          <w:szCs w:val="22"/>
        </w:rPr>
        <w:t>a</w:t>
      </w:r>
      <w:r w:rsidRPr="000E2B5A">
        <w:rPr>
          <w:rFonts w:ascii="Garamond" w:hAnsi="Garamond"/>
          <w:sz w:val="22"/>
          <w:szCs w:val="22"/>
        </w:rPr>
        <w:t xml:space="preserve">tt 22:37, but it also has some agreement, where they do not, with </w:t>
      </w:r>
      <w:r w:rsidR="002B1875" w:rsidRPr="000E2B5A">
        <w:rPr>
          <w:rFonts w:ascii="Garamond" w:hAnsi="Garamond"/>
          <w:sz w:val="22"/>
          <w:szCs w:val="22"/>
        </w:rPr>
        <w:t xml:space="preserve">the </w:t>
      </w:r>
      <w:r w:rsidRPr="000E2B5A">
        <w:rPr>
          <w:rFonts w:ascii="Garamond" w:hAnsi="Garamond"/>
          <w:sz w:val="22"/>
          <w:szCs w:val="22"/>
        </w:rPr>
        <w:t>M</w:t>
      </w:r>
      <w:r w:rsidR="002B1875" w:rsidRPr="000E2B5A">
        <w:rPr>
          <w:rFonts w:ascii="Garamond" w:hAnsi="Garamond"/>
          <w:sz w:val="22"/>
          <w:szCs w:val="22"/>
        </w:rPr>
        <w:t>T—Deut 6:5 has ‘heart - soul - might (or ‘strength’)’ and this order matches Luke 10:27 (but Deuteronomy does not have the word ‘mind’ which occurs in all three Gospels).</w:t>
      </w:r>
    </w:p>
    <w:p w:rsidR="002B1875" w:rsidRPr="000E2B5A" w:rsidRDefault="002B1875" w:rsidP="002B1875">
      <w:pPr>
        <w:pStyle w:val="DefaultText"/>
        <w:tabs>
          <w:tab w:val="left" w:pos="1612"/>
          <w:tab w:val="left" w:pos="3163"/>
          <w:tab w:val="left" w:pos="4914"/>
        </w:tabs>
        <w:jc w:val="both"/>
        <w:rPr>
          <w:rFonts w:ascii="Garamond" w:hAnsi="Garamond"/>
          <w:sz w:val="22"/>
          <w:szCs w:val="22"/>
        </w:rPr>
      </w:pPr>
    </w:p>
    <w:p w:rsidR="00E87803" w:rsidRPr="000E2B5A" w:rsidRDefault="00D567B9" w:rsidP="00D3182B">
      <w:pPr>
        <w:pStyle w:val="DefaultText"/>
        <w:jc w:val="both"/>
        <w:rPr>
          <w:rFonts w:ascii="Garamond" w:hAnsi="Garamond"/>
          <w:i/>
          <w:sz w:val="22"/>
          <w:szCs w:val="22"/>
        </w:rPr>
      </w:pPr>
      <w:r w:rsidRPr="000E2B5A">
        <w:rPr>
          <w:rFonts w:ascii="Garamond" w:hAnsi="Garamond"/>
          <w:i/>
          <w:sz w:val="22"/>
          <w:szCs w:val="22"/>
        </w:rPr>
        <w:t>Summary</w:t>
      </w:r>
    </w:p>
    <w:p w:rsidR="00D567B9" w:rsidRPr="000E2B5A" w:rsidRDefault="00D567B9"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Resulting from this data and analysis it is clear that whilst all three Gospels diverge from the OT, they each have points of contact with the Hebrew text.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None of these Gospel quotational parallels supports the possibility of the use of a Hebrew source other than </w:t>
      </w:r>
      <w:r w:rsidR="00D567B9" w:rsidRPr="000E2B5A">
        <w:rPr>
          <w:rFonts w:ascii="Garamond" w:hAnsi="Garamond"/>
          <w:sz w:val="22"/>
          <w:szCs w:val="22"/>
        </w:rPr>
        <w:t xml:space="preserve">the </w:t>
      </w:r>
      <w:r w:rsidRPr="000E2B5A">
        <w:rPr>
          <w:rFonts w:ascii="Garamond" w:hAnsi="Garamond"/>
          <w:sz w:val="22"/>
          <w:szCs w:val="22"/>
        </w:rPr>
        <w:t>M</w:t>
      </w:r>
      <w:r w:rsidR="00D567B9" w:rsidRPr="000E2B5A">
        <w:rPr>
          <w:rFonts w:ascii="Garamond" w:hAnsi="Garamond"/>
          <w:sz w:val="22"/>
          <w:szCs w:val="22"/>
        </w:rPr>
        <w:t>T</w:t>
      </w:r>
      <w:r w:rsidRPr="000E2B5A">
        <w:rPr>
          <w:rFonts w:ascii="Garamond" w:hAnsi="Garamond"/>
          <w:sz w:val="22"/>
          <w:szCs w:val="22"/>
        </w:rPr>
        <w:t xml:space="preserve">.   Consider the difficulties for such a possibility: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(a) Matthew has </w:t>
      </w:r>
      <w:r w:rsidR="005D74CB" w:rsidRPr="000E2B5A">
        <w:rPr>
          <w:rFonts w:ascii="Garamond" w:hAnsi="Garamond"/>
          <w:sz w:val="22"/>
          <w:szCs w:val="22"/>
        </w:rPr>
        <w:t>‘</w:t>
      </w:r>
      <w:r w:rsidRPr="000E2B5A">
        <w:rPr>
          <w:rFonts w:ascii="Garamond" w:hAnsi="Garamond"/>
          <w:sz w:val="22"/>
          <w:szCs w:val="22"/>
        </w:rPr>
        <w:t>with</w:t>
      </w:r>
      <w:r w:rsidR="005D74CB" w:rsidRPr="000E2B5A">
        <w:rPr>
          <w:rFonts w:ascii="Garamond" w:hAnsi="Garamond"/>
          <w:sz w:val="22"/>
          <w:szCs w:val="22"/>
        </w:rPr>
        <w:t>’</w:t>
      </w:r>
      <w:r w:rsidRPr="000E2B5A">
        <w:rPr>
          <w:rFonts w:ascii="Garamond" w:hAnsi="Garamond"/>
          <w:sz w:val="22"/>
          <w:szCs w:val="22"/>
        </w:rPr>
        <w:t>/</w:t>
      </w:r>
      <w:r w:rsidR="005D74CB" w:rsidRPr="000E2B5A">
        <w:rPr>
          <w:rFonts w:ascii="Garamond" w:hAnsi="Garamond"/>
          <w:sz w:val="22"/>
          <w:szCs w:val="22"/>
        </w:rPr>
        <w:t>’</w:t>
      </w:r>
      <w:r w:rsidRPr="000E2B5A">
        <w:rPr>
          <w:rFonts w:ascii="Garamond" w:hAnsi="Garamond"/>
          <w:sz w:val="22"/>
          <w:szCs w:val="22"/>
        </w:rPr>
        <w:t>in</w:t>
      </w:r>
      <w:r w:rsidR="005D74CB" w:rsidRPr="000E2B5A">
        <w:rPr>
          <w:rFonts w:ascii="Garamond" w:hAnsi="Garamond"/>
          <w:sz w:val="22"/>
          <w:szCs w:val="22"/>
        </w:rPr>
        <w:t>’</w:t>
      </w:r>
      <w:r w:rsidRPr="000E2B5A">
        <w:rPr>
          <w:rFonts w:ascii="Garamond" w:hAnsi="Garamond"/>
          <w:sz w:val="22"/>
          <w:szCs w:val="22"/>
        </w:rPr>
        <w:t xml:space="preserve"> as does MT; Luke has </w:t>
      </w:r>
      <w:r w:rsidR="005D74CB" w:rsidRPr="000E2B5A">
        <w:rPr>
          <w:rFonts w:ascii="Garamond" w:hAnsi="Garamond"/>
          <w:sz w:val="22"/>
          <w:szCs w:val="22"/>
        </w:rPr>
        <w:t>‘</w:t>
      </w:r>
      <w:r w:rsidRPr="000E2B5A">
        <w:rPr>
          <w:rFonts w:ascii="Garamond" w:hAnsi="Garamond"/>
          <w:sz w:val="22"/>
          <w:szCs w:val="22"/>
        </w:rPr>
        <w:t>with</w:t>
      </w:r>
      <w:r w:rsidR="005D74CB" w:rsidRPr="000E2B5A">
        <w:rPr>
          <w:rFonts w:ascii="Garamond" w:hAnsi="Garamond"/>
          <w:sz w:val="22"/>
          <w:szCs w:val="22"/>
        </w:rPr>
        <w:t>’</w:t>
      </w:r>
      <w:r w:rsidRPr="000E2B5A">
        <w:rPr>
          <w:rFonts w:ascii="Garamond" w:hAnsi="Garamond"/>
          <w:sz w:val="22"/>
          <w:szCs w:val="22"/>
        </w:rPr>
        <w:t>/</w:t>
      </w:r>
      <w:r w:rsidR="005D74CB" w:rsidRPr="000E2B5A">
        <w:rPr>
          <w:rFonts w:ascii="Garamond" w:hAnsi="Garamond"/>
          <w:sz w:val="22"/>
          <w:szCs w:val="22"/>
        </w:rPr>
        <w:t>’</w:t>
      </w:r>
      <w:r w:rsidRPr="000E2B5A">
        <w:rPr>
          <w:rFonts w:ascii="Garamond" w:hAnsi="Garamond"/>
          <w:sz w:val="22"/>
          <w:szCs w:val="22"/>
        </w:rPr>
        <w:t>in</w:t>
      </w:r>
      <w:r w:rsidR="005D74CB" w:rsidRPr="000E2B5A">
        <w:rPr>
          <w:rFonts w:ascii="Garamond" w:hAnsi="Garamond"/>
          <w:sz w:val="22"/>
          <w:szCs w:val="22"/>
        </w:rPr>
        <w:t>’</w:t>
      </w:r>
      <w:r w:rsidRPr="000E2B5A">
        <w:rPr>
          <w:rFonts w:ascii="Garamond" w:hAnsi="Garamond"/>
          <w:sz w:val="22"/>
          <w:szCs w:val="22"/>
        </w:rPr>
        <w:t xml:space="preserve"> like Matthew and MT, but also includes one instance of the NT</w:t>
      </w:r>
      <w:r w:rsidR="005D74CB" w:rsidRPr="000E2B5A">
        <w:rPr>
          <w:rFonts w:ascii="Garamond" w:hAnsi="Garamond"/>
          <w:sz w:val="22"/>
          <w:szCs w:val="22"/>
        </w:rPr>
        <w:t>’</w:t>
      </w:r>
      <w:r w:rsidRPr="000E2B5A">
        <w:rPr>
          <w:rFonts w:ascii="Garamond" w:hAnsi="Garamond"/>
          <w:sz w:val="22"/>
          <w:szCs w:val="22"/>
        </w:rPr>
        <w:t xml:space="preserve">s </w:t>
      </w:r>
      <w:r w:rsidR="005D74CB" w:rsidRPr="000E2B5A">
        <w:rPr>
          <w:rFonts w:ascii="Garamond" w:hAnsi="Garamond"/>
          <w:sz w:val="22"/>
          <w:szCs w:val="22"/>
        </w:rPr>
        <w:t>‘</w:t>
      </w:r>
      <w:r w:rsidRPr="000E2B5A">
        <w:rPr>
          <w:rFonts w:ascii="Garamond" w:hAnsi="Garamond"/>
          <w:sz w:val="22"/>
          <w:szCs w:val="22"/>
        </w:rPr>
        <w:t>out of</w:t>
      </w:r>
      <w:r w:rsidR="005D74CB" w:rsidRPr="000E2B5A">
        <w:rPr>
          <w:rFonts w:ascii="Garamond" w:hAnsi="Garamond"/>
          <w:sz w:val="22"/>
          <w:szCs w:val="22"/>
        </w:rPr>
        <w:t>’</w:t>
      </w:r>
      <w:r w:rsidRPr="000E2B5A">
        <w:rPr>
          <w:rFonts w:ascii="Garamond" w:hAnsi="Garamond"/>
          <w:sz w:val="22"/>
          <w:szCs w:val="22"/>
        </w:rPr>
        <w:t xml:space="preserve"> found exclusively in Mark. </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So</w:t>
      </w:r>
      <w:r w:rsidR="00D567B9" w:rsidRPr="000E2B5A">
        <w:rPr>
          <w:rFonts w:ascii="Garamond" w:hAnsi="Garamond"/>
          <w:sz w:val="22"/>
          <w:szCs w:val="22"/>
        </w:rPr>
        <w:t>,</w:t>
      </w:r>
      <w:r w:rsidRPr="000E2B5A">
        <w:rPr>
          <w:rFonts w:ascii="Garamond" w:hAnsi="Garamond"/>
          <w:sz w:val="22"/>
          <w:szCs w:val="22"/>
        </w:rPr>
        <w:t xml:space="preserve"> if Matthew represents inspired support for</w:t>
      </w:r>
      <w:r w:rsidR="00D567B9" w:rsidRPr="000E2B5A">
        <w:rPr>
          <w:rFonts w:ascii="Garamond" w:hAnsi="Garamond"/>
          <w:sz w:val="22"/>
          <w:szCs w:val="22"/>
        </w:rPr>
        <w:t xml:space="preserve"> the</w:t>
      </w:r>
      <w:r w:rsidRPr="000E2B5A">
        <w:rPr>
          <w:rFonts w:ascii="Garamond" w:hAnsi="Garamond"/>
          <w:sz w:val="22"/>
          <w:szCs w:val="22"/>
        </w:rPr>
        <w:t xml:space="preserve"> MT, in this respect, where does it leave Mark and Luke?  They are each a mixture of agreement and variation, both with each other and with the OT.  Does it require another source, scrolls of the law which differ from </w:t>
      </w:r>
      <w:r w:rsidR="00D567B9" w:rsidRPr="000E2B5A">
        <w:rPr>
          <w:rFonts w:ascii="Garamond" w:hAnsi="Garamond"/>
          <w:sz w:val="22"/>
          <w:szCs w:val="22"/>
        </w:rPr>
        <w:t xml:space="preserve">the </w:t>
      </w:r>
      <w:r w:rsidRPr="000E2B5A">
        <w:rPr>
          <w:rFonts w:ascii="Garamond" w:hAnsi="Garamond"/>
          <w:sz w:val="22"/>
          <w:szCs w:val="22"/>
        </w:rPr>
        <w:t>MT, for Mark and Luke</w:t>
      </w:r>
      <w:r w:rsidR="005D74CB" w:rsidRPr="000E2B5A">
        <w:rPr>
          <w:rFonts w:ascii="Garamond" w:hAnsi="Garamond"/>
          <w:sz w:val="22"/>
          <w:szCs w:val="22"/>
        </w:rPr>
        <w:t>’</w:t>
      </w:r>
      <w:r w:rsidRPr="000E2B5A">
        <w:rPr>
          <w:rFonts w:ascii="Garamond" w:hAnsi="Garamond"/>
          <w:sz w:val="22"/>
          <w:szCs w:val="22"/>
        </w:rPr>
        <w:t>s presentation?  Surely not! These differences are NT derived.  Surely, even if one Gospel does give the actual spoken words of Jesus, he would understand any variation from it to be true of what he had in mind.</w:t>
      </w:r>
    </w:p>
    <w:p w:rsidR="00E87803" w:rsidRPr="000E2B5A" w:rsidRDefault="00E87803" w:rsidP="00D3182B">
      <w:pPr>
        <w:pStyle w:val="DefaultText"/>
        <w:jc w:val="both"/>
        <w:rPr>
          <w:rFonts w:ascii="Garamond" w:hAnsi="Garamond"/>
          <w:sz w:val="22"/>
          <w:szCs w:val="22"/>
        </w:rPr>
      </w:pPr>
    </w:p>
    <w:p w:rsidR="00E87803" w:rsidRPr="000E2B5A" w:rsidRDefault="00E87803" w:rsidP="00D3182B">
      <w:pPr>
        <w:pStyle w:val="DefaultText"/>
        <w:jc w:val="both"/>
        <w:rPr>
          <w:rFonts w:ascii="Garamond" w:hAnsi="Garamond"/>
          <w:sz w:val="22"/>
          <w:szCs w:val="22"/>
        </w:rPr>
      </w:pPr>
      <w:r w:rsidRPr="000E2B5A">
        <w:rPr>
          <w:rFonts w:ascii="Garamond" w:hAnsi="Garamond"/>
          <w:sz w:val="22"/>
          <w:szCs w:val="22"/>
        </w:rPr>
        <w:t xml:space="preserve">(b) Luke agrees exactly with MT with </w:t>
      </w:r>
      <w:r w:rsidR="005D74CB" w:rsidRPr="000E2B5A">
        <w:rPr>
          <w:rFonts w:ascii="Garamond" w:hAnsi="Garamond"/>
          <w:sz w:val="22"/>
          <w:szCs w:val="22"/>
        </w:rPr>
        <w:t>‘</w:t>
      </w:r>
      <w:r w:rsidRPr="000E2B5A">
        <w:rPr>
          <w:rFonts w:ascii="Garamond" w:hAnsi="Garamond"/>
          <w:sz w:val="22"/>
          <w:szCs w:val="22"/>
        </w:rPr>
        <w:t xml:space="preserve">heart - soul - might (or </w:t>
      </w:r>
      <w:r w:rsidR="005D74CB" w:rsidRPr="000E2B5A">
        <w:rPr>
          <w:rFonts w:ascii="Garamond" w:hAnsi="Garamond"/>
          <w:sz w:val="22"/>
          <w:szCs w:val="22"/>
        </w:rPr>
        <w:t>‘</w:t>
      </w:r>
      <w:r w:rsidRPr="000E2B5A">
        <w:rPr>
          <w:rFonts w:ascii="Garamond" w:hAnsi="Garamond"/>
          <w:sz w:val="22"/>
          <w:szCs w:val="22"/>
        </w:rPr>
        <w:t>strength</w:t>
      </w:r>
      <w:r w:rsidR="005D74CB" w:rsidRPr="000E2B5A">
        <w:rPr>
          <w:rFonts w:ascii="Garamond" w:hAnsi="Garamond"/>
          <w:sz w:val="22"/>
          <w:szCs w:val="22"/>
        </w:rPr>
        <w:t>’</w:t>
      </w:r>
      <w:r w:rsidRPr="000E2B5A">
        <w:rPr>
          <w:rFonts w:ascii="Garamond" w:hAnsi="Garamond"/>
          <w:sz w:val="22"/>
          <w:szCs w:val="22"/>
        </w:rPr>
        <w:t>),</w:t>
      </w:r>
      <w:r w:rsidR="005D74CB" w:rsidRPr="000E2B5A">
        <w:rPr>
          <w:rFonts w:ascii="Garamond" w:hAnsi="Garamond"/>
          <w:sz w:val="22"/>
          <w:szCs w:val="22"/>
        </w:rPr>
        <w:t>’</w:t>
      </w:r>
      <w:r w:rsidRPr="000E2B5A">
        <w:rPr>
          <w:rFonts w:ascii="Garamond" w:hAnsi="Garamond"/>
          <w:sz w:val="22"/>
          <w:szCs w:val="22"/>
        </w:rPr>
        <w:t xml:space="preserve"> so this supports</w:t>
      </w:r>
      <w:r w:rsidR="00D567B9" w:rsidRPr="000E2B5A">
        <w:rPr>
          <w:rFonts w:ascii="Garamond" w:hAnsi="Garamond"/>
          <w:sz w:val="22"/>
          <w:szCs w:val="22"/>
        </w:rPr>
        <w:t xml:space="preserve"> the</w:t>
      </w:r>
      <w:r w:rsidRPr="000E2B5A">
        <w:rPr>
          <w:rFonts w:ascii="Garamond" w:hAnsi="Garamond"/>
          <w:sz w:val="22"/>
          <w:szCs w:val="22"/>
        </w:rPr>
        <w:t xml:space="preserve"> MT, whereas Matthew and Mark differ in this word order.  In which </w:t>
      </w:r>
      <w:r w:rsidRPr="000E2B5A">
        <w:rPr>
          <w:rFonts w:ascii="Garamond" w:hAnsi="Garamond"/>
          <w:sz w:val="22"/>
          <w:szCs w:val="22"/>
        </w:rPr>
        <w:lastRenderedPageBreak/>
        <w:t xml:space="preserve">case, this would mean that Matthew agrees with </w:t>
      </w:r>
      <w:r w:rsidR="00D567B9" w:rsidRPr="000E2B5A">
        <w:rPr>
          <w:rFonts w:ascii="Garamond" w:hAnsi="Garamond"/>
          <w:sz w:val="22"/>
          <w:szCs w:val="22"/>
        </w:rPr>
        <w:t xml:space="preserve">the </w:t>
      </w:r>
      <w:r w:rsidRPr="000E2B5A">
        <w:rPr>
          <w:rFonts w:ascii="Garamond" w:hAnsi="Garamond"/>
          <w:sz w:val="22"/>
          <w:szCs w:val="22"/>
        </w:rPr>
        <w:t xml:space="preserve">MT over </w:t>
      </w:r>
      <w:r w:rsidR="005D74CB" w:rsidRPr="000E2B5A">
        <w:rPr>
          <w:rFonts w:ascii="Garamond" w:hAnsi="Garamond"/>
          <w:sz w:val="22"/>
          <w:szCs w:val="22"/>
        </w:rPr>
        <w:t>‘</w:t>
      </w:r>
      <w:r w:rsidRPr="000E2B5A">
        <w:rPr>
          <w:rFonts w:ascii="Garamond" w:hAnsi="Garamond"/>
          <w:sz w:val="22"/>
          <w:szCs w:val="22"/>
        </w:rPr>
        <w:t>with</w:t>
      </w:r>
      <w:r w:rsidR="005D74CB" w:rsidRPr="000E2B5A">
        <w:rPr>
          <w:rFonts w:ascii="Garamond" w:hAnsi="Garamond"/>
          <w:sz w:val="22"/>
          <w:szCs w:val="22"/>
        </w:rPr>
        <w:t>’</w:t>
      </w:r>
      <w:r w:rsidRPr="000E2B5A">
        <w:rPr>
          <w:rFonts w:ascii="Garamond" w:hAnsi="Garamond"/>
          <w:sz w:val="22"/>
          <w:szCs w:val="22"/>
        </w:rPr>
        <w:t>/</w:t>
      </w:r>
      <w:r w:rsidR="005D74CB" w:rsidRPr="000E2B5A">
        <w:rPr>
          <w:rFonts w:ascii="Garamond" w:hAnsi="Garamond"/>
          <w:sz w:val="22"/>
          <w:szCs w:val="22"/>
        </w:rPr>
        <w:t>’</w:t>
      </w:r>
      <w:r w:rsidRPr="000E2B5A">
        <w:rPr>
          <w:rFonts w:ascii="Garamond" w:hAnsi="Garamond"/>
          <w:sz w:val="22"/>
          <w:szCs w:val="22"/>
        </w:rPr>
        <w:t>in</w:t>
      </w:r>
      <w:r w:rsidR="005D74CB" w:rsidRPr="000E2B5A">
        <w:rPr>
          <w:rFonts w:ascii="Garamond" w:hAnsi="Garamond"/>
          <w:sz w:val="22"/>
          <w:szCs w:val="22"/>
        </w:rPr>
        <w:t>’</w:t>
      </w:r>
      <w:r w:rsidRPr="000E2B5A">
        <w:rPr>
          <w:rFonts w:ascii="Garamond" w:hAnsi="Garamond"/>
          <w:sz w:val="22"/>
          <w:szCs w:val="22"/>
        </w:rPr>
        <w:t xml:space="preserve"> but against </w:t>
      </w:r>
      <w:r w:rsidR="00D567B9" w:rsidRPr="000E2B5A">
        <w:rPr>
          <w:rFonts w:ascii="Garamond" w:hAnsi="Garamond"/>
          <w:sz w:val="22"/>
          <w:szCs w:val="22"/>
        </w:rPr>
        <w:t xml:space="preserve">the </w:t>
      </w:r>
      <w:r w:rsidRPr="000E2B5A">
        <w:rPr>
          <w:rFonts w:ascii="Garamond" w:hAnsi="Garamond"/>
          <w:sz w:val="22"/>
          <w:szCs w:val="22"/>
        </w:rPr>
        <w:t xml:space="preserve">MT, unlike Luke, over </w:t>
      </w:r>
      <w:r w:rsidR="005D74CB" w:rsidRPr="000E2B5A">
        <w:rPr>
          <w:rFonts w:ascii="Garamond" w:hAnsi="Garamond"/>
          <w:sz w:val="22"/>
          <w:szCs w:val="22"/>
        </w:rPr>
        <w:t>‘</w:t>
      </w:r>
      <w:r w:rsidRPr="000E2B5A">
        <w:rPr>
          <w:rFonts w:ascii="Garamond" w:hAnsi="Garamond"/>
          <w:sz w:val="22"/>
          <w:szCs w:val="22"/>
        </w:rPr>
        <w:t xml:space="preserve">heart - soul - might (or </w:t>
      </w:r>
      <w:r w:rsidR="005D74CB" w:rsidRPr="000E2B5A">
        <w:rPr>
          <w:rFonts w:ascii="Garamond" w:hAnsi="Garamond"/>
          <w:sz w:val="22"/>
          <w:szCs w:val="22"/>
        </w:rPr>
        <w:t>‘</w:t>
      </w:r>
      <w:r w:rsidRPr="000E2B5A">
        <w:rPr>
          <w:rFonts w:ascii="Garamond" w:hAnsi="Garamond"/>
          <w:sz w:val="22"/>
          <w:szCs w:val="22"/>
        </w:rPr>
        <w:t>strength</w:t>
      </w:r>
      <w:r w:rsidR="005D74CB" w:rsidRPr="000E2B5A">
        <w:rPr>
          <w:rFonts w:ascii="Garamond" w:hAnsi="Garamond"/>
          <w:sz w:val="22"/>
          <w:szCs w:val="22"/>
        </w:rPr>
        <w:t>’</w:t>
      </w:r>
      <w:r w:rsidRPr="000E2B5A">
        <w:rPr>
          <w:rFonts w:ascii="Garamond" w:hAnsi="Garamond"/>
          <w:sz w:val="22"/>
          <w:szCs w:val="22"/>
        </w:rPr>
        <w:t>)</w:t>
      </w:r>
      <w:r w:rsidR="005D74CB" w:rsidRPr="000E2B5A">
        <w:rPr>
          <w:rFonts w:ascii="Garamond" w:hAnsi="Garamond"/>
          <w:sz w:val="22"/>
          <w:szCs w:val="22"/>
        </w:rPr>
        <w:t>’</w:t>
      </w:r>
      <w:r w:rsidR="00D567B9" w:rsidRPr="000E2B5A">
        <w:rPr>
          <w:rFonts w:ascii="Garamond" w:hAnsi="Garamond"/>
          <w:sz w:val="22"/>
          <w:szCs w:val="22"/>
        </w:rPr>
        <w:t>.</w:t>
      </w:r>
      <w:r w:rsidRPr="000E2B5A">
        <w:rPr>
          <w:rFonts w:ascii="Garamond" w:hAnsi="Garamond"/>
          <w:sz w:val="22"/>
          <w:szCs w:val="22"/>
        </w:rPr>
        <w:t xml:space="preserve">  Yet </w:t>
      </w:r>
      <w:r w:rsidR="005D74CB" w:rsidRPr="000E2B5A">
        <w:rPr>
          <w:rFonts w:ascii="Garamond" w:hAnsi="Garamond"/>
          <w:sz w:val="22"/>
          <w:szCs w:val="22"/>
        </w:rPr>
        <w:t>‘</w:t>
      </w:r>
      <w:r w:rsidRPr="000E2B5A">
        <w:rPr>
          <w:rFonts w:ascii="Garamond" w:hAnsi="Garamond"/>
          <w:sz w:val="22"/>
          <w:szCs w:val="22"/>
        </w:rPr>
        <w:t>mind</w:t>
      </w:r>
      <w:r w:rsidR="005D74CB" w:rsidRPr="000E2B5A">
        <w:rPr>
          <w:rFonts w:ascii="Garamond" w:hAnsi="Garamond"/>
          <w:sz w:val="22"/>
          <w:szCs w:val="22"/>
        </w:rPr>
        <w:t>’</w:t>
      </w:r>
      <w:r w:rsidRPr="000E2B5A">
        <w:rPr>
          <w:rFonts w:ascii="Garamond" w:hAnsi="Garamond"/>
          <w:sz w:val="22"/>
          <w:szCs w:val="22"/>
        </w:rPr>
        <w:t xml:space="preserve"> which does not occur in </w:t>
      </w:r>
      <w:r w:rsidR="00D567B9" w:rsidRPr="000E2B5A">
        <w:rPr>
          <w:rFonts w:ascii="Garamond" w:hAnsi="Garamond"/>
          <w:sz w:val="22"/>
          <w:szCs w:val="22"/>
        </w:rPr>
        <w:t xml:space="preserve">the </w:t>
      </w:r>
      <w:r w:rsidRPr="000E2B5A">
        <w:rPr>
          <w:rFonts w:ascii="Garamond" w:hAnsi="Garamond"/>
          <w:sz w:val="22"/>
          <w:szCs w:val="22"/>
        </w:rPr>
        <w:t xml:space="preserve">MT is common to all three.  Since all three Gospels are inspired and yet differ from each other, and from </w:t>
      </w:r>
      <w:r w:rsidR="00D567B9" w:rsidRPr="000E2B5A">
        <w:rPr>
          <w:rFonts w:ascii="Garamond" w:hAnsi="Garamond"/>
          <w:sz w:val="22"/>
          <w:szCs w:val="22"/>
        </w:rPr>
        <w:t xml:space="preserve">the </w:t>
      </w:r>
      <w:r w:rsidRPr="000E2B5A">
        <w:rPr>
          <w:rFonts w:ascii="Garamond" w:hAnsi="Garamond"/>
          <w:sz w:val="22"/>
          <w:szCs w:val="22"/>
        </w:rPr>
        <w:t xml:space="preserve">MT, divergence is not proof against inspiration, or against the textual reliability of </w:t>
      </w:r>
      <w:r w:rsidR="00D567B9" w:rsidRPr="000E2B5A">
        <w:rPr>
          <w:rFonts w:ascii="Garamond" w:hAnsi="Garamond"/>
          <w:sz w:val="22"/>
          <w:szCs w:val="22"/>
        </w:rPr>
        <w:t xml:space="preserve">the </w:t>
      </w:r>
      <w:r w:rsidR="007F3CE2" w:rsidRPr="000E2B5A">
        <w:rPr>
          <w:rFonts w:ascii="Garamond" w:hAnsi="Garamond"/>
          <w:sz w:val="22"/>
          <w:szCs w:val="22"/>
        </w:rPr>
        <w:t xml:space="preserve">(consonantal) </w:t>
      </w:r>
      <w:r w:rsidRPr="000E2B5A">
        <w:rPr>
          <w:rFonts w:ascii="Garamond" w:hAnsi="Garamond"/>
          <w:sz w:val="22"/>
          <w:szCs w:val="22"/>
        </w:rPr>
        <w:t>MT.  Inspired variation in the NT</w:t>
      </w:r>
      <w:r w:rsidR="005D74CB" w:rsidRPr="000E2B5A">
        <w:rPr>
          <w:rFonts w:ascii="Garamond" w:hAnsi="Garamond"/>
          <w:sz w:val="22"/>
          <w:szCs w:val="22"/>
        </w:rPr>
        <w:t>’</w:t>
      </w:r>
      <w:r w:rsidRPr="000E2B5A">
        <w:rPr>
          <w:rFonts w:ascii="Garamond" w:hAnsi="Garamond"/>
          <w:sz w:val="22"/>
          <w:szCs w:val="22"/>
        </w:rPr>
        <w:t>s usage of quotation cannot be offered as evidence that</w:t>
      </w:r>
      <w:r w:rsidR="00D567B9" w:rsidRPr="000E2B5A">
        <w:rPr>
          <w:rFonts w:ascii="Garamond" w:hAnsi="Garamond"/>
          <w:sz w:val="22"/>
          <w:szCs w:val="22"/>
        </w:rPr>
        <w:t xml:space="preserve"> the</w:t>
      </w:r>
      <w:r w:rsidRPr="000E2B5A">
        <w:rPr>
          <w:rFonts w:ascii="Garamond" w:hAnsi="Garamond"/>
          <w:sz w:val="22"/>
          <w:szCs w:val="22"/>
        </w:rPr>
        <w:t xml:space="preserve"> MT (as the only extant Hebrew copy of the whole OT) is not the inspired quotational source.  </w:t>
      </w:r>
    </w:p>
    <w:p w:rsidR="00E87803" w:rsidRPr="000E2B5A" w:rsidRDefault="00E87803" w:rsidP="00D3182B">
      <w:pPr>
        <w:pStyle w:val="DefaultText"/>
        <w:jc w:val="both"/>
        <w:rPr>
          <w:rFonts w:ascii="Garamond" w:hAnsi="Garamond"/>
          <w:b/>
          <w:sz w:val="22"/>
          <w:szCs w:val="22"/>
        </w:rPr>
      </w:pPr>
    </w:p>
    <w:p w:rsidR="00E87803" w:rsidRPr="000E2B5A" w:rsidRDefault="007E2A2C" w:rsidP="00D3182B">
      <w:pPr>
        <w:pStyle w:val="DefaultText"/>
        <w:jc w:val="both"/>
        <w:rPr>
          <w:rFonts w:ascii="Bradley Hand ITC" w:hAnsi="Bradley Hand ITC"/>
          <w:sz w:val="28"/>
          <w:szCs w:val="22"/>
        </w:rPr>
      </w:pPr>
      <w:r w:rsidRPr="000E2B5A">
        <w:rPr>
          <w:rFonts w:ascii="Bradley Hand ITC" w:hAnsi="Bradley Hand ITC"/>
          <w:b/>
          <w:sz w:val="28"/>
          <w:szCs w:val="22"/>
        </w:rPr>
        <w:t>C</w:t>
      </w:r>
      <w:r w:rsidR="00E87803" w:rsidRPr="000E2B5A">
        <w:rPr>
          <w:rFonts w:ascii="Bradley Hand ITC" w:hAnsi="Bradley Hand ITC"/>
          <w:b/>
          <w:sz w:val="28"/>
          <w:szCs w:val="22"/>
        </w:rPr>
        <w:t>onclusion</w:t>
      </w:r>
      <w:r w:rsidR="00E87803" w:rsidRPr="000E2B5A">
        <w:rPr>
          <w:rFonts w:ascii="Bradley Hand ITC" w:hAnsi="Bradley Hand ITC"/>
          <w:sz w:val="28"/>
          <w:szCs w:val="22"/>
        </w:rPr>
        <w:t xml:space="preserve"> </w:t>
      </w:r>
    </w:p>
    <w:p w:rsidR="00E87803" w:rsidRPr="000E2B5A" w:rsidRDefault="00D567B9" w:rsidP="00D3182B">
      <w:pPr>
        <w:pStyle w:val="DefaultText"/>
        <w:jc w:val="both"/>
        <w:rPr>
          <w:rFonts w:ascii="Garamond" w:hAnsi="Garamond"/>
          <w:sz w:val="22"/>
          <w:szCs w:val="22"/>
        </w:rPr>
      </w:pPr>
      <w:r w:rsidRPr="000E2B5A">
        <w:rPr>
          <w:rFonts w:ascii="Garamond" w:hAnsi="Garamond"/>
          <w:sz w:val="22"/>
          <w:szCs w:val="22"/>
        </w:rPr>
        <w:t>W</w:t>
      </w:r>
      <w:r w:rsidR="00E87803" w:rsidRPr="000E2B5A">
        <w:rPr>
          <w:rFonts w:ascii="Garamond" w:hAnsi="Garamond"/>
          <w:sz w:val="22"/>
          <w:szCs w:val="22"/>
        </w:rPr>
        <w:t>hat these variations tell us is that parallel quotations, like the Gospel narrative parallels, provide interpretative readings selectively ordered by the Holy Spirit.  It is the NT which is responsible for the changes which occur in both the parallel and the non-parallel quotations of the OT.  Though variations, whether these or other examples, provoke a varied response, or cause difficulty for some, they are part of a mode of presentation designed to promote belief (J</w:t>
      </w:r>
      <w:r w:rsidRPr="000E2B5A">
        <w:rPr>
          <w:rFonts w:ascii="Garamond" w:hAnsi="Garamond"/>
          <w:sz w:val="22"/>
          <w:szCs w:val="22"/>
        </w:rPr>
        <w:t>oh</w:t>
      </w:r>
      <w:r w:rsidR="00E87803" w:rsidRPr="000E2B5A">
        <w:rPr>
          <w:rFonts w:ascii="Garamond" w:hAnsi="Garamond"/>
          <w:sz w:val="22"/>
          <w:szCs w:val="22"/>
        </w:rPr>
        <w:t xml:space="preserve">n 20:30-31).  Textual differences are therefore complementary facets of inspired Scripture.  Hence being a common feature of The Bible, rather than </w:t>
      </w:r>
      <w:r w:rsidR="005D74CB" w:rsidRPr="000E2B5A">
        <w:rPr>
          <w:rFonts w:ascii="Garamond" w:hAnsi="Garamond"/>
          <w:sz w:val="22"/>
          <w:szCs w:val="22"/>
        </w:rPr>
        <w:t>‘</w:t>
      </w:r>
      <w:r w:rsidR="00E87803" w:rsidRPr="000E2B5A">
        <w:rPr>
          <w:rFonts w:ascii="Garamond" w:hAnsi="Garamond"/>
          <w:sz w:val="22"/>
          <w:szCs w:val="22"/>
        </w:rPr>
        <w:t>breaking</w:t>
      </w:r>
      <w:r w:rsidR="005D74CB" w:rsidRPr="000E2B5A">
        <w:rPr>
          <w:rFonts w:ascii="Garamond" w:hAnsi="Garamond"/>
          <w:sz w:val="22"/>
          <w:szCs w:val="22"/>
        </w:rPr>
        <w:t>’</w:t>
      </w:r>
      <w:r w:rsidR="00E87803" w:rsidRPr="000E2B5A">
        <w:rPr>
          <w:rFonts w:ascii="Garamond" w:hAnsi="Garamond"/>
          <w:sz w:val="22"/>
          <w:szCs w:val="22"/>
        </w:rPr>
        <w:t xml:space="preserve"> Scripture, such </w:t>
      </w:r>
      <w:r w:rsidR="00E87803" w:rsidRPr="000E2B5A">
        <w:rPr>
          <w:rFonts w:ascii="Garamond" w:hAnsi="Garamond"/>
          <w:i/>
          <w:sz w:val="22"/>
          <w:szCs w:val="22"/>
        </w:rPr>
        <w:t>complementary difference</w:t>
      </w:r>
      <w:r w:rsidR="00E87803" w:rsidRPr="000E2B5A">
        <w:rPr>
          <w:rFonts w:ascii="Garamond" w:hAnsi="Garamond"/>
          <w:sz w:val="22"/>
          <w:szCs w:val="22"/>
        </w:rPr>
        <w:t xml:space="preserve"> is its (sophisticated or higher-level) strength. </w:t>
      </w:r>
    </w:p>
    <w:p w:rsidR="00E531C9" w:rsidRPr="000E2B5A" w:rsidRDefault="00E531C9" w:rsidP="00D3182B">
      <w:pPr>
        <w:pStyle w:val="DefaultText"/>
        <w:jc w:val="both"/>
        <w:rPr>
          <w:rFonts w:ascii="Garamond" w:hAnsi="Garamond"/>
          <w:sz w:val="22"/>
          <w:szCs w:val="22"/>
        </w:rPr>
      </w:pPr>
    </w:p>
    <w:p w:rsidR="008C629F" w:rsidRPr="000E2B5A" w:rsidRDefault="008C629F" w:rsidP="008C629F">
      <w:pPr>
        <w:jc w:val="center"/>
        <w:rPr>
          <w:rFonts w:ascii="Bradley Hand ITC" w:hAnsi="Bradley Hand ITC"/>
          <w:b/>
          <w:sz w:val="28"/>
          <w:szCs w:val="22"/>
          <w:lang w:val="en-GB"/>
        </w:rPr>
      </w:pPr>
      <w:r w:rsidRPr="000E2B5A">
        <w:rPr>
          <w:rFonts w:ascii="Bradley Hand ITC" w:hAnsi="Bradley Hand ITC"/>
          <w:b/>
          <w:sz w:val="28"/>
          <w:szCs w:val="22"/>
          <w:lang w:val="en-GB"/>
        </w:rPr>
        <w:t>Devotional Exposition</w:t>
      </w:r>
    </w:p>
    <w:p w:rsidR="008C629F" w:rsidRPr="000E2B5A" w:rsidRDefault="008C629F" w:rsidP="008C629F">
      <w:pPr>
        <w:jc w:val="center"/>
        <w:rPr>
          <w:rFonts w:ascii="Bradley Hand ITC" w:hAnsi="Bradley Hand ITC"/>
          <w:b/>
          <w:sz w:val="36"/>
          <w:lang w:val="en-GB"/>
        </w:rPr>
      </w:pPr>
      <w:r w:rsidRPr="000E2B5A">
        <w:rPr>
          <w:rFonts w:ascii="Bradley Hand ITC" w:hAnsi="Bradley Hand ITC"/>
          <w:b/>
          <w:sz w:val="28"/>
          <w:szCs w:val="22"/>
          <w:lang w:val="en-GB"/>
        </w:rPr>
        <w:t>A</w:t>
      </w:r>
      <w:r w:rsidR="009F2C19" w:rsidRPr="000E2B5A">
        <w:rPr>
          <w:rFonts w:ascii="Bradley Hand ITC" w:hAnsi="Bradley Hand ITC"/>
          <w:b/>
          <w:sz w:val="28"/>
          <w:szCs w:val="22"/>
          <w:lang w:val="en-GB"/>
        </w:rPr>
        <w:t>.</w:t>
      </w:r>
      <w:r w:rsidRPr="000E2B5A">
        <w:rPr>
          <w:rFonts w:ascii="Bradley Hand ITC" w:hAnsi="Bradley Hand ITC"/>
          <w:b/>
          <w:sz w:val="28"/>
          <w:szCs w:val="22"/>
          <w:lang w:val="en-GB"/>
        </w:rPr>
        <w:t xml:space="preserve"> Perry</w:t>
      </w:r>
    </w:p>
    <w:p w:rsidR="008C629F" w:rsidRPr="000E2B5A" w:rsidRDefault="008C629F" w:rsidP="008C629F">
      <w:pPr>
        <w:rPr>
          <w:b/>
          <w:sz w:val="22"/>
          <w:lang w:val="en-GB"/>
        </w:rPr>
      </w:pPr>
    </w:p>
    <w:p w:rsidR="008C629F" w:rsidRPr="000E2B5A" w:rsidRDefault="008C629F" w:rsidP="008C629F">
      <w:pPr>
        <w:rPr>
          <w:rFonts w:ascii="Bradley Hand ITC" w:hAnsi="Bradley Hand ITC"/>
          <w:b/>
          <w:sz w:val="28"/>
          <w:lang w:val="en-GB"/>
        </w:rPr>
      </w:pPr>
      <w:r w:rsidRPr="000E2B5A">
        <w:rPr>
          <w:rFonts w:ascii="Bradley Hand ITC" w:hAnsi="Bradley Hand ITC"/>
          <w:b/>
          <w:sz w:val="28"/>
          <w:lang w:val="en-GB"/>
        </w:rPr>
        <w:t>Introduction</w:t>
      </w:r>
    </w:p>
    <w:p w:rsidR="008C629F" w:rsidRPr="000E2B5A" w:rsidRDefault="008C629F" w:rsidP="008C629F">
      <w:pPr>
        <w:rPr>
          <w:color w:val="auto"/>
          <w:sz w:val="22"/>
          <w:szCs w:val="22"/>
          <w:lang w:eastAsia="en-GB" w:bidi="he-IL"/>
        </w:rPr>
      </w:pPr>
      <w:r w:rsidRPr="000E2B5A">
        <w:rPr>
          <w:sz w:val="22"/>
          <w:szCs w:val="22"/>
          <w:lang w:val="en-GB"/>
        </w:rPr>
        <w:t xml:space="preserve">While there is nothing wrong with any type of speaking or writing, the purpose of this article is to argue that </w:t>
      </w:r>
      <w:r w:rsidR="00683926" w:rsidRPr="000E2B5A">
        <w:rPr>
          <w:sz w:val="22"/>
          <w:szCs w:val="22"/>
          <w:lang w:val="en-GB"/>
        </w:rPr>
        <w:t>the main</w:t>
      </w:r>
      <w:r w:rsidRPr="000E2B5A">
        <w:rPr>
          <w:sz w:val="22"/>
          <w:szCs w:val="22"/>
          <w:lang w:val="en-GB"/>
        </w:rPr>
        <w:t xml:space="preserve"> model for exhortation (written or spoken) should be </w:t>
      </w:r>
      <w:r w:rsidR="005D74CB" w:rsidRPr="000E2B5A">
        <w:rPr>
          <w:sz w:val="22"/>
          <w:szCs w:val="22"/>
          <w:lang w:val="en-GB"/>
        </w:rPr>
        <w:t>“</w:t>
      </w:r>
      <w:r w:rsidRPr="000E2B5A">
        <w:rPr>
          <w:sz w:val="22"/>
          <w:szCs w:val="22"/>
          <w:lang w:val="en-GB"/>
        </w:rPr>
        <w:t>devotional exposition</w:t>
      </w:r>
      <w:r w:rsidR="005D74CB" w:rsidRPr="000E2B5A">
        <w:rPr>
          <w:sz w:val="22"/>
          <w:szCs w:val="22"/>
          <w:lang w:val="en-GB"/>
        </w:rPr>
        <w:t>”</w:t>
      </w:r>
      <w:r w:rsidRPr="000E2B5A">
        <w:rPr>
          <w:sz w:val="22"/>
          <w:szCs w:val="22"/>
          <w:lang w:val="en-GB"/>
        </w:rPr>
        <w:t xml:space="preserve">. The letter to the Hebrews states, </w:t>
      </w:r>
      <w:r w:rsidR="005D74CB" w:rsidRPr="000E2B5A">
        <w:rPr>
          <w:sz w:val="22"/>
          <w:szCs w:val="22"/>
          <w:lang w:val="en-GB"/>
        </w:rPr>
        <w:t>“</w:t>
      </w:r>
      <w:r w:rsidRPr="000E2B5A">
        <w:rPr>
          <w:color w:val="auto"/>
          <w:sz w:val="22"/>
          <w:szCs w:val="22"/>
          <w:lang w:eastAsia="en-GB" w:bidi="he-IL"/>
        </w:rPr>
        <w:t xml:space="preserve">And I beseech you, brethren, </w:t>
      </w:r>
      <w:r w:rsidRPr="000E2B5A">
        <w:rPr>
          <w:b/>
          <w:color w:val="auto"/>
          <w:sz w:val="22"/>
          <w:szCs w:val="22"/>
          <w:lang w:eastAsia="en-GB" w:bidi="he-IL"/>
        </w:rPr>
        <w:t>suffer the word of</w:t>
      </w:r>
      <w:r w:rsidRPr="000E2B5A">
        <w:rPr>
          <w:color w:val="auto"/>
          <w:sz w:val="22"/>
          <w:szCs w:val="22"/>
          <w:lang w:eastAsia="en-GB" w:bidi="he-IL"/>
        </w:rPr>
        <w:t xml:space="preserve"> </w:t>
      </w:r>
      <w:r w:rsidRPr="000E2B5A">
        <w:rPr>
          <w:b/>
          <w:color w:val="auto"/>
          <w:sz w:val="22"/>
          <w:szCs w:val="22"/>
          <w:lang w:eastAsia="en-GB" w:bidi="he-IL"/>
        </w:rPr>
        <w:t>exhortation</w:t>
      </w:r>
      <w:r w:rsidRPr="000E2B5A">
        <w:rPr>
          <w:color w:val="auto"/>
          <w:sz w:val="22"/>
          <w:szCs w:val="22"/>
          <w:lang w:eastAsia="en-GB" w:bidi="he-IL"/>
        </w:rPr>
        <w:t>: for I have written a letter unto you in few words</w:t>
      </w:r>
      <w:r w:rsidR="005D74CB" w:rsidRPr="000E2B5A">
        <w:rPr>
          <w:color w:val="auto"/>
          <w:sz w:val="22"/>
          <w:szCs w:val="22"/>
          <w:lang w:eastAsia="en-GB" w:bidi="he-IL"/>
        </w:rPr>
        <w:t>”</w:t>
      </w:r>
      <w:r w:rsidRPr="000E2B5A">
        <w:rPr>
          <w:color w:val="auto"/>
          <w:sz w:val="22"/>
          <w:szCs w:val="22"/>
          <w:lang w:eastAsia="en-GB" w:bidi="he-IL"/>
        </w:rPr>
        <w:t xml:space="preserve"> (Heb 13:22). The implications are startling for it describes the letter as a </w:t>
      </w:r>
      <w:r w:rsidR="005D74CB" w:rsidRPr="000E2B5A">
        <w:rPr>
          <w:color w:val="auto"/>
          <w:sz w:val="22"/>
          <w:szCs w:val="22"/>
          <w:lang w:eastAsia="en-GB" w:bidi="he-IL"/>
        </w:rPr>
        <w:t>“</w:t>
      </w:r>
      <w:r w:rsidRPr="000E2B5A">
        <w:rPr>
          <w:color w:val="auto"/>
          <w:sz w:val="22"/>
          <w:szCs w:val="22"/>
          <w:lang w:eastAsia="en-GB" w:bidi="he-IL"/>
        </w:rPr>
        <w:t>word of exhortation</w:t>
      </w:r>
      <w:r w:rsidR="005D74CB" w:rsidRPr="000E2B5A">
        <w:rPr>
          <w:color w:val="auto"/>
          <w:sz w:val="22"/>
          <w:szCs w:val="22"/>
          <w:lang w:eastAsia="en-GB" w:bidi="he-IL"/>
        </w:rPr>
        <w:t>”</w:t>
      </w:r>
      <w:r w:rsidRPr="000E2B5A">
        <w:rPr>
          <w:color w:val="auto"/>
          <w:sz w:val="22"/>
          <w:szCs w:val="22"/>
          <w:lang w:eastAsia="en-GB" w:bidi="he-IL"/>
        </w:rPr>
        <w:t xml:space="preserve"> and yet it is a difficult letter, full of types and patterns, detail, involved knowledge</w:t>
      </w:r>
      <w:r w:rsidR="0085750D" w:rsidRPr="000E2B5A">
        <w:rPr>
          <w:color w:val="auto"/>
          <w:sz w:val="22"/>
          <w:szCs w:val="22"/>
          <w:lang w:eastAsia="en-GB" w:bidi="he-IL"/>
        </w:rPr>
        <w:t xml:space="preserve"> and exposition.</w:t>
      </w:r>
      <w:r w:rsidR="0008470F" w:rsidRPr="000E2B5A">
        <w:rPr>
          <w:rStyle w:val="FootnoteReference"/>
          <w:color w:val="auto"/>
          <w:sz w:val="22"/>
          <w:szCs w:val="22"/>
          <w:lang w:eastAsia="en-GB" w:bidi="he-IL"/>
        </w:rPr>
        <w:footnoteReference w:id="30"/>
      </w:r>
      <w:r w:rsidR="0085750D" w:rsidRPr="000E2B5A">
        <w:rPr>
          <w:color w:val="auto"/>
          <w:sz w:val="22"/>
          <w:szCs w:val="22"/>
          <w:lang w:eastAsia="en-GB" w:bidi="he-IL"/>
        </w:rPr>
        <w:t xml:space="preserve"> We might doubt whether the letter is devotional, but it is certainly expositional. Is the letter of Hebrews a model for </w:t>
      </w:r>
      <w:r w:rsidR="00692DB6" w:rsidRPr="000E2B5A">
        <w:rPr>
          <w:color w:val="auto"/>
          <w:sz w:val="22"/>
          <w:szCs w:val="22"/>
          <w:lang w:eastAsia="en-GB" w:bidi="he-IL"/>
        </w:rPr>
        <w:t xml:space="preserve">exhortation </w:t>
      </w:r>
      <w:r w:rsidR="0085750D" w:rsidRPr="000E2B5A">
        <w:rPr>
          <w:color w:val="auto"/>
          <w:sz w:val="22"/>
          <w:szCs w:val="22"/>
          <w:lang w:eastAsia="en-GB" w:bidi="he-IL"/>
        </w:rPr>
        <w:t>today?</w:t>
      </w:r>
    </w:p>
    <w:p w:rsidR="0085750D" w:rsidRPr="000E2B5A" w:rsidRDefault="0085750D" w:rsidP="008C629F">
      <w:pPr>
        <w:rPr>
          <w:color w:val="auto"/>
          <w:sz w:val="22"/>
          <w:szCs w:val="22"/>
          <w:lang w:eastAsia="en-GB" w:bidi="he-IL"/>
        </w:rPr>
      </w:pPr>
    </w:p>
    <w:p w:rsidR="0085750D" w:rsidRPr="000E2B5A" w:rsidRDefault="0085750D" w:rsidP="008C629F">
      <w:pPr>
        <w:rPr>
          <w:rFonts w:ascii="Bradley Hand ITC" w:hAnsi="Bradley Hand ITC"/>
          <w:b/>
          <w:color w:val="auto"/>
          <w:sz w:val="28"/>
          <w:szCs w:val="22"/>
          <w:lang w:eastAsia="en-GB" w:bidi="he-IL"/>
        </w:rPr>
      </w:pPr>
      <w:r w:rsidRPr="000E2B5A">
        <w:rPr>
          <w:rFonts w:ascii="Bradley Hand ITC" w:hAnsi="Bradley Hand ITC"/>
          <w:b/>
          <w:color w:val="auto"/>
          <w:sz w:val="28"/>
          <w:szCs w:val="22"/>
          <w:lang w:eastAsia="en-GB" w:bidi="he-IL"/>
        </w:rPr>
        <w:t>Situation Today</w:t>
      </w:r>
    </w:p>
    <w:p w:rsidR="0085750D" w:rsidRPr="000E2B5A" w:rsidRDefault="0085750D" w:rsidP="008C629F">
      <w:pPr>
        <w:rPr>
          <w:color w:val="auto"/>
          <w:sz w:val="22"/>
          <w:szCs w:val="22"/>
          <w:lang w:eastAsia="en-GB" w:bidi="he-IL"/>
        </w:rPr>
      </w:pPr>
      <w:r w:rsidRPr="000E2B5A">
        <w:rPr>
          <w:color w:val="auto"/>
          <w:sz w:val="22"/>
          <w:szCs w:val="22"/>
          <w:lang w:eastAsia="en-GB" w:bidi="he-IL"/>
        </w:rPr>
        <w:t xml:space="preserve">The situation today no doubt varies from culture to culture and so we must describe </w:t>
      </w:r>
      <w:r w:rsidRPr="000E2B5A">
        <w:rPr>
          <w:b/>
          <w:color w:val="auto"/>
          <w:sz w:val="22"/>
          <w:szCs w:val="22"/>
          <w:lang w:eastAsia="en-GB" w:bidi="he-IL"/>
        </w:rPr>
        <w:t>a</w:t>
      </w:r>
      <w:r w:rsidRPr="000E2B5A">
        <w:rPr>
          <w:color w:val="auto"/>
          <w:sz w:val="22"/>
          <w:szCs w:val="22"/>
          <w:lang w:eastAsia="en-GB" w:bidi="he-IL"/>
        </w:rPr>
        <w:t xml:space="preserve"> situation rather than </w:t>
      </w:r>
      <w:r w:rsidRPr="000E2B5A">
        <w:rPr>
          <w:b/>
          <w:color w:val="auto"/>
          <w:sz w:val="22"/>
          <w:szCs w:val="22"/>
          <w:lang w:eastAsia="en-GB" w:bidi="he-IL"/>
        </w:rPr>
        <w:t>the</w:t>
      </w:r>
      <w:r w:rsidRPr="000E2B5A">
        <w:rPr>
          <w:color w:val="auto"/>
          <w:sz w:val="22"/>
          <w:szCs w:val="22"/>
          <w:lang w:eastAsia="en-GB" w:bidi="he-IL"/>
        </w:rPr>
        <w:t xml:space="preserve"> situation. This is one where exhortation is not devotional exposition but rather </w:t>
      </w:r>
      <w:r w:rsidR="005D74CB" w:rsidRPr="000E2B5A">
        <w:rPr>
          <w:color w:val="auto"/>
          <w:sz w:val="22"/>
          <w:szCs w:val="22"/>
          <w:lang w:eastAsia="en-GB" w:bidi="he-IL"/>
        </w:rPr>
        <w:t>“</w:t>
      </w:r>
      <w:r w:rsidRPr="000E2B5A">
        <w:rPr>
          <w:color w:val="auto"/>
          <w:sz w:val="22"/>
          <w:szCs w:val="22"/>
          <w:lang w:eastAsia="en-GB" w:bidi="he-IL"/>
        </w:rPr>
        <w:t>homiletical lessons for living</w:t>
      </w:r>
      <w:r w:rsidR="005D74CB" w:rsidRPr="000E2B5A">
        <w:rPr>
          <w:color w:val="auto"/>
          <w:sz w:val="22"/>
          <w:szCs w:val="22"/>
          <w:lang w:eastAsia="en-GB" w:bidi="he-IL"/>
        </w:rPr>
        <w:t>”</w:t>
      </w:r>
      <w:r w:rsidRPr="000E2B5A">
        <w:rPr>
          <w:color w:val="auto"/>
          <w:sz w:val="22"/>
          <w:szCs w:val="22"/>
          <w:lang w:eastAsia="en-GB" w:bidi="he-IL"/>
        </w:rPr>
        <w:t xml:space="preserve">. The BBC </w:t>
      </w:r>
      <w:r w:rsidR="00216350" w:rsidRPr="000E2B5A">
        <w:rPr>
          <w:color w:val="auto"/>
          <w:sz w:val="22"/>
          <w:szCs w:val="22"/>
          <w:lang w:eastAsia="en-GB" w:bidi="he-IL"/>
        </w:rPr>
        <w:t>runs</w:t>
      </w:r>
      <w:r w:rsidRPr="000E2B5A">
        <w:rPr>
          <w:color w:val="auto"/>
          <w:sz w:val="22"/>
          <w:szCs w:val="22"/>
          <w:lang w:eastAsia="en-GB" w:bidi="he-IL"/>
        </w:rPr>
        <w:t xml:space="preserve"> a program on </w:t>
      </w:r>
      <w:r w:rsidRPr="000E2B5A">
        <w:rPr>
          <w:color w:val="auto"/>
          <w:sz w:val="22"/>
          <w:szCs w:val="22"/>
          <w:lang w:eastAsia="en-GB" w:bidi="he-IL"/>
        </w:rPr>
        <w:lastRenderedPageBreak/>
        <w:t xml:space="preserve">Sunday </w:t>
      </w:r>
      <w:r w:rsidR="00BD7430" w:rsidRPr="000E2B5A">
        <w:rPr>
          <w:color w:val="auto"/>
          <w:sz w:val="22"/>
          <w:szCs w:val="22"/>
          <w:lang w:eastAsia="en-GB" w:bidi="he-IL"/>
        </w:rPr>
        <w:t>m</w:t>
      </w:r>
      <w:r w:rsidRPr="000E2B5A">
        <w:rPr>
          <w:color w:val="auto"/>
          <w:sz w:val="22"/>
          <w:szCs w:val="22"/>
          <w:lang w:eastAsia="en-GB" w:bidi="he-IL"/>
        </w:rPr>
        <w:t xml:space="preserve">orning which is a church service. It features a sermon which could be characterized as </w:t>
      </w:r>
      <w:r w:rsidR="005D74CB" w:rsidRPr="000E2B5A">
        <w:rPr>
          <w:color w:val="auto"/>
          <w:sz w:val="22"/>
          <w:szCs w:val="22"/>
          <w:lang w:eastAsia="en-GB" w:bidi="he-IL"/>
        </w:rPr>
        <w:t>“</w:t>
      </w:r>
      <w:r w:rsidRPr="000E2B5A">
        <w:rPr>
          <w:color w:val="auto"/>
          <w:sz w:val="22"/>
          <w:szCs w:val="22"/>
          <w:lang w:eastAsia="en-GB" w:bidi="he-IL"/>
        </w:rPr>
        <w:t>homiletical lessons for living</w:t>
      </w:r>
      <w:r w:rsidR="005D74CB" w:rsidRPr="000E2B5A">
        <w:rPr>
          <w:color w:val="auto"/>
          <w:sz w:val="22"/>
          <w:szCs w:val="22"/>
          <w:lang w:eastAsia="en-GB" w:bidi="he-IL"/>
        </w:rPr>
        <w:t>”</w:t>
      </w:r>
      <w:r w:rsidRPr="000E2B5A">
        <w:rPr>
          <w:color w:val="auto"/>
          <w:sz w:val="22"/>
          <w:szCs w:val="22"/>
          <w:lang w:eastAsia="en-GB" w:bidi="he-IL"/>
        </w:rPr>
        <w:t>. It has certain characteristics:</w:t>
      </w:r>
    </w:p>
    <w:p w:rsidR="0085750D" w:rsidRPr="000E2B5A" w:rsidRDefault="0085750D" w:rsidP="008C629F">
      <w:pPr>
        <w:rPr>
          <w:color w:val="auto"/>
          <w:sz w:val="22"/>
          <w:szCs w:val="22"/>
          <w:lang w:eastAsia="en-GB" w:bidi="he-IL"/>
        </w:rPr>
      </w:pPr>
    </w:p>
    <w:p w:rsidR="0085750D" w:rsidRPr="000E2B5A" w:rsidRDefault="0085750D" w:rsidP="0014388F">
      <w:pPr>
        <w:numPr>
          <w:ilvl w:val="0"/>
          <w:numId w:val="10"/>
        </w:numPr>
        <w:ind w:left="360"/>
        <w:rPr>
          <w:color w:val="auto"/>
          <w:sz w:val="22"/>
          <w:szCs w:val="22"/>
          <w:lang w:eastAsia="en-GB" w:bidi="he-IL"/>
        </w:rPr>
      </w:pPr>
      <w:r w:rsidRPr="000E2B5A">
        <w:rPr>
          <w:color w:val="auto"/>
          <w:sz w:val="22"/>
          <w:szCs w:val="22"/>
          <w:lang w:eastAsia="en-GB" w:bidi="he-IL"/>
        </w:rPr>
        <w:t>It will often start with an anecdote from the news or the speaker</w:t>
      </w:r>
      <w:r w:rsidR="005D74CB" w:rsidRPr="000E2B5A">
        <w:rPr>
          <w:color w:val="auto"/>
          <w:sz w:val="22"/>
          <w:szCs w:val="22"/>
          <w:lang w:eastAsia="en-GB" w:bidi="he-IL"/>
        </w:rPr>
        <w:t>’</w:t>
      </w:r>
      <w:r w:rsidRPr="000E2B5A">
        <w:rPr>
          <w:color w:val="auto"/>
          <w:sz w:val="22"/>
          <w:szCs w:val="22"/>
          <w:lang w:eastAsia="en-GB" w:bidi="he-IL"/>
        </w:rPr>
        <w:t>s life and experience; it will certainly include these at suitable intervals throughout the talk which is usually about 10-15 minutes at most.</w:t>
      </w:r>
    </w:p>
    <w:p w:rsidR="0085750D" w:rsidRPr="000E2B5A" w:rsidRDefault="0085750D" w:rsidP="0014388F">
      <w:pPr>
        <w:rPr>
          <w:color w:val="auto"/>
          <w:sz w:val="22"/>
          <w:szCs w:val="22"/>
          <w:lang w:eastAsia="en-GB" w:bidi="he-IL"/>
        </w:rPr>
      </w:pPr>
    </w:p>
    <w:p w:rsidR="0085750D" w:rsidRPr="000E2B5A" w:rsidRDefault="0085750D" w:rsidP="0014388F">
      <w:pPr>
        <w:numPr>
          <w:ilvl w:val="0"/>
          <w:numId w:val="10"/>
        </w:numPr>
        <w:ind w:left="360"/>
        <w:rPr>
          <w:color w:val="auto"/>
          <w:sz w:val="22"/>
          <w:szCs w:val="22"/>
          <w:lang w:eastAsia="en-GB" w:bidi="he-IL"/>
        </w:rPr>
      </w:pPr>
      <w:r w:rsidRPr="000E2B5A">
        <w:rPr>
          <w:color w:val="auto"/>
          <w:sz w:val="22"/>
          <w:szCs w:val="22"/>
          <w:lang w:eastAsia="en-GB" w:bidi="he-IL"/>
        </w:rPr>
        <w:t>There will be little Bible content; parables may be used, well-known stories; certainly no exposition or doctrine.</w:t>
      </w:r>
    </w:p>
    <w:p w:rsidR="0085750D" w:rsidRPr="000E2B5A" w:rsidRDefault="0085750D" w:rsidP="0014388F">
      <w:pPr>
        <w:rPr>
          <w:color w:val="auto"/>
          <w:sz w:val="22"/>
          <w:szCs w:val="22"/>
          <w:lang w:eastAsia="en-GB" w:bidi="he-IL"/>
        </w:rPr>
      </w:pPr>
    </w:p>
    <w:p w:rsidR="0085750D" w:rsidRPr="000E2B5A" w:rsidRDefault="0085750D" w:rsidP="0014388F">
      <w:pPr>
        <w:numPr>
          <w:ilvl w:val="0"/>
          <w:numId w:val="10"/>
        </w:numPr>
        <w:ind w:left="360"/>
        <w:rPr>
          <w:color w:val="auto"/>
          <w:sz w:val="22"/>
          <w:szCs w:val="22"/>
          <w:lang w:eastAsia="en-GB" w:bidi="he-IL"/>
        </w:rPr>
      </w:pPr>
      <w:r w:rsidRPr="000E2B5A">
        <w:rPr>
          <w:color w:val="auto"/>
          <w:sz w:val="22"/>
          <w:szCs w:val="22"/>
          <w:lang w:eastAsia="en-GB" w:bidi="he-IL"/>
        </w:rPr>
        <w:t xml:space="preserve">A modern </w:t>
      </w:r>
      <w:r w:rsidR="00A75A22" w:rsidRPr="000E2B5A">
        <w:rPr>
          <w:color w:val="auto"/>
          <w:sz w:val="22"/>
          <w:szCs w:val="22"/>
          <w:lang w:eastAsia="en-GB" w:bidi="he-IL"/>
        </w:rPr>
        <w:t xml:space="preserve">Bible </w:t>
      </w:r>
      <w:r w:rsidRPr="000E2B5A">
        <w:rPr>
          <w:color w:val="auto"/>
          <w:sz w:val="22"/>
          <w:szCs w:val="22"/>
          <w:lang w:eastAsia="en-GB" w:bidi="he-IL"/>
        </w:rPr>
        <w:t xml:space="preserve">version will be used and probably a paraphrase version to make </w:t>
      </w:r>
      <w:r w:rsidR="00A75A22" w:rsidRPr="000E2B5A">
        <w:rPr>
          <w:color w:val="auto"/>
          <w:sz w:val="22"/>
          <w:szCs w:val="22"/>
          <w:lang w:eastAsia="en-GB" w:bidi="he-IL"/>
        </w:rPr>
        <w:t xml:space="preserve">any </w:t>
      </w:r>
      <w:r w:rsidRPr="000E2B5A">
        <w:rPr>
          <w:color w:val="auto"/>
          <w:sz w:val="22"/>
          <w:szCs w:val="22"/>
          <w:lang w:eastAsia="en-GB" w:bidi="he-IL"/>
        </w:rPr>
        <w:t xml:space="preserve">material accessible. </w:t>
      </w:r>
    </w:p>
    <w:p w:rsidR="0085750D" w:rsidRPr="000E2B5A" w:rsidRDefault="0085750D" w:rsidP="0014388F">
      <w:pPr>
        <w:rPr>
          <w:color w:val="auto"/>
          <w:sz w:val="22"/>
          <w:szCs w:val="22"/>
          <w:lang w:eastAsia="en-GB" w:bidi="he-IL"/>
        </w:rPr>
      </w:pPr>
    </w:p>
    <w:p w:rsidR="0085750D" w:rsidRPr="000E2B5A" w:rsidRDefault="0085750D" w:rsidP="0014388F">
      <w:pPr>
        <w:numPr>
          <w:ilvl w:val="0"/>
          <w:numId w:val="10"/>
        </w:numPr>
        <w:ind w:left="360"/>
        <w:rPr>
          <w:color w:val="auto"/>
          <w:sz w:val="22"/>
          <w:szCs w:val="22"/>
          <w:lang w:eastAsia="en-GB" w:bidi="he-IL"/>
        </w:rPr>
      </w:pPr>
      <w:r w:rsidRPr="000E2B5A">
        <w:rPr>
          <w:color w:val="auto"/>
          <w:sz w:val="22"/>
          <w:szCs w:val="22"/>
          <w:lang w:eastAsia="en-GB" w:bidi="he-IL"/>
        </w:rPr>
        <w:t xml:space="preserve">The point of the sermon will be a moral saying </w:t>
      </w:r>
      <w:r w:rsidR="00A75A22" w:rsidRPr="000E2B5A">
        <w:rPr>
          <w:color w:val="auto"/>
          <w:sz w:val="22"/>
          <w:szCs w:val="22"/>
          <w:lang w:eastAsia="en-GB" w:bidi="he-IL"/>
        </w:rPr>
        <w:t xml:space="preserve">or </w:t>
      </w:r>
      <w:r w:rsidRPr="000E2B5A">
        <w:rPr>
          <w:color w:val="auto"/>
          <w:sz w:val="22"/>
          <w:szCs w:val="22"/>
          <w:lang w:eastAsia="en-GB" w:bidi="he-IL"/>
        </w:rPr>
        <w:t xml:space="preserve">a lesson for life, something to which the audience </w:t>
      </w:r>
      <w:r w:rsidR="00A75A22" w:rsidRPr="000E2B5A">
        <w:rPr>
          <w:color w:val="auto"/>
          <w:sz w:val="22"/>
          <w:szCs w:val="22"/>
          <w:lang w:eastAsia="en-GB" w:bidi="he-IL"/>
        </w:rPr>
        <w:t>can easily</w:t>
      </w:r>
      <w:r w:rsidRPr="000E2B5A">
        <w:rPr>
          <w:color w:val="auto"/>
          <w:sz w:val="22"/>
          <w:szCs w:val="22"/>
          <w:lang w:eastAsia="en-GB" w:bidi="he-IL"/>
        </w:rPr>
        <w:t xml:space="preserve"> relate. It will be unobjectionable inane advice and backed up with illustrative stories.</w:t>
      </w:r>
    </w:p>
    <w:p w:rsidR="0085750D" w:rsidRPr="000E2B5A" w:rsidRDefault="0085750D" w:rsidP="0014388F">
      <w:pPr>
        <w:rPr>
          <w:color w:val="auto"/>
          <w:sz w:val="22"/>
          <w:szCs w:val="22"/>
          <w:lang w:eastAsia="en-GB" w:bidi="he-IL"/>
        </w:rPr>
      </w:pPr>
    </w:p>
    <w:p w:rsidR="0014388F" w:rsidRPr="000E2B5A" w:rsidRDefault="0085750D" w:rsidP="0014388F">
      <w:pPr>
        <w:numPr>
          <w:ilvl w:val="0"/>
          <w:numId w:val="10"/>
        </w:numPr>
        <w:ind w:left="360"/>
        <w:rPr>
          <w:sz w:val="22"/>
          <w:szCs w:val="22"/>
          <w:lang w:val="en-GB"/>
        </w:rPr>
      </w:pPr>
      <w:r w:rsidRPr="000E2B5A">
        <w:rPr>
          <w:color w:val="auto"/>
          <w:sz w:val="22"/>
          <w:szCs w:val="22"/>
          <w:lang w:eastAsia="en-GB" w:bidi="he-IL"/>
        </w:rPr>
        <w:t>Probably, the sermon will have an ecumenical aspect so that non-Christian religious believers who might be listening will not be offended.</w:t>
      </w:r>
    </w:p>
    <w:p w:rsidR="0014388F" w:rsidRPr="000E2B5A" w:rsidRDefault="0014388F" w:rsidP="0014388F">
      <w:pPr>
        <w:ind w:left="360"/>
        <w:rPr>
          <w:sz w:val="22"/>
          <w:szCs w:val="22"/>
          <w:lang w:val="en-GB"/>
        </w:rPr>
      </w:pPr>
    </w:p>
    <w:p w:rsidR="0014388F" w:rsidRPr="000E2B5A" w:rsidRDefault="0014388F" w:rsidP="0014388F">
      <w:pPr>
        <w:numPr>
          <w:ilvl w:val="0"/>
          <w:numId w:val="10"/>
        </w:numPr>
        <w:ind w:left="360"/>
        <w:rPr>
          <w:sz w:val="22"/>
          <w:szCs w:val="22"/>
          <w:lang w:val="en-GB"/>
        </w:rPr>
      </w:pPr>
      <w:r w:rsidRPr="000E2B5A">
        <w:rPr>
          <w:sz w:val="22"/>
          <w:szCs w:val="22"/>
          <w:lang w:val="en-GB"/>
        </w:rPr>
        <w:t>The talk will be rhetorically good—polished.</w:t>
      </w:r>
    </w:p>
    <w:p w:rsidR="00394CE3" w:rsidRPr="000E2B5A" w:rsidRDefault="00394CE3" w:rsidP="00394CE3">
      <w:pPr>
        <w:rPr>
          <w:sz w:val="22"/>
          <w:szCs w:val="22"/>
          <w:lang w:val="en-GB"/>
        </w:rPr>
      </w:pPr>
    </w:p>
    <w:p w:rsidR="00A75A22" w:rsidRPr="000E2B5A" w:rsidRDefault="00A75A22" w:rsidP="0014388F">
      <w:pPr>
        <w:numPr>
          <w:ilvl w:val="0"/>
          <w:numId w:val="10"/>
        </w:numPr>
        <w:ind w:left="360"/>
        <w:rPr>
          <w:sz w:val="22"/>
          <w:szCs w:val="22"/>
          <w:lang w:val="en-GB"/>
        </w:rPr>
      </w:pPr>
      <w:r w:rsidRPr="000E2B5A">
        <w:rPr>
          <w:sz w:val="22"/>
          <w:szCs w:val="22"/>
          <w:lang w:val="en-GB"/>
        </w:rPr>
        <w:t xml:space="preserve">The talk may be by any </w:t>
      </w:r>
      <w:r w:rsidR="00683926" w:rsidRPr="000E2B5A">
        <w:rPr>
          <w:sz w:val="22"/>
          <w:szCs w:val="22"/>
          <w:lang w:val="en-GB"/>
        </w:rPr>
        <w:t>person in</w:t>
      </w:r>
      <w:r w:rsidRPr="000E2B5A">
        <w:rPr>
          <w:sz w:val="22"/>
          <w:szCs w:val="22"/>
          <w:lang w:val="en-GB"/>
        </w:rPr>
        <w:t xml:space="preserve"> society</w:t>
      </w:r>
      <w:r w:rsidR="00683926" w:rsidRPr="000E2B5A">
        <w:rPr>
          <w:sz w:val="22"/>
          <w:szCs w:val="22"/>
          <w:lang w:val="en-GB"/>
        </w:rPr>
        <w:t xml:space="preserve"> (male or female)</w:t>
      </w:r>
      <w:r w:rsidRPr="000E2B5A">
        <w:rPr>
          <w:sz w:val="22"/>
          <w:szCs w:val="22"/>
          <w:lang w:val="en-GB"/>
        </w:rPr>
        <w:t xml:space="preserve"> who has been arranged to speak to the church on that Sunday. </w:t>
      </w:r>
    </w:p>
    <w:p w:rsidR="0014388F" w:rsidRPr="000E2B5A" w:rsidRDefault="0014388F" w:rsidP="0014388F">
      <w:pPr>
        <w:rPr>
          <w:sz w:val="22"/>
          <w:lang w:val="en-GB"/>
        </w:rPr>
      </w:pPr>
    </w:p>
    <w:p w:rsidR="0014388F" w:rsidRPr="000E2B5A" w:rsidRDefault="0014388F" w:rsidP="0014388F">
      <w:pPr>
        <w:rPr>
          <w:sz w:val="22"/>
          <w:lang w:val="en-GB"/>
        </w:rPr>
      </w:pPr>
      <w:r w:rsidRPr="000E2B5A">
        <w:rPr>
          <w:sz w:val="22"/>
          <w:lang w:val="en-GB"/>
        </w:rPr>
        <w:t>Is this kind of talk of any value in the</w:t>
      </w:r>
      <w:r w:rsidR="00216350" w:rsidRPr="000E2B5A">
        <w:rPr>
          <w:sz w:val="22"/>
          <w:lang w:val="en-GB"/>
        </w:rPr>
        <w:t xml:space="preserve"> Christadelphian</w:t>
      </w:r>
      <w:r w:rsidRPr="000E2B5A">
        <w:rPr>
          <w:sz w:val="22"/>
          <w:lang w:val="en-GB"/>
        </w:rPr>
        <w:t xml:space="preserve"> community? While exhortations in the community may not be ecumenical, this model is not uncommon among speakers in the UK. Is it a Biblical model? Are there any disadvantages</w:t>
      </w:r>
      <w:r w:rsidR="00683926" w:rsidRPr="000E2B5A">
        <w:rPr>
          <w:sz w:val="22"/>
          <w:lang w:val="en-GB"/>
        </w:rPr>
        <w:t xml:space="preserve"> with this spirituality</w:t>
      </w:r>
      <w:r w:rsidRPr="000E2B5A">
        <w:rPr>
          <w:sz w:val="22"/>
          <w:lang w:val="en-GB"/>
        </w:rPr>
        <w:t>?</w:t>
      </w:r>
    </w:p>
    <w:p w:rsidR="0014388F" w:rsidRPr="000E2B5A" w:rsidRDefault="0014388F" w:rsidP="0014388F">
      <w:pPr>
        <w:rPr>
          <w:sz w:val="22"/>
          <w:lang w:val="en-GB"/>
        </w:rPr>
      </w:pPr>
    </w:p>
    <w:p w:rsidR="00216350" w:rsidRPr="000E2B5A" w:rsidRDefault="00216350" w:rsidP="0014388F">
      <w:pPr>
        <w:rPr>
          <w:rFonts w:ascii="Bradley Hand ITC" w:hAnsi="Bradley Hand ITC"/>
          <w:b/>
          <w:sz w:val="28"/>
          <w:lang w:val="en-GB"/>
        </w:rPr>
      </w:pPr>
      <w:r w:rsidRPr="000E2B5A">
        <w:rPr>
          <w:rFonts w:ascii="Bradley Hand ITC" w:hAnsi="Bradley Hand ITC"/>
          <w:b/>
          <w:sz w:val="28"/>
          <w:lang w:val="en-GB"/>
        </w:rPr>
        <w:t>Exhortation</w:t>
      </w:r>
    </w:p>
    <w:p w:rsidR="00216350" w:rsidRPr="000E2B5A" w:rsidRDefault="00216350" w:rsidP="0014388F">
      <w:pPr>
        <w:rPr>
          <w:color w:val="auto"/>
          <w:sz w:val="22"/>
          <w:szCs w:val="22"/>
          <w:lang w:eastAsia="en-GB" w:bidi="he-IL"/>
        </w:rPr>
      </w:pPr>
      <w:r w:rsidRPr="000E2B5A">
        <w:rPr>
          <w:sz w:val="22"/>
          <w:lang w:val="en-GB"/>
        </w:rPr>
        <w:t xml:space="preserve">A review of the word exhortation </w:t>
      </w:r>
      <w:r w:rsidR="00FF2051" w:rsidRPr="000E2B5A">
        <w:rPr>
          <w:sz w:val="22"/>
          <w:lang w:val="en-GB"/>
        </w:rPr>
        <w:t>(</w:t>
      </w:r>
      <w:r w:rsidR="00FF2051" w:rsidRPr="000E2B5A">
        <w:rPr>
          <w:rFonts w:ascii="Bwgrkl" w:hAnsi="Bwgrkl" w:cs="Bwgrkl"/>
          <w:bCs/>
          <w:color w:val="auto"/>
          <w:sz w:val="22"/>
          <w:lang w:eastAsia="en-GB" w:bidi="he-IL"/>
        </w:rPr>
        <w:t>para,klhsij</w:t>
      </w:r>
      <w:r w:rsidR="00FF2051" w:rsidRPr="000E2B5A">
        <w:rPr>
          <w:sz w:val="22"/>
          <w:lang w:val="en-GB"/>
        </w:rPr>
        <w:t xml:space="preserve">) </w:t>
      </w:r>
      <w:r w:rsidRPr="000E2B5A">
        <w:rPr>
          <w:sz w:val="22"/>
          <w:lang w:val="en-GB"/>
        </w:rPr>
        <w:t>shows that it is</w:t>
      </w:r>
      <w:r w:rsidRPr="000E2B5A">
        <w:rPr>
          <w:b/>
          <w:sz w:val="22"/>
          <w:lang w:val="en-GB"/>
        </w:rPr>
        <w:t xml:space="preserve"> more things than devotional exposition</w:t>
      </w:r>
      <w:r w:rsidRPr="000E2B5A">
        <w:rPr>
          <w:sz w:val="22"/>
          <w:lang w:val="en-GB"/>
        </w:rPr>
        <w:t xml:space="preserve">; our argument is </w:t>
      </w:r>
      <w:r w:rsidR="00394CE3" w:rsidRPr="000E2B5A">
        <w:rPr>
          <w:sz w:val="22"/>
          <w:lang w:val="en-GB"/>
        </w:rPr>
        <w:t xml:space="preserve">just </w:t>
      </w:r>
      <w:r w:rsidRPr="000E2B5A">
        <w:rPr>
          <w:sz w:val="22"/>
          <w:lang w:val="en-GB"/>
        </w:rPr>
        <w:t xml:space="preserve">that this model of exhortation is neglected today in the community. </w:t>
      </w:r>
      <w:r w:rsidR="00FF2051" w:rsidRPr="000E2B5A">
        <w:rPr>
          <w:sz w:val="22"/>
          <w:lang w:val="en-GB"/>
        </w:rPr>
        <w:t xml:space="preserve">Our reason for making this point is that we ought to </w:t>
      </w:r>
      <w:r w:rsidR="005D74CB" w:rsidRPr="000E2B5A">
        <w:rPr>
          <w:sz w:val="22"/>
          <w:lang w:val="en-GB"/>
        </w:rPr>
        <w:t>“</w:t>
      </w:r>
      <w:r w:rsidRPr="000E2B5A">
        <w:rPr>
          <w:color w:val="auto"/>
          <w:sz w:val="22"/>
          <w:szCs w:val="22"/>
          <w:lang w:eastAsia="en-GB" w:bidi="he-IL"/>
        </w:rPr>
        <w:t>give attendance to reading, to exhortation, to doctrine</w:t>
      </w:r>
      <w:r w:rsidR="005D74CB" w:rsidRPr="000E2B5A">
        <w:rPr>
          <w:color w:val="auto"/>
          <w:sz w:val="22"/>
          <w:szCs w:val="22"/>
          <w:lang w:eastAsia="en-GB" w:bidi="he-IL"/>
        </w:rPr>
        <w:t>”</w:t>
      </w:r>
      <w:r w:rsidRPr="000E2B5A">
        <w:rPr>
          <w:color w:val="auto"/>
          <w:sz w:val="22"/>
          <w:szCs w:val="22"/>
          <w:lang w:eastAsia="en-GB" w:bidi="he-IL"/>
        </w:rPr>
        <w:t xml:space="preserve"> (1 Tim 4:13). </w:t>
      </w:r>
    </w:p>
    <w:p w:rsidR="00FF2051" w:rsidRPr="000E2B5A" w:rsidRDefault="00FF2051" w:rsidP="0014388F">
      <w:pPr>
        <w:rPr>
          <w:color w:val="auto"/>
          <w:sz w:val="22"/>
          <w:szCs w:val="22"/>
          <w:lang w:eastAsia="en-GB" w:bidi="he-IL"/>
        </w:rPr>
      </w:pPr>
    </w:p>
    <w:p w:rsidR="00FF2051" w:rsidRPr="000E2B5A" w:rsidRDefault="00FF2051" w:rsidP="0014388F">
      <w:pPr>
        <w:rPr>
          <w:color w:val="auto"/>
          <w:sz w:val="22"/>
          <w:szCs w:val="22"/>
          <w:lang w:eastAsia="en-GB" w:bidi="he-IL"/>
        </w:rPr>
      </w:pPr>
      <w:r w:rsidRPr="000E2B5A">
        <w:rPr>
          <w:color w:val="auto"/>
          <w:sz w:val="22"/>
          <w:szCs w:val="22"/>
          <w:lang w:eastAsia="en-GB" w:bidi="he-IL"/>
        </w:rPr>
        <w:t>The lexicon gives a suitably large list of English words for the Greek</w:t>
      </w:r>
      <w:r w:rsidR="00683926" w:rsidRPr="000E2B5A">
        <w:rPr>
          <w:color w:val="auto"/>
          <w:sz w:val="22"/>
          <w:szCs w:val="22"/>
          <w:lang w:eastAsia="en-GB" w:bidi="he-IL"/>
        </w:rPr>
        <w:t xml:space="preserve"> </w:t>
      </w:r>
      <w:r w:rsidR="00683926" w:rsidRPr="000E2B5A">
        <w:rPr>
          <w:rFonts w:ascii="Bwgrkl" w:hAnsi="Bwgrkl" w:cs="Bwgrkl"/>
          <w:bCs/>
          <w:color w:val="auto"/>
          <w:sz w:val="22"/>
          <w:lang w:eastAsia="en-GB" w:bidi="he-IL"/>
        </w:rPr>
        <w:t>para,klhsij</w:t>
      </w:r>
      <w:r w:rsidRPr="000E2B5A">
        <w:rPr>
          <w:color w:val="auto"/>
          <w:sz w:val="22"/>
          <w:szCs w:val="22"/>
          <w:lang w:eastAsia="en-GB" w:bidi="he-IL"/>
        </w:rPr>
        <w:t xml:space="preserve">: exhortation, admonition, comfort, consolation, solace </w:t>
      </w:r>
      <w:r w:rsidRPr="000E2B5A">
        <w:rPr>
          <w:i/>
          <w:color w:val="auto"/>
          <w:sz w:val="22"/>
          <w:szCs w:val="22"/>
          <w:lang w:eastAsia="en-GB" w:bidi="he-IL"/>
        </w:rPr>
        <w:t>and so on</w:t>
      </w:r>
      <w:r w:rsidRPr="000E2B5A">
        <w:rPr>
          <w:color w:val="auto"/>
          <w:sz w:val="22"/>
          <w:szCs w:val="22"/>
          <w:lang w:eastAsia="en-GB" w:bidi="he-IL"/>
        </w:rPr>
        <w:t>. The synagogue pattern was for a word of exhortation after the reading of the Law and the Prophets (Acts 13:15).</w:t>
      </w:r>
      <w:r w:rsidR="00394CE3" w:rsidRPr="000E2B5A">
        <w:rPr>
          <w:color w:val="auto"/>
          <w:sz w:val="22"/>
          <w:szCs w:val="22"/>
          <w:lang w:eastAsia="en-GB" w:bidi="he-IL"/>
        </w:rPr>
        <w:t xml:space="preserve"> Hence,</w:t>
      </w:r>
    </w:p>
    <w:p w:rsidR="00FF2051" w:rsidRPr="000E2B5A" w:rsidRDefault="00FF2051" w:rsidP="0014388F">
      <w:pPr>
        <w:rPr>
          <w:color w:val="auto"/>
          <w:sz w:val="22"/>
          <w:szCs w:val="22"/>
          <w:lang w:eastAsia="en-GB" w:bidi="he-IL"/>
        </w:rPr>
      </w:pPr>
    </w:p>
    <w:p w:rsidR="00FF2051" w:rsidRPr="000E2B5A" w:rsidRDefault="00FF2051" w:rsidP="00FF2051">
      <w:pPr>
        <w:pStyle w:val="Quote"/>
      </w:pPr>
      <w:r w:rsidRPr="000E2B5A">
        <w:rPr>
          <w:lang w:eastAsia="en-GB"/>
        </w:rPr>
        <w:lastRenderedPageBreak/>
        <w:t xml:space="preserve">For whatsoever things were written aforetime were written for our learning, that we through patience and </w:t>
      </w:r>
      <w:r w:rsidRPr="000E2B5A">
        <w:rPr>
          <w:u w:val="single"/>
          <w:lang w:eastAsia="en-GB"/>
        </w:rPr>
        <w:t>comfort</w:t>
      </w:r>
      <w:r w:rsidRPr="000E2B5A">
        <w:rPr>
          <w:lang w:eastAsia="en-GB"/>
        </w:rPr>
        <w:t xml:space="preserve"> </w:t>
      </w:r>
      <w:r w:rsidR="00F24F42" w:rsidRPr="000E2B5A">
        <w:t>(</w:t>
      </w:r>
      <w:r w:rsidR="00F24F42" w:rsidRPr="000E2B5A">
        <w:rPr>
          <w:rFonts w:ascii="Bwgrkl" w:hAnsi="Bwgrkl" w:cs="Bwgrkl"/>
          <w:bCs/>
          <w:lang w:eastAsia="en-GB"/>
        </w:rPr>
        <w:t>para,klhsij</w:t>
      </w:r>
      <w:r w:rsidR="00F24F42" w:rsidRPr="000E2B5A">
        <w:t xml:space="preserve">) </w:t>
      </w:r>
      <w:r w:rsidRPr="000E2B5A">
        <w:rPr>
          <w:lang w:eastAsia="en-GB"/>
        </w:rPr>
        <w:t>of the scriptures might have hope. Rom 15:4 (KJV)</w:t>
      </w:r>
    </w:p>
    <w:p w:rsidR="00216350" w:rsidRPr="000E2B5A" w:rsidRDefault="00216350" w:rsidP="0014388F">
      <w:pPr>
        <w:rPr>
          <w:sz w:val="22"/>
          <w:lang w:val="en-GB"/>
        </w:rPr>
      </w:pPr>
    </w:p>
    <w:p w:rsidR="00FF2051" w:rsidRPr="000E2B5A" w:rsidRDefault="00FF2051" w:rsidP="0014388F">
      <w:pPr>
        <w:rPr>
          <w:sz w:val="22"/>
          <w:lang w:val="en-GB"/>
        </w:rPr>
      </w:pPr>
      <w:r w:rsidRPr="000E2B5A">
        <w:rPr>
          <w:sz w:val="22"/>
          <w:lang w:val="en-GB"/>
        </w:rPr>
        <w:t>The Scriptures are the focus here and learning or teaching (</w:t>
      </w:r>
      <w:r w:rsidRPr="000E2B5A">
        <w:rPr>
          <w:rFonts w:ascii="Bwgrkl" w:hAnsi="Bwgrkl" w:cs="Bwgrkl"/>
          <w:bCs/>
          <w:color w:val="auto"/>
          <w:sz w:val="22"/>
          <w:lang w:eastAsia="en-GB" w:bidi="he-IL"/>
        </w:rPr>
        <w:t>didaskali,a</w:t>
      </w:r>
      <w:r w:rsidRPr="000E2B5A">
        <w:rPr>
          <w:sz w:val="22"/>
          <w:lang w:val="en-GB"/>
        </w:rPr>
        <w:t>) is a means through which comfort (exhortation) is ministered to people. In NT times, the Spirit gift of prophecy ensured that Christian prophets exhorted the people as their OT counterparts had done (Acts 9:31; 1 Cor 14:3).</w:t>
      </w:r>
    </w:p>
    <w:p w:rsidR="00D31F61" w:rsidRPr="000E2B5A" w:rsidRDefault="00D31F61" w:rsidP="0014388F">
      <w:pPr>
        <w:rPr>
          <w:sz w:val="22"/>
          <w:lang w:val="en-GB"/>
        </w:rPr>
      </w:pPr>
    </w:p>
    <w:p w:rsidR="00D31F61" w:rsidRPr="000E2B5A" w:rsidRDefault="00D31F61" w:rsidP="0014388F">
      <w:pPr>
        <w:rPr>
          <w:sz w:val="22"/>
          <w:lang w:val="en-GB"/>
        </w:rPr>
      </w:pPr>
      <w:r w:rsidRPr="000E2B5A">
        <w:rPr>
          <w:sz w:val="22"/>
          <w:lang w:val="en-GB"/>
        </w:rPr>
        <w:t xml:space="preserve">What this illustrates is that </w:t>
      </w:r>
      <w:r w:rsidR="005D74CB" w:rsidRPr="000E2B5A">
        <w:rPr>
          <w:sz w:val="22"/>
          <w:lang w:val="en-GB"/>
        </w:rPr>
        <w:t>“</w:t>
      </w:r>
      <w:r w:rsidRPr="000E2B5A">
        <w:rPr>
          <w:sz w:val="22"/>
          <w:lang w:val="en-GB"/>
        </w:rPr>
        <w:t>exhortation</w:t>
      </w:r>
      <w:r w:rsidR="005D74CB" w:rsidRPr="000E2B5A">
        <w:rPr>
          <w:sz w:val="22"/>
          <w:lang w:val="en-GB"/>
        </w:rPr>
        <w:t>”</w:t>
      </w:r>
      <w:r w:rsidR="00394CE3" w:rsidRPr="000E2B5A">
        <w:rPr>
          <w:sz w:val="22"/>
          <w:lang w:val="en-GB"/>
        </w:rPr>
        <w:t xml:space="preserve"> is </w:t>
      </w:r>
      <w:r w:rsidRPr="000E2B5A">
        <w:rPr>
          <w:b/>
          <w:sz w:val="22"/>
          <w:lang w:val="en-GB"/>
        </w:rPr>
        <w:t>what you do through doing other things</w:t>
      </w:r>
      <w:r w:rsidRPr="000E2B5A">
        <w:rPr>
          <w:sz w:val="22"/>
          <w:lang w:val="en-GB"/>
        </w:rPr>
        <w:t>; comfort is given through things like teaching, like telling a person that you mourn with them, or that you desire the return of Christ, or that you are so zealous for the Lord that you run a bookstall each Saturday</w:t>
      </w:r>
      <w:r w:rsidR="00394CE3" w:rsidRPr="000E2B5A">
        <w:rPr>
          <w:sz w:val="22"/>
          <w:lang w:val="en-GB"/>
        </w:rPr>
        <w:t xml:space="preserve">, </w:t>
      </w:r>
      <w:r w:rsidR="00394CE3" w:rsidRPr="000E2B5A">
        <w:rPr>
          <w:i/>
          <w:sz w:val="22"/>
          <w:lang w:val="en-GB"/>
        </w:rPr>
        <w:t>and so on</w:t>
      </w:r>
      <w:r w:rsidRPr="000E2B5A">
        <w:rPr>
          <w:sz w:val="22"/>
          <w:lang w:val="en-GB"/>
        </w:rPr>
        <w:t>:</w:t>
      </w:r>
    </w:p>
    <w:p w:rsidR="00D31F61" w:rsidRPr="000E2B5A" w:rsidRDefault="00D31F61" w:rsidP="0014388F">
      <w:pPr>
        <w:rPr>
          <w:sz w:val="22"/>
          <w:lang w:val="en-GB"/>
        </w:rPr>
      </w:pPr>
    </w:p>
    <w:p w:rsidR="00D31F61" w:rsidRPr="000E2B5A" w:rsidRDefault="00D31F61" w:rsidP="00D31F61">
      <w:pPr>
        <w:pStyle w:val="Quote"/>
      </w:pPr>
      <w:r w:rsidRPr="000E2B5A">
        <w:rPr>
          <w:lang w:eastAsia="en-GB"/>
        </w:rPr>
        <w:t xml:space="preserve">And not by his coming only, but by the consolation </w:t>
      </w:r>
      <w:r w:rsidRPr="000E2B5A">
        <w:t>(</w:t>
      </w:r>
      <w:r w:rsidRPr="000E2B5A">
        <w:rPr>
          <w:rFonts w:ascii="Bwgrkl" w:hAnsi="Bwgrkl" w:cs="Bwgrkl"/>
          <w:bCs/>
          <w:lang w:eastAsia="en-GB"/>
        </w:rPr>
        <w:t>para,klhsij</w:t>
      </w:r>
      <w:r w:rsidRPr="000E2B5A">
        <w:t>)</w:t>
      </w:r>
      <w:r w:rsidRPr="000E2B5A">
        <w:rPr>
          <w:lang w:eastAsia="en-GB"/>
        </w:rPr>
        <w:t xml:space="preserve"> wherewith he was comforted (</w:t>
      </w:r>
      <w:r w:rsidRPr="000E2B5A">
        <w:rPr>
          <w:rFonts w:ascii="Bwgrkl" w:hAnsi="Bwgrkl" w:cs="Bwgrkl"/>
          <w:bCs/>
          <w:lang w:eastAsia="en-GB"/>
        </w:rPr>
        <w:t>parakale,w</w:t>
      </w:r>
      <w:r w:rsidRPr="000E2B5A">
        <w:rPr>
          <w:lang w:eastAsia="en-GB"/>
        </w:rPr>
        <w:t xml:space="preserve">) in you, </w:t>
      </w:r>
      <w:r w:rsidRPr="000E2B5A">
        <w:rPr>
          <w:u w:val="single"/>
          <w:lang w:eastAsia="en-GB"/>
        </w:rPr>
        <w:t>when</w:t>
      </w:r>
      <w:r w:rsidRPr="000E2B5A">
        <w:rPr>
          <w:lang w:eastAsia="en-GB"/>
        </w:rPr>
        <w:t xml:space="preserve"> he told us your earnest desire, your mourning, your fervent mind toward me; so that I rejoiced the more. 2 Cor 7:7 (KJV)</w:t>
      </w:r>
      <w:r w:rsidRPr="000E2B5A">
        <w:t xml:space="preserve"> </w:t>
      </w:r>
    </w:p>
    <w:p w:rsidR="00216350" w:rsidRPr="000E2B5A" w:rsidRDefault="00216350" w:rsidP="0014388F">
      <w:pPr>
        <w:rPr>
          <w:sz w:val="22"/>
          <w:lang w:val="en-GB"/>
        </w:rPr>
      </w:pPr>
    </w:p>
    <w:p w:rsidR="00D31F61" w:rsidRPr="000E2B5A" w:rsidRDefault="00D31F61" w:rsidP="0014388F">
      <w:pPr>
        <w:rPr>
          <w:sz w:val="22"/>
          <w:lang w:val="en-GB"/>
        </w:rPr>
      </w:pPr>
      <w:r w:rsidRPr="000E2B5A">
        <w:rPr>
          <w:sz w:val="22"/>
          <w:lang w:val="en-GB"/>
        </w:rPr>
        <w:t>Comfort is given or received because of something else—words or actions: words of teaching or of assurance, or</w:t>
      </w:r>
      <w:r w:rsidR="00394CE3" w:rsidRPr="000E2B5A">
        <w:rPr>
          <w:sz w:val="22"/>
          <w:lang w:val="en-GB"/>
        </w:rPr>
        <w:t xml:space="preserve"> with</w:t>
      </w:r>
      <w:r w:rsidRPr="000E2B5A">
        <w:rPr>
          <w:sz w:val="22"/>
          <w:lang w:val="en-GB"/>
        </w:rPr>
        <w:t xml:space="preserve"> practical actions. So, if we rehearse the promises that God has made to the fathers, we comfort one another (Heb 6:18).</w:t>
      </w:r>
    </w:p>
    <w:p w:rsidR="00D31F61" w:rsidRPr="000E2B5A" w:rsidRDefault="00D31F61" w:rsidP="0014388F">
      <w:pPr>
        <w:rPr>
          <w:sz w:val="22"/>
          <w:lang w:val="en-GB"/>
        </w:rPr>
      </w:pPr>
    </w:p>
    <w:p w:rsidR="0008470F" w:rsidRPr="000E2B5A" w:rsidRDefault="00013C8C" w:rsidP="0014388F">
      <w:pPr>
        <w:rPr>
          <w:sz w:val="22"/>
          <w:lang w:val="en-GB"/>
        </w:rPr>
      </w:pPr>
      <w:r w:rsidRPr="000E2B5A">
        <w:rPr>
          <w:sz w:val="22"/>
          <w:lang w:val="en-GB"/>
        </w:rPr>
        <w:t xml:space="preserve">If Scripture is at the centre of exhortation, exposition is also at the centre; hence, Paul advises that an individual gives attention to reading </w:t>
      </w:r>
      <w:r w:rsidR="00BD7430" w:rsidRPr="000E2B5A">
        <w:rPr>
          <w:sz w:val="22"/>
          <w:lang w:val="en-GB"/>
        </w:rPr>
        <w:t>S</w:t>
      </w:r>
      <w:r w:rsidRPr="000E2B5A">
        <w:rPr>
          <w:sz w:val="22"/>
          <w:lang w:val="en-GB"/>
        </w:rPr>
        <w:t xml:space="preserve">cripture as well as exhortation. This is not to say that what is going on in the daily life of the ecclesia is not a source of exhortation, things such as witness, preaching, baptisms and the blessings of life. It is </w:t>
      </w:r>
      <w:r w:rsidR="00394CE3" w:rsidRPr="000E2B5A">
        <w:rPr>
          <w:sz w:val="22"/>
          <w:lang w:val="en-GB"/>
        </w:rPr>
        <w:t xml:space="preserve">just </w:t>
      </w:r>
      <w:r w:rsidRPr="000E2B5A">
        <w:rPr>
          <w:sz w:val="22"/>
          <w:lang w:val="en-GB"/>
        </w:rPr>
        <w:t>to say that teaching and doctrine are essential to exhortation. Hence, the degree to which we neglect Scripture and doctrine—it is to that extent we show that</w:t>
      </w:r>
      <w:r w:rsidR="002C5E0C" w:rsidRPr="000E2B5A">
        <w:rPr>
          <w:sz w:val="22"/>
          <w:lang w:val="en-GB"/>
        </w:rPr>
        <w:t xml:space="preserve"> we prefer to talk and hear</w:t>
      </w:r>
      <w:r w:rsidRPr="000E2B5A">
        <w:rPr>
          <w:sz w:val="22"/>
          <w:lang w:val="en-GB"/>
        </w:rPr>
        <w:t xml:space="preserve"> </w:t>
      </w:r>
      <w:r w:rsidR="00394CE3" w:rsidRPr="000E2B5A">
        <w:rPr>
          <w:sz w:val="22"/>
          <w:lang w:val="en-GB"/>
        </w:rPr>
        <w:t xml:space="preserve">only </w:t>
      </w:r>
      <w:r w:rsidRPr="000E2B5A">
        <w:rPr>
          <w:sz w:val="22"/>
          <w:lang w:val="en-GB"/>
        </w:rPr>
        <w:t>about our own lives—to hear anecdotes and stories and consider general moral advice (lessons) for living.</w:t>
      </w:r>
    </w:p>
    <w:p w:rsidR="0008470F" w:rsidRPr="000E2B5A" w:rsidRDefault="0008470F" w:rsidP="0014388F">
      <w:pPr>
        <w:rPr>
          <w:sz w:val="22"/>
          <w:lang w:val="en-GB"/>
        </w:rPr>
      </w:pPr>
    </w:p>
    <w:p w:rsidR="00D31F61" w:rsidRPr="000E2B5A" w:rsidRDefault="0008470F" w:rsidP="0014388F">
      <w:pPr>
        <w:rPr>
          <w:sz w:val="22"/>
          <w:lang w:val="en-GB"/>
        </w:rPr>
      </w:pPr>
      <w:r w:rsidRPr="000E2B5A">
        <w:rPr>
          <w:sz w:val="22"/>
          <w:lang w:val="en-GB"/>
        </w:rPr>
        <w:t xml:space="preserve">An ecclesia has ears to hear but it may only hear what it wants to hear; it may only appoint speakers of a certain generation, a particular group of friends, or of a known spiritual style. It is easy for a situation to develop over time where teaching and exposition are rare and neglected, and yet this malaise can be totally unrecognised because a form of spirituality is in evidence, viz. </w:t>
      </w:r>
      <w:r w:rsidR="00394CE3" w:rsidRPr="000E2B5A">
        <w:rPr>
          <w:sz w:val="22"/>
          <w:lang w:val="en-GB"/>
        </w:rPr>
        <w:t xml:space="preserve">the spirituality of </w:t>
      </w:r>
      <w:r w:rsidRPr="000E2B5A">
        <w:rPr>
          <w:sz w:val="22"/>
          <w:lang w:val="en-GB"/>
        </w:rPr>
        <w:t xml:space="preserve">what is practical, </w:t>
      </w:r>
      <w:r w:rsidR="00394CE3" w:rsidRPr="000E2B5A">
        <w:rPr>
          <w:sz w:val="22"/>
          <w:lang w:val="en-GB"/>
        </w:rPr>
        <w:t xml:space="preserve">of </w:t>
      </w:r>
      <w:r w:rsidRPr="000E2B5A">
        <w:rPr>
          <w:sz w:val="22"/>
          <w:lang w:val="en-GB"/>
        </w:rPr>
        <w:t xml:space="preserve">what is here and now, </w:t>
      </w:r>
      <w:r w:rsidR="00394CE3" w:rsidRPr="000E2B5A">
        <w:rPr>
          <w:sz w:val="22"/>
          <w:lang w:val="en-GB"/>
        </w:rPr>
        <w:t xml:space="preserve">of </w:t>
      </w:r>
      <w:r w:rsidRPr="000E2B5A">
        <w:rPr>
          <w:sz w:val="22"/>
          <w:lang w:val="en-GB"/>
        </w:rPr>
        <w:t>what is useful as</w:t>
      </w:r>
      <w:r w:rsidR="00127859" w:rsidRPr="000E2B5A">
        <w:rPr>
          <w:sz w:val="22"/>
          <w:lang w:val="en-GB"/>
        </w:rPr>
        <w:t xml:space="preserve"> a lesson for living</w:t>
      </w:r>
      <w:r w:rsidR="00F24F42" w:rsidRPr="000E2B5A">
        <w:rPr>
          <w:sz w:val="22"/>
          <w:lang w:val="en-GB"/>
        </w:rPr>
        <w:t xml:space="preserve">, something about </w:t>
      </w:r>
      <w:r w:rsidR="00F24F42" w:rsidRPr="000E2B5A">
        <w:rPr>
          <w:b/>
          <w:sz w:val="22"/>
          <w:lang w:val="en-GB"/>
        </w:rPr>
        <w:t>us</w:t>
      </w:r>
      <w:r w:rsidR="00F24F42" w:rsidRPr="000E2B5A">
        <w:rPr>
          <w:sz w:val="22"/>
          <w:lang w:val="en-GB"/>
        </w:rPr>
        <w:t xml:space="preserve"> rather than </w:t>
      </w:r>
      <w:r w:rsidR="002C5E0C" w:rsidRPr="000E2B5A">
        <w:rPr>
          <w:sz w:val="22"/>
          <w:lang w:val="en-GB"/>
        </w:rPr>
        <w:t xml:space="preserve">about </w:t>
      </w:r>
      <w:r w:rsidR="00F24F42" w:rsidRPr="000E2B5A">
        <w:rPr>
          <w:sz w:val="22"/>
          <w:lang w:val="en-GB"/>
        </w:rPr>
        <w:t>God</w:t>
      </w:r>
      <w:r w:rsidR="00127859" w:rsidRPr="000E2B5A">
        <w:rPr>
          <w:sz w:val="22"/>
          <w:lang w:val="en-GB"/>
        </w:rPr>
        <w:t>.</w:t>
      </w:r>
    </w:p>
    <w:p w:rsidR="00127859" w:rsidRPr="000E2B5A" w:rsidRDefault="00127859" w:rsidP="0014388F">
      <w:pPr>
        <w:rPr>
          <w:sz w:val="22"/>
          <w:lang w:val="en-GB"/>
        </w:rPr>
      </w:pPr>
    </w:p>
    <w:p w:rsidR="00127859" w:rsidRPr="000E2B5A" w:rsidRDefault="006C2378" w:rsidP="0014388F">
      <w:pPr>
        <w:rPr>
          <w:sz w:val="22"/>
          <w:lang w:val="en-GB"/>
        </w:rPr>
      </w:pPr>
      <w:r w:rsidRPr="000E2B5A">
        <w:rPr>
          <w:sz w:val="22"/>
          <w:lang w:val="en-GB"/>
        </w:rPr>
        <w:t>Nevertheless</w:t>
      </w:r>
      <w:r w:rsidR="00127859" w:rsidRPr="000E2B5A">
        <w:rPr>
          <w:sz w:val="22"/>
          <w:lang w:val="en-GB"/>
        </w:rPr>
        <w:t>, so as not to become unbalanced</w:t>
      </w:r>
      <w:r w:rsidRPr="000E2B5A">
        <w:rPr>
          <w:sz w:val="22"/>
          <w:lang w:val="en-GB"/>
        </w:rPr>
        <w:t xml:space="preserve"> in our critique</w:t>
      </w:r>
      <w:r w:rsidR="00127859" w:rsidRPr="000E2B5A">
        <w:rPr>
          <w:sz w:val="22"/>
          <w:lang w:val="en-GB"/>
        </w:rPr>
        <w:t xml:space="preserve">, we ought to say that exhortation is about good works—there are many texts that use the schema </w:t>
      </w:r>
      <w:r w:rsidR="005D74CB" w:rsidRPr="000E2B5A">
        <w:rPr>
          <w:sz w:val="22"/>
          <w:lang w:val="en-GB"/>
        </w:rPr>
        <w:t>“</w:t>
      </w:r>
      <w:r w:rsidR="00127859" w:rsidRPr="000E2B5A">
        <w:rPr>
          <w:sz w:val="22"/>
          <w:lang w:val="en-GB"/>
        </w:rPr>
        <w:t xml:space="preserve">to </w:t>
      </w:r>
      <w:r w:rsidR="00127859" w:rsidRPr="000E2B5A">
        <w:rPr>
          <w:sz w:val="22"/>
          <w:lang w:val="en-GB"/>
        </w:rPr>
        <w:lastRenderedPageBreak/>
        <w:t>exhort</w:t>
      </w:r>
      <w:r w:rsidR="002C5E0C" w:rsidRPr="000E2B5A">
        <w:rPr>
          <w:sz w:val="22"/>
          <w:lang w:val="en-GB"/>
        </w:rPr>
        <w:t xml:space="preserve"> </w:t>
      </w:r>
      <w:r w:rsidR="00127859" w:rsidRPr="000E2B5A">
        <w:rPr>
          <w:sz w:val="22"/>
          <w:lang w:val="en-GB"/>
        </w:rPr>
        <w:t>+</w:t>
      </w:r>
      <w:r w:rsidR="002C5E0C" w:rsidRPr="000E2B5A">
        <w:rPr>
          <w:sz w:val="22"/>
          <w:lang w:val="en-GB"/>
        </w:rPr>
        <w:t xml:space="preserve"> </w:t>
      </w:r>
      <w:r w:rsidR="00127859" w:rsidRPr="000E2B5A">
        <w:rPr>
          <w:sz w:val="22"/>
          <w:lang w:val="en-GB"/>
        </w:rPr>
        <w:t>to do/be</w:t>
      </w:r>
      <w:r w:rsidR="005D74CB" w:rsidRPr="000E2B5A">
        <w:rPr>
          <w:sz w:val="22"/>
          <w:lang w:val="en-GB"/>
        </w:rPr>
        <w:t>”</w:t>
      </w:r>
      <w:r w:rsidR="00127859" w:rsidRPr="000E2B5A">
        <w:rPr>
          <w:sz w:val="22"/>
          <w:lang w:val="en-GB"/>
        </w:rPr>
        <w:t xml:space="preserve">. </w:t>
      </w:r>
      <w:r w:rsidR="00414192" w:rsidRPr="000E2B5A">
        <w:rPr>
          <w:sz w:val="22"/>
          <w:lang w:val="en-GB"/>
        </w:rPr>
        <w:t xml:space="preserve">But what is overlooked </w:t>
      </w:r>
      <w:r w:rsidR="00127859" w:rsidRPr="000E2B5A">
        <w:rPr>
          <w:sz w:val="22"/>
          <w:lang w:val="en-GB"/>
        </w:rPr>
        <w:t xml:space="preserve">about these texts is that they are in letters to ecclesias and individuals known to the apostles: the exhortation </w:t>
      </w:r>
      <w:r w:rsidR="00127859" w:rsidRPr="000E2B5A">
        <w:rPr>
          <w:b/>
          <w:sz w:val="22"/>
          <w:lang w:val="en-GB"/>
        </w:rPr>
        <w:t>is directed to known individuals and groups</w:t>
      </w:r>
      <w:r w:rsidR="00127859" w:rsidRPr="000E2B5A">
        <w:rPr>
          <w:sz w:val="22"/>
          <w:lang w:val="en-GB"/>
        </w:rPr>
        <w:t>. The same point applies to Jesus</w:t>
      </w:r>
      <w:r w:rsidR="005D74CB" w:rsidRPr="000E2B5A">
        <w:rPr>
          <w:sz w:val="22"/>
          <w:lang w:val="en-GB"/>
        </w:rPr>
        <w:t>’</w:t>
      </w:r>
      <w:r w:rsidR="00127859" w:rsidRPr="000E2B5A">
        <w:rPr>
          <w:sz w:val="22"/>
          <w:lang w:val="en-GB"/>
        </w:rPr>
        <w:t xml:space="preserve"> exhortation</w:t>
      </w:r>
      <w:r w:rsidR="00414192" w:rsidRPr="000E2B5A">
        <w:rPr>
          <w:sz w:val="22"/>
          <w:lang w:val="en-GB"/>
        </w:rPr>
        <w:t>s</w:t>
      </w:r>
      <w:r w:rsidR="00127859" w:rsidRPr="000E2B5A">
        <w:rPr>
          <w:sz w:val="22"/>
          <w:lang w:val="en-GB"/>
        </w:rPr>
        <w:t xml:space="preserve"> in his preaching. Although we read the exhortation in the NT Scriptures, we </w:t>
      </w:r>
      <w:r w:rsidR="00414192" w:rsidRPr="000E2B5A">
        <w:rPr>
          <w:sz w:val="22"/>
          <w:lang w:val="en-GB"/>
        </w:rPr>
        <w:t xml:space="preserve">should remember that we are </w:t>
      </w:r>
      <w:r w:rsidR="00127859" w:rsidRPr="000E2B5A">
        <w:rPr>
          <w:sz w:val="22"/>
          <w:lang w:val="en-GB"/>
        </w:rPr>
        <w:t>not the personally known recipients of the original writings</w:t>
      </w:r>
      <w:r w:rsidR="00F24F42" w:rsidRPr="000E2B5A">
        <w:rPr>
          <w:sz w:val="22"/>
          <w:lang w:val="en-GB"/>
        </w:rPr>
        <w:t>;</w:t>
      </w:r>
      <w:r w:rsidR="00414192" w:rsidRPr="000E2B5A">
        <w:rPr>
          <w:sz w:val="22"/>
          <w:lang w:val="en-GB"/>
        </w:rPr>
        <w:t xml:space="preserve"> </w:t>
      </w:r>
      <w:r w:rsidR="00F24F42" w:rsidRPr="000E2B5A">
        <w:rPr>
          <w:sz w:val="22"/>
          <w:lang w:val="en-GB"/>
        </w:rPr>
        <w:t>w</w:t>
      </w:r>
      <w:r w:rsidR="00414192" w:rsidRPr="000E2B5A">
        <w:rPr>
          <w:sz w:val="22"/>
          <w:lang w:val="en-GB"/>
        </w:rPr>
        <w:t xml:space="preserve">e have to </w:t>
      </w:r>
      <w:r w:rsidR="00414192" w:rsidRPr="000E2B5A">
        <w:rPr>
          <w:i/>
          <w:sz w:val="22"/>
          <w:lang w:val="en-GB"/>
        </w:rPr>
        <w:t>apply</w:t>
      </w:r>
      <w:r w:rsidR="00414192" w:rsidRPr="000E2B5A">
        <w:rPr>
          <w:sz w:val="22"/>
          <w:lang w:val="en-GB"/>
        </w:rPr>
        <w:t xml:space="preserve"> the Scriptures to ourselves.</w:t>
      </w:r>
      <w:r w:rsidRPr="000E2B5A">
        <w:rPr>
          <w:sz w:val="22"/>
          <w:lang w:val="en-GB"/>
        </w:rPr>
        <w:t xml:space="preserve"> Even if our exhortation is not doctrinal in focus but practical, it will involve exposition because the Scriptures are involved.</w:t>
      </w:r>
    </w:p>
    <w:p w:rsidR="00127859" w:rsidRPr="000E2B5A" w:rsidRDefault="00127859" w:rsidP="0014388F">
      <w:pPr>
        <w:rPr>
          <w:sz w:val="22"/>
          <w:lang w:val="en-GB"/>
        </w:rPr>
      </w:pPr>
    </w:p>
    <w:p w:rsidR="006C2378" w:rsidRPr="000E2B5A" w:rsidRDefault="006C2378" w:rsidP="0014388F">
      <w:pPr>
        <w:rPr>
          <w:rFonts w:ascii="Bradley Hand ITC" w:hAnsi="Bradley Hand ITC"/>
          <w:b/>
          <w:sz w:val="28"/>
          <w:lang w:val="en-GB"/>
        </w:rPr>
      </w:pPr>
      <w:r w:rsidRPr="000E2B5A">
        <w:rPr>
          <w:rFonts w:ascii="Bradley Hand ITC" w:hAnsi="Bradley Hand ITC"/>
          <w:b/>
          <w:sz w:val="28"/>
          <w:lang w:val="en-GB"/>
        </w:rPr>
        <w:t>Writing and Speaking</w:t>
      </w:r>
    </w:p>
    <w:p w:rsidR="00127859" w:rsidRPr="000E2B5A" w:rsidRDefault="00127859" w:rsidP="0014388F">
      <w:pPr>
        <w:rPr>
          <w:sz w:val="22"/>
          <w:lang w:val="en-GB"/>
        </w:rPr>
      </w:pPr>
      <w:r w:rsidRPr="000E2B5A">
        <w:rPr>
          <w:sz w:val="22"/>
          <w:lang w:val="en-GB"/>
        </w:rPr>
        <w:t xml:space="preserve">The question arises as to whether </w:t>
      </w:r>
      <w:r w:rsidR="009F5E06" w:rsidRPr="000E2B5A">
        <w:rPr>
          <w:sz w:val="22"/>
          <w:lang w:val="en-GB"/>
        </w:rPr>
        <w:t xml:space="preserve">written </w:t>
      </w:r>
      <w:r w:rsidRPr="000E2B5A">
        <w:rPr>
          <w:sz w:val="22"/>
          <w:lang w:val="en-GB"/>
        </w:rPr>
        <w:t>exhortation in the com</w:t>
      </w:r>
      <w:r w:rsidR="003F3823" w:rsidRPr="000E2B5A">
        <w:rPr>
          <w:sz w:val="22"/>
          <w:lang w:val="en-GB"/>
        </w:rPr>
        <w:t xml:space="preserve">munity magazines should be different to exhortation on a Sunday morning. One of the disadvantages with the </w:t>
      </w:r>
      <w:r w:rsidR="005D74CB" w:rsidRPr="000E2B5A">
        <w:rPr>
          <w:sz w:val="22"/>
          <w:lang w:val="en-GB"/>
        </w:rPr>
        <w:t>“</w:t>
      </w:r>
      <w:r w:rsidR="003F3823" w:rsidRPr="000E2B5A">
        <w:rPr>
          <w:sz w:val="22"/>
          <w:lang w:val="en-GB"/>
        </w:rPr>
        <w:t>visiting speaker</w:t>
      </w:r>
      <w:r w:rsidR="005D74CB" w:rsidRPr="000E2B5A">
        <w:rPr>
          <w:sz w:val="22"/>
          <w:lang w:val="en-GB"/>
        </w:rPr>
        <w:t>”</w:t>
      </w:r>
      <w:r w:rsidR="003F3823" w:rsidRPr="000E2B5A">
        <w:rPr>
          <w:sz w:val="22"/>
          <w:lang w:val="en-GB"/>
        </w:rPr>
        <w:t xml:space="preserve"> system is that the visitor does not know the ecclesia he is visiting—the state of knowledge, the current difficulties, spiritual problems, emotional needs and spiritual requirements. While there is a place for visiting speakers, the </w:t>
      </w:r>
      <w:r w:rsidR="00EE23D8" w:rsidRPr="000E2B5A">
        <w:rPr>
          <w:sz w:val="22"/>
          <w:lang w:val="en-GB"/>
        </w:rPr>
        <w:t>rule</w:t>
      </w:r>
      <w:r w:rsidR="003F3823" w:rsidRPr="000E2B5A">
        <w:rPr>
          <w:sz w:val="22"/>
          <w:lang w:val="en-GB"/>
        </w:rPr>
        <w:t xml:space="preserve"> should be that an ecclesia is exhorted by </w:t>
      </w:r>
      <w:r w:rsidR="003F3823" w:rsidRPr="000E2B5A">
        <w:rPr>
          <w:b/>
          <w:sz w:val="22"/>
          <w:lang w:val="en-GB"/>
        </w:rPr>
        <w:t>one of its own</w:t>
      </w:r>
      <w:r w:rsidR="00EE23D8" w:rsidRPr="000E2B5A">
        <w:rPr>
          <w:sz w:val="22"/>
          <w:lang w:val="en-GB"/>
        </w:rPr>
        <w:t xml:space="preserve"> (John 1:</w:t>
      </w:r>
      <w:r w:rsidR="00FA0A0C" w:rsidRPr="000E2B5A">
        <w:rPr>
          <w:sz w:val="22"/>
          <w:lang w:val="en-GB"/>
        </w:rPr>
        <w:t>11)</w:t>
      </w:r>
      <w:r w:rsidR="003F3823" w:rsidRPr="000E2B5A">
        <w:rPr>
          <w:sz w:val="22"/>
          <w:lang w:val="en-GB"/>
        </w:rPr>
        <w:t>.</w:t>
      </w:r>
      <w:r w:rsidR="00414192" w:rsidRPr="000E2B5A">
        <w:rPr>
          <w:sz w:val="22"/>
          <w:lang w:val="en-GB"/>
        </w:rPr>
        <w:t xml:space="preserve"> The same point applies to magazine exhortation—it is not personally addressed but generalized</w:t>
      </w:r>
      <w:r w:rsidR="00B371C8" w:rsidRPr="000E2B5A">
        <w:rPr>
          <w:sz w:val="22"/>
          <w:lang w:val="en-GB"/>
        </w:rPr>
        <w:t>.</w:t>
      </w:r>
    </w:p>
    <w:p w:rsidR="003F3823" w:rsidRPr="000E2B5A" w:rsidRDefault="003F3823" w:rsidP="0014388F">
      <w:pPr>
        <w:rPr>
          <w:sz w:val="22"/>
          <w:lang w:val="en-GB"/>
        </w:rPr>
      </w:pPr>
    </w:p>
    <w:p w:rsidR="003F3823" w:rsidRPr="000E2B5A" w:rsidRDefault="00414192" w:rsidP="0014388F">
      <w:pPr>
        <w:rPr>
          <w:sz w:val="22"/>
          <w:lang w:val="en-GB"/>
        </w:rPr>
      </w:pPr>
      <w:r w:rsidRPr="000E2B5A">
        <w:rPr>
          <w:sz w:val="22"/>
          <w:lang w:val="en-GB"/>
        </w:rPr>
        <w:t>Generalized exhortation is an ideal vehicle for using exposition of the Scriptures. The Scriptures are what we hold in common. If we exegete the Scriptures and apply their various levels of meaning in an ecclesial context to our lives, then we are engaged in exposition and exhorting one another. Whereas exhortation from the platform by ecclesial members can be direct and relevant, magazine exhortation can only be general and therefore the Scriptures and their meaning should be the preferred model for exhortation</w:t>
      </w:r>
      <w:r w:rsidR="0094774B" w:rsidRPr="000E2B5A">
        <w:rPr>
          <w:sz w:val="22"/>
          <w:lang w:val="en-GB"/>
        </w:rPr>
        <w:t xml:space="preserve"> in writing</w:t>
      </w:r>
      <w:r w:rsidRPr="000E2B5A">
        <w:rPr>
          <w:sz w:val="22"/>
          <w:lang w:val="en-GB"/>
        </w:rPr>
        <w:t>.</w:t>
      </w:r>
    </w:p>
    <w:p w:rsidR="00414192" w:rsidRPr="000E2B5A" w:rsidRDefault="00414192" w:rsidP="0014388F">
      <w:pPr>
        <w:rPr>
          <w:sz w:val="22"/>
          <w:lang w:val="en-GB"/>
        </w:rPr>
      </w:pPr>
    </w:p>
    <w:p w:rsidR="00414192" w:rsidRPr="000E2B5A" w:rsidRDefault="00414192" w:rsidP="0014388F">
      <w:pPr>
        <w:rPr>
          <w:sz w:val="22"/>
          <w:lang w:val="en-GB"/>
        </w:rPr>
      </w:pPr>
      <w:r w:rsidRPr="000E2B5A">
        <w:rPr>
          <w:sz w:val="22"/>
          <w:lang w:val="en-GB"/>
        </w:rPr>
        <w:t>We can write exhortation that has anecdote</w:t>
      </w:r>
      <w:r w:rsidR="00B206CB" w:rsidRPr="000E2B5A">
        <w:rPr>
          <w:sz w:val="22"/>
          <w:lang w:val="en-GB"/>
        </w:rPr>
        <w:t>s</w:t>
      </w:r>
      <w:r w:rsidRPr="000E2B5A">
        <w:rPr>
          <w:sz w:val="22"/>
          <w:lang w:val="en-GB"/>
        </w:rPr>
        <w:t xml:space="preserve">, touching stories, homiletical lessons for living, pithy advice on life, moral aphorisms, </w:t>
      </w:r>
      <w:r w:rsidR="00FA0A0C" w:rsidRPr="000E2B5A">
        <w:rPr>
          <w:sz w:val="22"/>
          <w:lang w:val="en-GB"/>
        </w:rPr>
        <w:t xml:space="preserve">sentiment, </w:t>
      </w:r>
      <w:r w:rsidRPr="000E2B5A">
        <w:rPr>
          <w:sz w:val="22"/>
          <w:lang w:val="en-GB"/>
        </w:rPr>
        <w:t xml:space="preserve">politically correct values, and such is the stuff of the BBC church service exhortations. </w:t>
      </w:r>
      <w:r w:rsidR="00B206CB" w:rsidRPr="000E2B5A">
        <w:rPr>
          <w:sz w:val="22"/>
          <w:lang w:val="en-GB"/>
        </w:rPr>
        <w:t>However, i</w:t>
      </w:r>
      <w:r w:rsidRPr="000E2B5A">
        <w:rPr>
          <w:sz w:val="22"/>
          <w:lang w:val="en-GB"/>
        </w:rPr>
        <w:t xml:space="preserve">t is better to place Scripture and some substance at the centre of magazine exhortations. And while spoken exhortation on a Sunday can be more varied, </w:t>
      </w:r>
      <w:r w:rsidR="00BB3508" w:rsidRPr="000E2B5A">
        <w:rPr>
          <w:sz w:val="22"/>
          <w:lang w:val="en-GB"/>
        </w:rPr>
        <w:t xml:space="preserve">a spiritually balanced ecclesia will </w:t>
      </w:r>
      <w:r w:rsidR="0094774B" w:rsidRPr="000E2B5A">
        <w:rPr>
          <w:sz w:val="22"/>
          <w:lang w:val="en-GB"/>
        </w:rPr>
        <w:t xml:space="preserve">also </w:t>
      </w:r>
      <w:r w:rsidR="00BB3508" w:rsidRPr="000E2B5A">
        <w:rPr>
          <w:sz w:val="22"/>
          <w:lang w:val="en-GB"/>
        </w:rPr>
        <w:t xml:space="preserve">have </w:t>
      </w:r>
      <w:r w:rsidR="00FA0A0C" w:rsidRPr="000E2B5A">
        <w:rPr>
          <w:sz w:val="22"/>
          <w:lang w:val="en-GB"/>
        </w:rPr>
        <w:t>S</w:t>
      </w:r>
      <w:r w:rsidR="00BB3508" w:rsidRPr="000E2B5A">
        <w:rPr>
          <w:sz w:val="22"/>
          <w:lang w:val="en-GB"/>
        </w:rPr>
        <w:t>cripturally centred exhortation as the main mode in which exhortation is delivered.</w:t>
      </w:r>
    </w:p>
    <w:p w:rsidR="00D31F61" w:rsidRPr="000E2B5A" w:rsidRDefault="00D31F61" w:rsidP="0014388F">
      <w:pPr>
        <w:rPr>
          <w:sz w:val="22"/>
          <w:lang w:val="en-GB"/>
        </w:rPr>
      </w:pPr>
    </w:p>
    <w:p w:rsidR="0014388F" w:rsidRPr="000E2B5A" w:rsidRDefault="009F2C19" w:rsidP="0014388F">
      <w:pPr>
        <w:rPr>
          <w:color w:val="auto"/>
          <w:sz w:val="22"/>
          <w:szCs w:val="22"/>
          <w:lang w:eastAsia="en-GB" w:bidi="he-IL"/>
        </w:rPr>
      </w:pPr>
      <w:r w:rsidRPr="000E2B5A">
        <w:rPr>
          <w:sz w:val="22"/>
          <w:lang w:val="en-GB"/>
        </w:rPr>
        <w:t xml:space="preserve">The well-known statement of Paul on Scripture is that it is </w:t>
      </w:r>
      <w:r w:rsidRPr="000E2B5A">
        <w:rPr>
          <w:sz w:val="22"/>
          <w:szCs w:val="22"/>
          <w:lang w:val="en-GB"/>
        </w:rPr>
        <w:t xml:space="preserve">profitable </w:t>
      </w:r>
      <w:r w:rsidRPr="000E2B5A">
        <w:rPr>
          <w:color w:val="auto"/>
          <w:sz w:val="22"/>
          <w:szCs w:val="22"/>
          <w:lang w:eastAsia="en-GB" w:bidi="he-IL"/>
        </w:rPr>
        <w:t xml:space="preserve">for doctrine, for reproof, for correction, for instruction in righteousness (2 Tim 3:16). In a community where the spirit-gifts are absent, it would seem a first principle that the spirit-word be at the centre of exhortation. The presentation of Christ at the breaking of bread should be through Scripture. </w:t>
      </w:r>
    </w:p>
    <w:p w:rsidR="009F2C19" w:rsidRPr="000E2B5A" w:rsidRDefault="009F2C19" w:rsidP="0014388F">
      <w:pPr>
        <w:rPr>
          <w:color w:val="auto"/>
          <w:sz w:val="22"/>
          <w:szCs w:val="22"/>
          <w:lang w:eastAsia="en-GB" w:bidi="he-IL"/>
        </w:rPr>
      </w:pPr>
    </w:p>
    <w:p w:rsidR="0014388F" w:rsidRPr="000E2B5A" w:rsidRDefault="00BB3508" w:rsidP="0014388F">
      <w:pPr>
        <w:rPr>
          <w:rFonts w:ascii="Bradley Hand ITC" w:hAnsi="Bradley Hand ITC"/>
          <w:b/>
          <w:sz w:val="28"/>
          <w:lang w:val="en-GB"/>
        </w:rPr>
      </w:pPr>
      <w:r w:rsidRPr="000E2B5A">
        <w:rPr>
          <w:rFonts w:ascii="Bradley Hand ITC" w:hAnsi="Bradley Hand ITC"/>
          <w:b/>
          <w:sz w:val="28"/>
          <w:lang w:val="en-GB"/>
        </w:rPr>
        <w:lastRenderedPageBreak/>
        <w:t>Devotion</w:t>
      </w:r>
    </w:p>
    <w:p w:rsidR="00BE2C4B" w:rsidRPr="000E2B5A" w:rsidRDefault="00912B54" w:rsidP="0014388F">
      <w:pPr>
        <w:rPr>
          <w:sz w:val="22"/>
          <w:lang w:val="en-GB"/>
        </w:rPr>
      </w:pPr>
      <w:r w:rsidRPr="000E2B5A">
        <w:rPr>
          <w:sz w:val="22"/>
          <w:lang w:val="en-GB"/>
        </w:rPr>
        <w:t xml:space="preserve">People might </w:t>
      </w:r>
      <w:r w:rsidR="00FA0A0C" w:rsidRPr="000E2B5A">
        <w:rPr>
          <w:sz w:val="22"/>
          <w:lang w:val="en-GB"/>
        </w:rPr>
        <w:t xml:space="preserve">just </w:t>
      </w:r>
      <w:r w:rsidRPr="000E2B5A">
        <w:rPr>
          <w:sz w:val="22"/>
          <w:lang w:val="en-GB"/>
        </w:rPr>
        <w:t xml:space="preserve">think of prayer and praise as “devotion” or perhaps meditation and reading. Bible study might not be a person’s first idea about devotion. However, there is no real basis for excluding any of these things from the category of “devotion”. </w:t>
      </w:r>
      <w:r w:rsidR="00E531C9" w:rsidRPr="000E2B5A">
        <w:rPr>
          <w:sz w:val="22"/>
          <w:lang w:val="en-GB"/>
        </w:rPr>
        <w:t>We can define “devotion” to be any spiritual behaviour specifically directed towards God. So, i</w:t>
      </w:r>
      <w:r w:rsidR="00B206CB" w:rsidRPr="000E2B5A">
        <w:rPr>
          <w:sz w:val="22"/>
          <w:lang w:val="en-GB"/>
        </w:rPr>
        <w:t xml:space="preserve">f a person loves the Scriptures, this is an expression of their love for the Father. If s/he loves the Father, s/he will also love the Son. The Son loved the Scriptures as shown by his </w:t>
      </w:r>
      <w:r w:rsidR="00B371C8" w:rsidRPr="000E2B5A">
        <w:rPr>
          <w:sz w:val="22"/>
          <w:lang w:val="en-GB"/>
        </w:rPr>
        <w:t xml:space="preserve">constant </w:t>
      </w:r>
      <w:r w:rsidR="00B206CB" w:rsidRPr="000E2B5A">
        <w:rPr>
          <w:sz w:val="22"/>
          <w:lang w:val="en-GB"/>
        </w:rPr>
        <w:t xml:space="preserve">use of them. A person who loves the Scriptures aligns themselves with the values held dear by Jesus. In this arrangement of the mind </w:t>
      </w:r>
      <w:r w:rsidR="00B371C8" w:rsidRPr="000E2B5A">
        <w:rPr>
          <w:sz w:val="22"/>
          <w:lang w:val="en-GB"/>
        </w:rPr>
        <w:t>a person</w:t>
      </w:r>
      <w:r w:rsidR="00B206CB" w:rsidRPr="000E2B5A">
        <w:rPr>
          <w:sz w:val="22"/>
          <w:lang w:val="en-GB"/>
        </w:rPr>
        <w:t xml:space="preserve"> shows that they are faithful followers doing what </w:t>
      </w:r>
      <w:r w:rsidR="00B371C8" w:rsidRPr="000E2B5A">
        <w:rPr>
          <w:sz w:val="22"/>
          <w:lang w:val="en-GB"/>
        </w:rPr>
        <w:t xml:space="preserve">Jesus </w:t>
      </w:r>
      <w:r w:rsidR="00B206CB" w:rsidRPr="000E2B5A">
        <w:rPr>
          <w:sz w:val="22"/>
          <w:lang w:val="en-GB"/>
        </w:rPr>
        <w:t>commanded.</w:t>
      </w:r>
    </w:p>
    <w:p w:rsidR="00B206CB" w:rsidRPr="000E2B5A" w:rsidRDefault="00B206CB" w:rsidP="0014388F">
      <w:pPr>
        <w:rPr>
          <w:sz w:val="22"/>
          <w:lang w:val="en-GB"/>
        </w:rPr>
      </w:pPr>
    </w:p>
    <w:p w:rsidR="00B206CB" w:rsidRPr="000E2B5A" w:rsidRDefault="00B206CB" w:rsidP="0014388F">
      <w:pPr>
        <w:rPr>
          <w:sz w:val="22"/>
          <w:lang w:val="en-GB"/>
        </w:rPr>
      </w:pPr>
      <w:r w:rsidRPr="000E2B5A">
        <w:rPr>
          <w:sz w:val="22"/>
          <w:lang w:val="en-GB"/>
        </w:rPr>
        <w:t>Exposition is an exercise of love</w:t>
      </w:r>
      <w:r w:rsidR="009F5E06" w:rsidRPr="000E2B5A">
        <w:rPr>
          <w:sz w:val="22"/>
          <w:lang w:val="en-GB"/>
        </w:rPr>
        <w:t xml:space="preserve"> very much</w:t>
      </w:r>
      <w:r w:rsidRPr="000E2B5A">
        <w:rPr>
          <w:sz w:val="22"/>
          <w:lang w:val="en-GB"/>
        </w:rPr>
        <w:t xml:space="preserve"> as bodily exercise works </w:t>
      </w:r>
      <w:r w:rsidR="00B371C8" w:rsidRPr="000E2B5A">
        <w:rPr>
          <w:sz w:val="22"/>
          <w:lang w:val="en-GB"/>
        </w:rPr>
        <w:t>a</w:t>
      </w:r>
      <w:r w:rsidRPr="000E2B5A">
        <w:rPr>
          <w:sz w:val="22"/>
          <w:lang w:val="en-GB"/>
        </w:rPr>
        <w:t xml:space="preserve"> person’s joints and limbs. </w:t>
      </w:r>
      <w:r w:rsidR="00B371C8" w:rsidRPr="000E2B5A">
        <w:rPr>
          <w:sz w:val="22"/>
          <w:lang w:val="en-GB"/>
        </w:rPr>
        <w:t>It is part of the devotion of a life towards God; part of the orientation of a life towards God. Its relative absence in a life shows the extent to which a person falls short in their devotion towards God and his Word.</w:t>
      </w:r>
      <w:r w:rsidR="00147435" w:rsidRPr="000E2B5A">
        <w:rPr>
          <w:sz w:val="22"/>
          <w:lang w:val="en-GB"/>
        </w:rPr>
        <w:t xml:space="preserve"> All exposition is therefore devotional; it may appear complicated and technical, purely factual, but it is an exercise of devotion because time has been spent with the Word. The amount of time spent with the Word is a measure of the devotion. </w:t>
      </w:r>
    </w:p>
    <w:p w:rsidR="00147435" w:rsidRPr="000E2B5A" w:rsidRDefault="00147435" w:rsidP="0014388F">
      <w:pPr>
        <w:rPr>
          <w:sz w:val="22"/>
          <w:lang w:val="en-GB"/>
        </w:rPr>
      </w:pPr>
    </w:p>
    <w:p w:rsidR="00147435" w:rsidRPr="000E2B5A" w:rsidRDefault="00147435" w:rsidP="0014388F">
      <w:pPr>
        <w:rPr>
          <w:sz w:val="22"/>
          <w:lang w:val="en-GB"/>
        </w:rPr>
      </w:pPr>
      <w:r w:rsidRPr="000E2B5A">
        <w:rPr>
          <w:sz w:val="22"/>
          <w:lang w:val="en-GB"/>
        </w:rPr>
        <w:t xml:space="preserve">Someone might object and say that the time spent with the Word is not an act of devotion because it is just an expression of a person’s intellectual fascination with the material. This is </w:t>
      </w:r>
      <w:r w:rsidR="00FA0A0C" w:rsidRPr="000E2B5A">
        <w:rPr>
          <w:sz w:val="22"/>
          <w:lang w:val="en-GB"/>
        </w:rPr>
        <w:t xml:space="preserve">a </w:t>
      </w:r>
      <w:r w:rsidRPr="000E2B5A">
        <w:rPr>
          <w:sz w:val="22"/>
          <w:lang w:val="en-GB"/>
        </w:rPr>
        <w:t xml:space="preserve">possible </w:t>
      </w:r>
      <w:r w:rsidR="00FA0A0C" w:rsidRPr="000E2B5A">
        <w:rPr>
          <w:sz w:val="22"/>
          <w:lang w:val="en-GB"/>
        </w:rPr>
        <w:t xml:space="preserve">failing </w:t>
      </w:r>
      <w:r w:rsidRPr="000E2B5A">
        <w:rPr>
          <w:sz w:val="22"/>
          <w:lang w:val="en-GB"/>
        </w:rPr>
        <w:t xml:space="preserve">but whether it is so can be easily determined by listening to </w:t>
      </w:r>
      <w:r w:rsidR="00CB6CF3" w:rsidRPr="000E2B5A">
        <w:rPr>
          <w:sz w:val="22"/>
          <w:lang w:val="en-GB"/>
        </w:rPr>
        <w:t>an</w:t>
      </w:r>
      <w:r w:rsidRPr="000E2B5A">
        <w:rPr>
          <w:sz w:val="22"/>
          <w:lang w:val="en-GB"/>
        </w:rPr>
        <w:t xml:space="preserve"> expositor for the language of devotion in his/her speech rather than the language of intellectual observation. Someone who listens to secular academic treatment of the Bible will </w:t>
      </w:r>
      <w:r w:rsidR="00CB6CF3" w:rsidRPr="000E2B5A">
        <w:rPr>
          <w:sz w:val="22"/>
          <w:lang w:val="en-GB"/>
        </w:rPr>
        <w:t xml:space="preserve">readily </w:t>
      </w:r>
      <w:r w:rsidRPr="000E2B5A">
        <w:rPr>
          <w:sz w:val="22"/>
          <w:lang w:val="en-GB"/>
        </w:rPr>
        <w:t xml:space="preserve">be able to discern the difference between the </w:t>
      </w:r>
      <w:r w:rsidR="00BA7FDF" w:rsidRPr="000E2B5A">
        <w:rPr>
          <w:sz w:val="22"/>
          <w:lang w:val="en-GB"/>
        </w:rPr>
        <w:t>devotional expositor and the technician.</w:t>
      </w:r>
    </w:p>
    <w:p w:rsidR="00D90952" w:rsidRPr="000E2B5A" w:rsidRDefault="00D90952" w:rsidP="0014388F">
      <w:pPr>
        <w:rPr>
          <w:sz w:val="22"/>
          <w:lang w:val="en-GB"/>
        </w:rPr>
      </w:pPr>
    </w:p>
    <w:p w:rsidR="00BA7FDF" w:rsidRPr="000E2B5A" w:rsidRDefault="003E271E" w:rsidP="0014388F">
      <w:pPr>
        <w:rPr>
          <w:rFonts w:ascii="Bradley Hand ITC" w:hAnsi="Bradley Hand ITC"/>
          <w:b/>
          <w:sz w:val="28"/>
          <w:lang w:val="en-GB"/>
        </w:rPr>
      </w:pPr>
      <w:r w:rsidRPr="000E2B5A">
        <w:rPr>
          <w:rFonts w:ascii="Bradley Hand ITC" w:hAnsi="Bradley Hand ITC"/>
          <w:b/>
          <w:sz w:val="28"/>
          <w:lang w:val="en-GB"/>
        </w:rPr>
        <w:t>Conclusion</w:t>
      </w:r>
    </w:p>
    <w:p w:rsidR="00907E84" w:rsidRPr="000E2B5A" w:rsidRDefault="00907E84" w:rsidP="0014388F">
      <w:pPr>
        <w:rPr>
          <w:sz w:val="22"/>
          <w:lang w:val="en-GB"/>
        </w:rPr>
      </w:pPr>
      <w:r w:rsidRPr="000E2B5A">
        <w:rPr>
          <w:sz w:val="22"/>
          <w:lang w:val="en-GB"/>
        </w:rPr>
        <w:t>Whether devotional exposition has been neglected in your ecclesia is a not a matter for this article. If we examine ourselves we need some measures to do so, and there are various ways of specifying such measures</w:t>
      </w:r>
      <w:r w:rsidR="007D1413" w:rsidRPr="000E2B5A">
        <w:rPr>
          <w:sz w:val="22"/>
          <w:lang w:val="en-GB"/>
        </w:rPr>
        <w:t xml:space="preserve"> but each is about </w:t>
      </w:r>
      <w:r w:rsidR="007D1413" w:rsidRPr="000E2B5A">
        <w:rPr>
          <w:b/>
          <w:sz w:val="22"/>
          <w:lang w:val="en-GB"/>
        </w:rPr>
        <w:t>purpose</w:t>
      </w:r>
      <w:r w:rsidR="007D1413" w:rsidRPr="000E2B5A">
        <w:rPr>
          <w:sz w:val="22"/>
          <w:lang w:val="en-GB"/>
        </w:rPr>
        <w:t xml:space="preserve"> and the </w:t>
      </w:r>
      <w:r w:rsidR="007D1413" w:rsidRPr="000E2B5A">
        <w:rPr>
          <w:b/>
          <w:sz w:val="22"/>
          <w:lang w:val="en-GB"/>
        </w:rPr>
        <w:t>achievement of purpose</w:t>
      </w:r>
      <w:r w:rsidR="00E531C9" w:rsidRPr="000E2B5A">
        <w:rPr>
          <w:sz w:val="22"/>
          <w:lang w:val="en-GB"/>
        </w:rPr>
        <w:t>—t</w:t>
      </w:r>
      <w:r w:rsidRPr="000E2B5A">
        <w:rPr>
          <w:sz w:val="22"/>
          <w:lang w:val="en-GB"/>
        </w:rPr>
        <w:t>he spirit-gifts were purposeful:</w:t>
      </w:r>
    </w:p>
    <w:p w:rsidR="00907E84" w:rsidRPr="000E2B5A" w:rsidRDefault="00907E84" w:rsidP="0014388F">
      <w:pPr>
        <w:rPr>
          <w:sz w:val="22"/>
          <w:lang w:val="en-GB"/>
        </w:rPr>
      </w:pPr>
    </w:p>
    <w:p w:rsidR="00D90952" w:rsidRPr="000E2B5A" w:rsidRDefault="00907E84" w:rsidP="00907E84">
      <w:pPr>
        <w:pStyle w:val="Quote"/>
      </w:pPr>
      <w:r w:rsidRPr="000E2B5A">
        <w:rPr>
          <w:lang w:eastAsia="en-GB"/>
        </w:rPr>
        <w:t xml:space="preserve">And he gave some, apostles; and some, prophets; and some, evangelists; and some, pastors and teachers; For the perfecting of the saints, for the work of the ministry, for the edifying of the body of Christ: Till we all come in the unity of the faith, and of the knowledge of the Son of God, unto a perfect man, unto the measure of the stature of the fulness of Christ: That we </w:t>
      </w:r>
      <w:r w:rsidRPr="000E2B5A">
        <w:rPr>
          <w:i/>
          <w:iCs/>
          <w:lang w:eastAsia="en-GB"/>
        </w:rPr>
        <w:t xml:space="preserve">henceforth </w:t>
      </w:r>
      <w:r w:rsidRPr="000E2B5A">
        <w:rPr>
          <w:lang w:eastAsia="en-GB"/>
        </w:rPr>
        <w:t xml:space="preserve">be no more children, tossed to and fro, and carried about with every wind of doctrine, by the sleight of men, </w:t>
      </w:r>
      <w:r w:rsidRPr="000E2B5A">
        <w:rPr>
          <w:i/>
          <w:iCs/>
          <w:lang w:eastAsia="en-GB"/>
        </w:rPr>
        <w:t xml:space="preserve">and </w:t>
      </w:r>
      <w:r w:rsidRPr="000E2B5A">
        <w:rPr>
          <w:lang w:eastAsia="en-GB"/>
        </w:rPr>
        <w:t xml:space="preserve">cunning craftiness, whereby they </w:t>
      </w:r>
      <w:r w:rsidRPr="000E2B5A">
        <w:rPr>
          <w:lang w:eastAsia="en-GB"/>
        </w:rPr>
        <w:lastRenderedPageBreak/>
        <w:t xml:space="preserve">lie in wait to deceive; But speaking the truth in love, may grow up into him in all things, which is the head, </w:t>
      </w:r>
      <w:r w:rsidRPr="000E2B5A">
        <w:rPr>
          <w:i/>
          <w:iCs/>
          <w:lang w:eastAsia="en-GB"/>
        </w:rPr>
        <w:t xml:space="preserve">even </w:t>
      </w:r>
      <w:r w:rsidRPr="000E2B5A">
        <w:rPr>
          <w:lang w:eastAsia="en-GB"/>
        </w:rPr>
        <w:t>Christ: From whom the whole body fitly joined together and compacted by that which every joint supplieth, according to the effectual working in the measure of every part, maketh increase of the body unto the edifying of itself in love.</w:t>
      </w:r>
      <w:r w:rsidRPr="000E2B5A">
        <w:t xml:space="preserve"> Eph 4:11-17 (KJV)</w:t>
      </w:r>
    </w:p>
    <w:p w:rsidR="00FA0A0C" w:rsidRPr="000E2B5A" w:rsidRDefault="00FA0A0C" w:rsidP="0014388F">
      <w:pPr>
        <w:rPr>
          <w:sz w:val="22"/>
          <w:lang w:val="en-GB"/>
        </w:rPr>
      </w:pPr>
    </w:p>
    <w:p w:rsidR="00907E84" w:rsidRPr="000E2B5A" w:rsidRDefault="00907E84" w:rsidP="0014388F">
      <w:pPr>
        <w:rPr>
          <w:sz w:val="22"/>
          <w:lang w:val="en-GB"/>
        </w:rPr>
      </w:pPr>
      <w:r w:rsidRPr="000E2B5A">
        <w:rPr>
          <w:sz w:val="22"/>
          <w:lang w:val="en-GB"/>
        </w:rPr>
        <w:t xml:space="preserve">There are several purposes in this text: perfecting, edifying, growing, to name only three. Those who have the oversight in the ecclesia can ask whether the ecclesia is moving positively forward in these ways or whether it is </w:t>
      </w:r>
      <w:r w:rsidR="00CB6CF3" w:rsidRPr="000E2B5A">
        <w:rPr>
          <w:sz w:val="22"/>
          <w:lang w:val="en-GB"/>
        </w:rPr>
        <w:t>stuck</w:t>
      </w:r>
      <w:r w:rsidRPr="000E2B5A">
        <w:rPr>
          <w:sz w:val="22"/>
          <w:lang w:val="en-GB"/>
        </w:rPr>
        <w:t xml:space="preserve">. </w:t>
      </w:r>
      <w:r w:rsidR="007D1413" w:rsidRPr="000E2B5A">
        <w:rPr>
          <w:sz w:val="22"/>
          <w:lang w:val="en-GB"/>
        </w:rPr>
        <w:t xml:space="preserve">If devotional exposition is neglected in the ecclesia, then the purpose of </w:t>
      </w:r>
      <w:r w:rsidR="00CB6CF3" w:rsidRPr="000E2B5A">
        <w:rPr>
          <w:sz w:val="22"/>
          <w:lang w:val="en-GB"/>
        </w:rPr>
        <w:t>“</w:t>
      </w:r>
      <w:r w:rsidR="007D1413" w:rsidRPr="000E2B5A">
        <w:rPr>
          <w:sz w:val="22"/>
          <w:lang w:val="en-GB"/>
        </w:rPr>
        <w:t xml:space="preserve">growth in the </w:t>
      </w:r>
      <w:r w:rsidR="007D1413" w:rsidRPr="000E2B5A">
        <w:rPr>
          <w:b/>
          <w:sz w:val="22"/>
          <w:lang w:val="en-GB"/>
        </w:rPr>
        <w:t>knowledge</w:t>
      </w:r>
      <w:r w:rsidR="007D1413" w:rsidRPr="000E2B5A">
        <w:rPr>
          <w:sz w:val="22"/>
          <w:lang w:val="en-GB"/>
        </w:rPr>
        <w:t xml:space="preserve"> of the Son of God</w:t>
      </w:r>
      <w:r w:rsidR="00CB6CF3" w:rsidRPr="000E2B5A">
        <w:rPr>
          <w:sz w:val="22"/>
          <w:lang w:val="en-GB"/>
        </w:rPr>
        <w:t>”</w:t>
      </w:r>
      <w:r w:rsidR="007D1413" w:rsidRPr="000E2B5A">
        <w:rPr>
          <w:sz w:val="22"/>
          <w:lang w:val="en-GB"/>
        </w:rPr>
        <w:t xml:space="preserve"> will become stultified. </w:t>
      </w:r>
      <w:r w:rsidRPr="000E2B5A">
        <w:rPr>
          <w:sz w:val="22"/>
          <w:lang w:val="en-GB"/>
        </w:rPr>
        <w:t xml:space="preserve"> </w:t>
      </w:r>
      <w:r w:rsidR="007D1413" w:rsidRPr="000E2B5A">
        <w:rPr>
          <w:sz w:val="22"/>
          <w:lang w:val="en-GB"/>
        </w:rPr>
        <w:t xml:space="preserve">In order to move forward </w:t>
      </w:r>
      <w:r w:rsidR="00CB6CF3" w:rsidRPr="000E2B5A">
        <w:rPr>
          <w:sz w:val="22"/>
          <w:lang w:val="en-GB"/>
        </w:rPr>
        <w:t>and grow</w:t>
      </w:r>
      <w:r w:rsidR="007D1413" w:rsidRPr="000E2B5A">
        <w:rPr>
          <w:sz w:val="22"/>
          <w:lang w:val="en-GB"/>
        </w:rPr>
        <w:t xml:space="preserve">, the elders have to think in a joined-up way about the week to week and the year to year. The ecclesia should be growing in its knowledge in an organic way and devotional exposition is </w:t>
      </w:r>
      <w:r w:rsidR="001A52B5" w:rsidRPr="000E2B5A">
        <w:rPr>
          <w:sz w:val="22"/>
          <w:lang w:val="en-GB"/>
        </w:rPr>
        <w:t>the</w:t>
      </w:r>
      <w:r w:rsidR="007D1413" w:rsidRPr="000E2B5A">
        <w:rPr>
          <w:sz w:val="22"/>
          <w:lang w:val="en-GB"/>
        </w:rPr>
        <w:t xml:space="preserve"> major instrument in this endeavour.</w:t>
      </w:r>
    </w:p>
    <w:p w:rsidR="00907E84" w:rsidRPr="000E2B5A" w:rsidRDefault="00907E84" w:rsidP="0014388F">
      <w:pPr>
        <w:rPr>
          <w:sz w:val="22"/>
          <w:lang w:val="en-GB"/>
        </w:rPr>
      </w:pPr>
    </w:p>
    <w:p w:rsidR="00D93325" w:rsidRPr="000E2B5A" w:rsidRDefault="00AB6B5D" w:rsidP="00D93325">
      <w:pPr>
        <w:pStyle w:val="Heading3"/>
        <w:spacing w:before="0"/>
        <w:jc w:val="center"/>
        <w:rPr>
          <w:szCs w:val="28"/>
        </w:rPr>
      </w:pPr>
      <w:r w:rsidRPr="000E2B5A">
        <w:rPr>
          <w:szCs w:val="28"/>
        </w:rPr>
        <w:t>The Seventy Week Prophecy</w:t>
      </w:r>
      <w:r w:rsidR="00D93325" w:rsidRPr="000E2B5A">
        <w:rPr>
          <w:szCs w:val="28"/>
        </w:rPr>
        <w:t xml:space="preserve"> (1)</w:t>
      </w:r>
    </w:p>
    <w:p w:rsidR="00AB6B5D" w:rsidRPr="000E2B5A" w:rsidRDefault="00AB6B5D" w:rsidP="00D93325">
      <w:pPr>
        <w:pStyle w:val="Heading3"/>
        <w:spacing w:before="0"/>
        <w:jc w:val="center"/>
        <w:rPr>
          <w:b w:val="0"/>
          <w:szCs w:val="28"/>
        </w:rPr>
      </w:pPr>
      <w:r w:rsidRPr="000E2B5A">
        <w:rPr>
          <w:szCs w:val="28"/>
        </w:rPr>
        <w:t>T. Gaston</w:t>
      </w:r>
    </w:p>
    <w:p w:rsidR="00AB6B5D" w:rsidRPr="000E2B5A" w:rsidRDefault="00AB6B5D" w:rsidP="00AB6B5D"/>
    <w:p w:rsidR="00AB6B5D" w:rsidRPr="000E2B5A" w:rsidRDefault="00AB6B5D" w:rsidP="00AB6B5D">
      <w:pPr>
        <w:pStyle w:val="Quote"/>
      </w:pPr>
      <w:r w:rsidRPr="000E2B5A">
        <w:t xml:space="preserve">Seventy weeks are determined for your people and for your holy city, to finish the transgression, to make an end of sins to make reconciliation for iniquity, to bring in everlasting righteousness, to seal up vision and prophecy, and to anoint the Most Holy. </w:t>
      </w:r>
    </w:p>
    <w:p w:rsidR="00AB6B5D" w:rsidRPr="000E2B5A" w:rsidRDefault="00AB6B5D" w:rsidP="00AB6B5D">
      <w:pPr>
        <w:pStyle w:val="Quote"/>
      </w:pPr>
    </w:p>
    <w:p w:rsidR="00AB6B5D" w:rsidRPr="000E2B5A" w:rsidRDefault="00AB6B5D" w:rsidP="00AB6B5D">
      <w:pPr>
        <w:pStyle w:val="Quote"/>
      </w:pPr>
      <w:r w:rsidRPr="000E2B5A">
        <w:t xml:space="preserve">Know therefore and understand, that from the going forth of the command to restore and build Jerusalem until the anointed prince, there shall be seven weeks and sixty-two weeks; the street shall be built again, and the wall, even in troublesome times. </w:t>
      </w:r>
    </w:p>
    <w:p w:rsidR="00AB6B5D" w:rsidRPr="000E2B5A" w:rsidRDefault="00AB6B5D" w:rsidP="00AB6B5D">
      <w:pPr>
        <w:pStyle w:val="Quote"/>
      </w:pPr>
    </w:p>
    <w:p w:rsidR="00AB6B5D" w:rsidRPr="000E2B5A" w:rsidRDefault="00AB6B5D" w:rsidP="00AB6B5D">
      <w:pPr>
        <w:pStyle w:val="Quote"/>
      </w:pPr>
      <w:r w:rsidRPr="000E2B5A">
        <w:t>And after the sixty-two weeks the anointed shall be cut off, but not for himself; and the people of the prince who is to come shall destroy the city and the sanctuary.  The end of it shall be with a flood, and till the end of the war desolations are determined. Then he shall confirm a covenant with many for one week’ but in the middle of the week he shall bring an end to sacrifice and offering. And on the wing of abominations shall be one who makes desolate, even until the consummation, which is determined, is poured out on the desolate. Dan 9:24-27 [NKJV adapted]</w:t>
      </w:r>
    </w:p>
    <w:p w:rsidR="00AB6B5D" w:rsidRPr="000E2B5A" w:rsidRDefault="00AB6B5D" w:rsidP="00AB6B5D">
      <w:pPr>
        <w:rPr>
          <w:sz w:val="22"/>
        </w:rPr>
      </w:pPr>
    </w:p>
    <w:p w:rsidR="00AB6B5D" w:rsidRPr="000E2B5A" w:rsidRDefault="00AB6B5D" w:rsidP="00AB6B5D">
      <w:pPr>
        <w:rPr>
          <w:sz w:val="22"/>
        </w:rPr>
      </w:pPr>
      <w:r w:rsidRPr="000E2B5A">
        <w:rPr>
          <w:sz w:val="22"/>
        </w:rPr>
        <w:t xml:space="preserve">The Seventy Week Prophecy is one of a handful of prophecies in Scripture that is delineated according to a set time period. The author of this passage not only has a specific event in mind but an event which can be chronologically dated by previous events; the eventful seventieth week is positioned at the end of two previous time </w:t>
      </w:r>
      <w:r w:rsidRPr="000E2B5A">
        <w:rPr>
          <w:sz w:val="22"/>
        </w:rPr>
        <w:lastRenderedPageBreak/>
        <w:t>periods of seven and sixty-two “weeks” respectively. Given this chronological specificity one might suppose that it is simple to expose the events described by the author in veiled language and that the interpretation of the passage would thus be uncontroversial. However, the interpretation of this passage has been described by one older commentator as “the dismal swamp of OT criticism”,</w:t>
      </w:r>
      <w:r w:rsidRPr="000E2B5A">
        <w:rPr>
          <w:rStyle w:val="FootnoteReference"/>
          <w:sz w:val="22"/>
        </w:rPr>
        <w:footnoteReference w:id="31"/>
      </w:r>
      <w:r w:rsidRPr="000E2B5A">
        <w:rPr>
          <w:sz w:val="22"/>
        </w:rPr>
        <w:t xml:space="preserve"> such are the disagreements regarding its intended meaning. The various interpretations of Daniel 9 can generally be divided into two differing positions, though others have been proposed.</w:t>
      </w:r>
      <w:r w:rsidRPr="000E2B5A">
        <w:rPr>
          <w:rStyle w:val="FootnoteReference"/>
          <w:sz w:val="22"/>
        </w:rPr>
        <w:footnoteReference w:id="32"/>
      </w:r>
    </w:p>
    <w:p w:rsidR="00AB6B5D" w:rsidRPr="000E2B5A" w:rsidRDefault="00AB6B5D" w:rsidP="00AB6B5D">
      <w:pPr>
        <w:rPr>
          <w:sz w:val="22"/>
        </w:rPr>
      </w:pPr>
    </w:p>
    <w:p w:rsidR="00AB6B5D" w:rsidRPr="000E2B5A" w:rsidRDefault="00AB6B5D" w:rsidP="00AB6B5D">
      <w:pPr>
        <w:rPr>
          <w:sz w:val="22"/>
        </w:rPr>
      </w:pPr>
      <w:r w:rsidRPr="000E2B5A">
        <w:rPr>
          <w:sz w:val="22"/>
        </w:rPr>
        <w:t xml:space="preserve">The traditional Christian, or “conservative”, interpretation identifies Jesus of Nazareth as “the anointed prince” and states that he was “cut off” at the Crucifixion. The </w:t>
      </w:r>
      <w:r w:rsidRPr="000E2B5A">
        <w:rPr>
          <w:i/>
          <w:sz w:val="22"/>
        </w:rPr>
        <w:t xml:space="preserve">terminus a quo </w:t>
      </w:r>
      <w:r w:rsidRPr="000E2B5A">
        <w:rPr>
          <w:sz w:val="22"/>
        </w:rPr>
        <w:t xml:space="preserve">(start-date) is taken as one of the decrees made by the Persian kings allowing the Jews to return to the land (Cyrus c.538 [2 Chron 36:23; Ezra 1:14]; Artaxerxes I c.458 [Ezra 7]; Artaxerxes I c.444 [Neh 2:1-8]) and the </w:t>
      </w:r>
      <w:r w:rsidRPr="000E2B5A">
        <w:rPr>
          <w:i/>
          <w:sz w:val="22"/>
        </w:rPr>
        <w:t xml:space="preserve">terminus ad quem </w:t>
      </w:r>
      <w:r w:rsidRPr="000E2B5A">
        <w:rPr>
          <w:iCs/>
          <w:sz w:val="22"/>
        </w:rPr>
        <w:t>(end-date)</w:t>
      </w:r>
      <w:r w:rsidRPr="000E2B5A">
        <w:rPr>
          <w:i/>
          <w:sz w:val="22"/>
        </w:rPr>
        <w:t xml:space="preserve"> </w:t>
      </w:r>
      <w:r w:rsidRPr="000E2B5A">
        <w:rPr>
          <w:sz w:val="22"/>
        </w:rPr>
        <w:t xml:space="preserve">of the seventy-weeks is given variously as the conversion of the Gentile Cornelius (c.33 AD?), the destruction of </w:t>
      </w:r>
      <w:smartTag w:uri="urn:schemas-microsoft-com:office:smarttags" w:element="place">
        <w:smartTag w:uri="urn:schemas-microsoft-com:office:smarttags" w:element="City">
          <w:r w:rsidRPr="000E2B5A">
            <w:rPr>
              <w:sz w:val="22"/>
            </w:rPr>
            <w:t>Jerusalem</w:t>
          </w:r>
        </w:smartTag>
      </w:smartTag>
      <w:r w:rsidRPr="000E2B5A">
        <w:rPr>
          <w:sz w:val="22"/>
        </w:rPr>
        <w:t xml:space="preserve"> (c.70 AD) or some point in the future. </w:t>
      </w:r>
    </w:p>
    <w:p w:rsidR="00AB6B5D" w:rsidRPr="000E2B5A" w:rsidRDefault="00AB6B5D" w:rsidP="00AB6B5D">
      <w:pPr>
        <w:rPr>
          <w:sz w:val="22"/>
        </w:rPr>
      </w:pPr>
    </w:p>
    <w:p w:rsidR="00AB6B5D" w:rsidRPr="000E2B5A" w:rsidRDefault="00AB6B5D" w:rsidP="00AB6B5D">
      <w:pPr>
        <w:rPr>
          <w:sz w:val="22"/>
        </w:rPr>
      </w:pPr>
      <w:r w:rsidRPr="000E2B5A">
        <w:rPr>
          <w:sz w:val="22"/>
        </w:rPr>
        <w:t xml:space="preserve">The “critical” interpretation, probably the prevailing view amongst scholars today, identifies the culmination of the seventy-weeks with the events surrounding the desecration of the Temple by Antiochus Epiphanies. The seventy-weeks are seen as a “reinterpretation” of Jeremiah’s prediction of a seventy-year captivity (cf. Jer 29:10) and thus the fall of Jerusalem (587) is seen as the </w:t>
      </w:r>
      <w:r w:rsidRPr="000E2B5A">
        <w:rPr>
          <w:i/>
          <w:sz w:val="22"/>
        </w:rPr>
        <w:t xml:space="preserve">terminus a quo </w:t>
      </w:r>
      <w:r w:rsidRPr="000E2B5A">
        <w:rPr>
          <w:sz w:val="22"/>
        </w:rPr>
        <w:t>for the seventy-weeks.</w:t>
      </w:r>
      <w:r w:rsidRPr="000E2B5A">
        <w:rPr>
          <w:rStyle w:val="FootnoteReference"/>
          <w:sz w:val="22"/>
        </w:rPr>
        <w:footnoteReference w:id="33"/>
      </w:r>
      <w:r w:rsidRPr="000E2B5A">
        <w:rPr>
          <w:sz w:val="22"/>
        </w:rPr>
        <w:t xml:space="preserve"> The three periods are divided as follows: seven weeks between the fall of </w:t>
      </w:r>
      <w:smartTag w:uri="urn:schemas-microsoft-com:office:smarttags" w:element="City">
        <w:r w:rsidRPr="000E2B5A">
          <w:rPr>
            <w:sz w:val="22"/>
          </w:rPr>
          <w:t>Jerusalem</w:t>
        </w:r>
      </w:smartTag>
      <w:r w:rsidRPr="000E2B5A">
        <w:rPr>
          <w:sz w:val="22"/>
        </w:rPr>
        <w:t xml:space="preserve"> and the fall of </w:t>
      </w:r>
      <w:smartTag w:uri="urn:schemas-microsoft-com:office:smarttags" w:element="City">
        <w:r w:rsidRPr="000E2B5A">
          <w:rPr>
            <w:sz w:val="22"/>
          </w:rPr>
          <w:t>Babylon</w:t>
        </w:r>
      </w:smartTag>
      <w:r w:rsidRPr="000E2B5A">
        <w:rPr>
          <w:sz w:val="22"/>
        </w:rPr>
        <w:t xml:space="preserve"> (587-539), sixty-two weeks between the fall of </w:t>
      </w:r>
      <w:smartTag w:uri="urn:schemas-microsoft-com:office:smarttags" w:element="City">
        <w:r w:rsidRPr="000E2B5A">
          <w:rPr>
            <w:sz w:val="22"/>
          </w:rPr>
          <w:t>Babylon</w:t>
        </w:r>
      </w:smartTag>
      <w:r w:rsidRPr="000E2B5A">
        <w:rPr>
          <w:sz w:val="22"/>
        </w:rPr>
        <w:t xml:space="preserve"> and the murder of Onias III (539-170) and the final weeks culminating with rededication of the </w:t>
      </w:r>
      <w:smartTag w:uri="urn:schemas-microsoft-com:office:smarttags" w:element="place">
        <w:smartTag w:uri="urn:schemas-microsoft-com:office:smarttags" w:element="City">
          <w:r w:rsidRPr="000E2B5A">
            <w:rPr>
              <w:sz w:val="22"/>
            </w:rPr>
            <w:t>Temple</w:t>
          </w:r>
        </w:smartTag>
      </w:smartTag>
      <w:r w:rsidRPr="000E2B5A">
        <w:rPr>
          <w:sz w:val="22"/>
        </w:rPr>
        <w:t xml:space="preserve"> by Judas Maccabaeus (170-164).  </w:t>
      </w:r>
    </w:p>
    <w:p w:rsidR="00AB6B5D" w:rsidRPr="000E2B5A" w:rsidRDefault="00AB6B5D" w:rsidP="00AB6B5D">
      <w:pPr>
        <w:rPr>
          <w:sz w:val="22"/>
        </w:rPr>
      </w:pPr>
    </w:p>
    <w:p w:rsidR="001A52B5" w:rsidRPr="000E2B5A" w:rsidRDefault="00AB6B5D" w:rsidP="00AB6B5D">
      <w:pPr>
        <w:rPr>
          <w:sz w:val="22"/>
        </w:rPr>
      </w:pPr>
      <w:r w:rsidRPr="000E2B5A">
        <w:rPr>
          <w:sz w:val="22"/>
        </w:rPr>
        <w:t>Several objections have been raised against the traditional interpretation:</w:t>
      </w:r>
    </w:p>
    <w:p w:rsidR="00AB6B5D" w:rsidRPr="000E2B5A" w:rsidRDefault="00AB6B5D" w:rsidP="00AB6B5D">
      <w:pPr>
        <w:rPr>
          <w:sz w:val="22"/>
        </w:rPr>
      </w:pPr>
      <w:r w:rsidRPr="000E2B5A">
        <w:rPr>
          <w:sz w:val="22"/>
        </w:rPr>
        <w:lastRenderedPageBreak/>
        <w:t xml:space="preserve"> </w:t>
      </w:r>
    </w:p>
    <w:p w:rsidR="00AB6B5D" w:rsidRPr="000E2B5A" w:rsidRDefault="00AB6B5D" w:rsidP="00AB6B5D">
      <w:pPr>
        <w:numPr>
          <w:ilvl w:val="0"/>
          <w:numId w:val="32"/>
        </w:numPr>
        <w:rPr>
          <w:sz w:val="22"/>
        </w:rPr>
      </w:pPr>
      <w:r w:rsidRPr="000E2B5A">
        <w:rPr>
          <w:sz w:val="22"/>
        </w:rPr>
        <w:t xml:space="preserve">v. 25 implies that the “anointed one” appears after just seven weeks, not seven </w:t>
      </w:r>
      <w:r w:rsidRPr="000E2B5A">
        <w:rPr>
          <w:b/>
          <w:bCs/>
          <w:sz w:val="22"/>
        </w:rPr>
        <w:t>and</w:t>
      </w:r>
      <w:r w:rsidRPr="000E2B5A">
        <w:rPr>
          <w:sz w:val="22"/>
        </w:rPr>
        <w:t xml:space="preserve"> sixty-two; </w:t>
      </w:r>
    </w:p>
    <w:p w:rsidR="00AB6B5D" w:rsidRPr="000E2B5A" w:rsidRDefault="00AB6B5D" w:rsidP="00AB6B5D">
      <w:pPr>
        <w:numPr>
          <w:ilvl w:val="0"/>
          <w:numId w:val="32"/>
        </w:numPr>
        <w:rPr>
          <w:sz w:val="22"/>
        </w:rPr>
      </w:pPr>
      <w:r w:rsidRPr="000E2B5A">
        <w:rPr>
          <w:sz w:val="22"/>
        </w:rPr>
        <w:t xml:space="preserve">the proposed gap between the cutting off of the anointed and the destruction of the city is not indicated in the text; </w:t>
      </w:r>
    </w:p>
    <w:p w:rsidR="00AB6B5D" w:rsidRPr="000E2B5A" w:rsidRDefault="00AB6B5D" w:rsidP="00AB6B5D">
      <w:pPr>
        <w:numPr>
          <w:ilvl w:val="0"/>
          <w:numId w:val="32"/>
        </w:numPr>
        <w:rPr>
          <w:sz w:val="22"/>
        </w:rPr>
      </w:pPr>
      <w:r w:rsidRPr="000E2B5A">
        <w:rPr>
          <w:sz w:val="22"/>
        </w:rPr>
        <w:t>there has been disagreement about how to show Jesus began his ministry exactly 483 years (sixty-nine “weeks”) after the decree to rebuild Jerusalem</w:t>
      </w:r>
      <w:r w:rsidRPr="000E2B5A">
        <w:rPr>
          <w:rStyle w:val="FootnoteReference"/>
          <w:sz w:val="22"/>
        </w:rPr>
        <w:footnoteReference w:id="34"/>
      </w:r>
      <w:r w:rsidRPr="000E2B5A">
        <w:rPr>
          <w:sz w:val="22"/>
        </w:rPr>
        <w:t xml:space="preserve"> </w:t>
      </w:r>
    </w:p>
    <w:p w:rsidR="00AB6B5D" w:rsidRPr="000E2B5A" w:rsidRDefault="00AB6B5D" w:rsidP="00AB6B5D">
      <w:pPr>
        <w:rPr>
          <w:sz w:val="22"/>
        </w:rPr>
      </w:pPr>
    </w:p>
    <w:p w:rsidR="00AB6B5D" w:rsidRPr="000E2B5A" w:rsidRDefault="00AB6B5D" w:rsidP="00AB6B5D">
      <w:pPr>
        <w:rPr>
          <w:sz w:val="22"/>
        </w:rPr>
      </w:pPr>
      <w:r w:rsidRPr="000E2B5A">
        <w:rPr>
          <w:sz w:val="22"/>
        </w:rPr>
        <w:t xml:space="preserve">However it is not these objections that generally prompt the critical interpretation. Rather the presupposition that the book of Daniel was written in the second century informs the interpretation, requiring the applicability of the passage to the crisis caused by the actions of Antiochus Epiphanies. Yet throughout this essay we will note that there are some considerable objections to this thesis. </w:t>
      </w:r>
    </w:p>
    <w:p w:rsidR="00AB6B5D" w:rsidRPr="000E2B5A" w:rsidRDefault="00AB6B5D" w:rsidP="00AB6B5D">
      <w:pPr>
        <w:rPr>
          <w:sz w:val="22"/>
        </w:rPr>
      </w:pPr>
    </w:p>
    <w:p w:rsidR="00AB6B5D" w:rsidRPr="000E2B5A" w:rsidRDefault="00AB6B5D" w:rsidP="00AB6B5D">
      <w:pPr>
        <w:rPr>
          <w:rFonts w:ascii="Bradley Hand ITC" w:hAnsi="Bradley Hand ITC"/>
          <w:b/>
          <w:sz w:val="28"/>
        </w:rPr>
      </w:pPr>
      <w:r w:rsidRPr="000E2B5A">
        <w:rPr>
          <w:rFonts w:ascii="Bradley Hand ITC" w:hAnsi="Bradley Hand ITC"/>
          <w:b/>
          <w:sz w:val="28"/>
        </w:rPr>
        <w:t>The Seventy Years</w:t>
      </w:r>
    </w:p>
    <w:p w:rsidR="00AB6B5D" w:rsidRPr="000E2B5A" w:rsidRDefault="00AB6B5D" w:rsidP="00AB6B5D">
      <w:pPr>
        <w:rPr>
          <w:rFonts w:ascii="Bradley Hand ITC" w:hAnsi="Bradley Hand ITC"/>
          <w:b/>
          <w:sz w:val="22"/>
          <w:szCs w:val="22"/>
        </w:rPr>
      </w:pPr>
    </w:p>
    <w:p w:rsidR="00AB6B5D" w:rsidRPr="000E2B5A" w:rsidRDefault="00AB6B5D" w:rsidP="00AB6B5D">
      <w:pPr>
        <w:pStyle w:val="Quote"/>
        <w:rPr>
          <w:szCs w:val="22"/>
        </w:rPr>
      </w:pPr>
      <w:r w:rsidRPr="000E2B5A">
        <w:rPr>
          <w:szCs w:val="22"/>
        </w:rPr>
        <w:t>In the first year of his reign I, Daniel, understood by the books the number of years specified by the word of the Lord through Jeremiah the prophet, that He would accomplish seventy years in the desolations of Jerusalem. Dan 9:2 [NKJV]</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 xml:space="preserve">In the book of Jeremiah it is recorded that Jeremiah sent a letter from Jerusalem to “the remainder of the elders who were carried away captive”. Daniel, as a captive in Babylon, would have been one of the recipients of this letter and it is to be presumed that it is this letter that is referred to in Dan 9:2. </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lastRenderedPageBreak/>
        <w:t>The letter of Jeremiah gives the divine instruction to the people to settle as their captivity is not going to be short. Jeremiah continues:</w:t>
      </w:r>
    </w:p>
    <w:p w:rsidR="00AB6B5D" w:rsidRPr="000E2B5A" w:rsidRDefault="00AB6B5D" w:rsidP="00AB6B5D">
      <w:pPr>
        <w:rPr>
          <w:sz w:val="22"/>
          <w:szCs w:val="22"/>
        </w:rPr>
      </w:pPr>
    </w:p>
    <w:p w:rsidR="00AB6B5D" w:rsidRPr="000E2B5A" w:rsidRDefault="00AB6B5D" w:rsidP="00AB6B5D">
      <w:pPr>
        <w:pStyle w:val="Quote"/>
        <w:rPr>
          <w:szCs w:val="22"/>
        </w:rPr>
      </w:pPr>
      <w:r w:rsidRPr="000E2B5A">
        <w:rPr>
          <w:szCs w:val="22"/>
        </w:rPr>
        <w:t>For thus says the Lord: After seventy years are completed at Babylon, I will visit you and perform My good word toward you, and cause you to return to this place. Jer 29:10 [KJV]</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This verse is paralleled in Jeremiah in a passage dated to “the fourth year of Jehoiakim” (605):</w:t>
      </w:r>
    </w:p>
    <w:p w:rsidR="00AB6B5D" w:rsidRPr="000E2B5A" w:rsidRDefault="00AB6B5D" w:rsidP="00AB6B5D">
      <w:pPr>
        <w:rPr>
          <w:sz w:val="22"/>
          <w:szCs w:val="22"/>
        </w:rPr>
      </w:pPr>
    </w:p>
    <w:p w:rsidR="00AB6B5D" w:rsidRPr="000E2B5A" w:rsidRDefault="00AB6B5D" w:rsidP="00AB6B5D">
      <w:pPr>
        <w:pStyle w:val="Quote"/>
        <w:rPr>
          <w:szCs w:val="22"/>
        </w:rPr>
      </w:pPr>
      <w:r w:rsidRPr="000E2B5A">
        <w:rPr>
          <w:szCs w:val="22"/>
        </w:rPr>
        <w:t>‘And this whole land shall be a desolation and an astonishment, and these nations shall serve the king of Babylon seventy years. Then it will come to pass, when seventy years are completed, that I will punish the king of Babylon and that nation, the land of the Chaldeans, for their iniquity’, says the Lord, ‘and I will make it a perpetual desolation’ (Jer 25:11-12)</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 xml:space="preserve">The period seventy-years is used elsewhere in OT for the period of the desolation of Jerusalem and/or the captivity (2 Chron 36:21; Zech 7:5; 1 Esdras 1:58; cf. Isa 23:15-17). Yet from the destruction of Jerusalem and deposition of the last king of Judah (587) to the fall of Babylon (539) is only a period of 48/9 years. </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The explanation of the seventy-years has been the subject of some debate amongst scholars. Many have proposed that seventy is a round number, though it does not seem a suitable approximation if a period of only 48 years is intended. C. F. Whitley attempted to explain the calculation of seventy-years by appealing to the Jews focus on the Temple, since there were seventy years between the destruction of the Temple (587) and the completion of the Second Temple (516). He proposes that the period of seventy-years are inserted into the Jeremiah texts by a later writer, who equated the period of the Temple’s desolation with the period of the captivity.</w:t>
      </w:r>
      <w:r w:rsidRPr="000E2B5A">
        <w:rPr>
          <w:rStyle w:val="FootnoteReference"/>
          <w:sz w:val="22"/>
          <w:szCs w:val="22"/>
        </w:rPr>
        <w:footnoteReference w:id="35"/>
      </w:r>
      <w:r w:rsidRPr="000E2B5A">
        <w:rPr>
          <w:sz w:val="22"/>
          <w:szCs w:val="22"/>
        </w:rPr>
        <w:t xml:space="preserve"> It is not clear why seventy years should then also be applied to the desolation of Tyre in the book of Isaiah (Isa 23:15-17).</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Several scholars point to the links with a temple-building inscription dated to the second year of Esarhaddon (681-669). The relevant passage reads:</w:t>
      </w:r>
    </w:p>
    <w:p w:rsidR="00AB6B5D" w:rsidRPr="000E2B5A" w:rsidRDefault="00AB6B5D" w:rsidP="00AB6B5D">
      <w:pPr>
        <w:rPr>
          <w:sz w:val="22"/>
          <w:szCs w:val="22"/>
        </w:rPr>
      </w:pPr>
    </w:p>
    <w:p w:rsidR="00AB6B5D" w:rsidRPr="000E2B5A" w:rsidRDefault="00AB6B5D" w:rsidP="00AB6B5D">
      <w:pPr>
        <w:ind w:left="720"/>
        <w:rPr>
          <w:sz w:val="22"/>
          <w:szCs w:val="22"/>
        </w:rPr>
      </w:pPr>
      <w:r w:rsidRPr="000E2B5A">
        <w:rPr>
          <w:sz w:val="22"/>
          <w:szCs w:val="22"/>
        </w:rPr>
        <w:t>Seventy years as the duration of its [Babylon’s] desolation</w:t>
      </w:r>
    </w:p>
    <w:p w:rsidR="00AB6B5D" w:rsidRPr="000E2B5A" w:rsidRDefault="00AB6B5D" w:rsidP="00AB6B5D">
      <w:pPr>
        <w:ind w:left="720"/>
        <w:rPr>
          <w:sz w:val="22"/>
          <w:szCs w:val="22"/>
        </w:rPr>
      </w:pPr>
      <w:r w:rsidRPr="000E2B5A">
        <w:rPr>
          <w:sz w:val="22"/>
          <w:szCs w:val="22"/>
        </w:rPr>
        <w:t>he had written [on the tablets of destiny].</w:t>
      </w:r>
    </w:p>
    <w:p w:rsidR="00AB6B5D" w:rsidRPr="000E2B5A" w:rsidRDefault="00AB6B5D" w:rsidP="00AB6B5D">
      <w:pPr>
        <w:ind w:left="720"/>
        <w:rPr>
          <w:sz w:val="22"/>
          <w:szCs w:val="22"/>
        </w:rPr>
      </w:pPr>
      <w:r w:rsidRPr="000E2B5A">
        <w:rPr>
          <w:sz w:val="22"/>
          <w:szCs w:val="22"/>
        </w:rPr>
        <w:t>But being merciful, Marduk soon</w:t>
      </w:r>
    </w:p>
    <w:p w:rsidR="00AB6B5D" w:rsidRPr="000E2B5A" w:rsidRDefault="00AB6B5D" w:rsidP="00AB6B5D">
      <w:pPr>
        <w:ind w:left="720"/>
        <w:rPr>
          <w:sz w:val="22"/>
          <w:szCs w:val="22"/>
        </w:rPr>
      </w:pPr>
      <w:r w:rsidRPr="000E2B5A">
        <w:rPr>
          <w:sz w:val="22"/>
          <w:szCs w:val="22"/>
        </w:rPr>
        <w:t xml:space="preserve">calmed his heart, he reserved </w:t>
      </w:r>
    </w:p>
    <w:p w:rsidR="00AB6B5D" w:rsidRPr="000E2B5A" w:rsidRDefault="00AB6B5D" w:rsidP="00AB6B5D">
      <w:pPr>
        <w:ind w:left="720"/>
        <w:rPr>
          <w:sz w:val="22"/>
          <w:szCs w:val="22"/>
        </w:rPr>
      </w:pPr>
      <w:r w:rsidRPr="000E2B5A">
        <w:rPr>
          <w:sz w:val="22"/>
          <w:szCs w:val="22"/>
        </w:rPr>
        <w:t>[the numbers he had written]</w:t>
      </w:r>
    </w:p>
    <w:p w:rsidR="00AB6B5D" w:rsidRPr="000E2B5A" w:rsidRDefault="00AB6B5D" w:rsidP="00AB6B5D">
      <w:pPr>
        <w:ind w:left="720"/>
        <w:rPr>
          <w:sz w:val="22"/>
          <w:szCs w:val="22"/>
        </w:rPr>
      </w:pPr>
      <w:r w:rsidRPr="000E2B5A">
        <w:rPr>
          <w:sz w:val="22"/>
          <w:szCs w:val="22"/>
        </w:rPr>
        <w:lastRenderedPageBreak/>
        <w:t>and ordered it [Babylon] restored in eleven years</w:t>
      </w:r>
      <w:r w:rsidRPr="000E2B5A">
        <w:rPr>
          <w:rStyle w:val="FootnoteReference"/>
          <w:sz w:val="22"/>
          <w:szCs w:val="22"/>
        </w:rPr>
        <w:footnoteReference w:id="36"/>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This is not an exact parallel of the prophecy in Jeremiah. This inscription was made to legitimize Esarhaddon’s rebuilding of Babylon only eleven years after Sennacherib’s campaign against it; Esarhaddon claims to be acting according to divine instruction. In cuneiform if the symbol for “seventy” is inverted then it is the symbol for “eleven”, so there is some element of literary convenience in the use of the word “seventy”.</w:t>
      </w:r>
      <w:r w:rsidRPr="000E2B5A">
        <w:rPr>
          <w:rStyle w:val="FootnoteReference"/>
          <w:sz w:val="22"/>
          <w:szCs w:val="22"/>
        </w:rPr>
        <w:footnoteReference w:id="37"/>
      </w:r>
      <w:r w:rsidRPr="000E2B5A">
        <w:rPr>
          <w:sz w:val="22"/>
          <w:szCs w:val="22"/>
        </w:rPr>
        <w:t xml:space="preserve"> For the Jews in Babylon there is resonance with a familiar inscription may have added to the weight Jeremiah’s words, but it is improbable that this inscription was the source of Jeremiah’s prediction, not least because there is no evidence Jeremiah ever visited Babylon. </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 xml:space="preserve">R. J. M. Gurney proposes a different explanation for the seventy years, asserting that this was the length of the Neo-Babylonian ascendancy over the nations of Syro-Palestine, including Judah, </w:t>
      </w:r>
    </w:p>
    <w:p w:rsidR="00AB6B5D" w:rsidRPr="000E2B5A" w:rsidRDefault="00AB6B5D" w:rsidP="00AB6B5D">
      <w:pPr>
        <w:rPr>
          <w:sz w:val="22"/>
          <w:szCs w:val="22"/>
        </w:rPr>
      </w:pPr>
    </w:p>
    <w:p w:rsidR="00AB6B5D" w:rsidRPr="000E2B5A" w:rsidRDefault="00AB6B5D" w:rsidP="00AB6B5D">
      <w:pPr>
        <w:pStyle w:val="Quote"/>
        <w:rPr>
          <w:szCs w:val="22"/>
        </w:rPr>
      </w:pPr>
      <w:r w:rsidRPr="000E2B5A">
        <w:rPr>
          <w:szCs w:val="22"/>
        </w:rPr>
        <w:t>Now although Judah came under the Babylonian heel in 605 BC … Babylon’s ruling of nations actually dated from the overthrow of Assyria a few years earlier. After the fall of Nineveh in 612 BC (to the allied Medes and Babylonians), Ashur-uballit established his government at Harran. This city fell to the Babylonians in 610 BC, and Assyria was finally obliterated when Ashur-uballit failed to recapture it in 609 BC. Seventy years after she had finally conquered and destroyed Assyria, Babylon herself was conquered by Cyrus in 539 BC.</w:t>
      </w:r>
      <w:r w:rsidRPr="000E2B5A">
        <w:rPr>
          <w:rStyle w:val="FootnoteReference"/>
          <w:szCs w:val="22"/>
        </w:rPr>
        <w:footnoteReference w:id="38"/>
      </w:r>
    </w:p>
    <w:p w:rsidR="001A52B5" w:rsidRPr="000E2B5A" w:rsidRDefault="001A52B5" w:rsidP="001A52B5">
      <w:pPr>
        <w:rPr>
          <w:sz w:val="22"/>
          <w:szCs w:val="22"/>
          <w:lang w:val="en-GB" w:bidi="he-IL"/>
        </w:rPr>
      </w:pPr>
    </w:p>
    <w:p w:rsidR="00AB6B5D" w:rsidRPr="000E2B5A" w:rsidRDefault="00AB6B5D" w:rsidP="00AB6B5D">
      <w:pPr>
        <w:rPr>
          <w:sz w:val="22"/>
          <w:szCs w:val="22"/>
        </w:rPr>
      </w:pPr>
      <w:r w:rsidRPr="000E2B5A">
        <w:rPr>
          <w:sz w:val="22"/>
          <w:szCs w:val="22"/>
        </w:rPr>
        <w:t xml:space="preserve">This explanation seems the most plausible because it explains why seventy years are also applied to Tyre. Isaiah states that Tyre will be laid waste by “the Chaldeans” and will be forgotten “seventy years” (Isa 23:13-18); this would seem out of place if seventy years were (only) the period of </w:t>
      </w:r>
      <w:r w:rsidRPr="000E2B5A">
        <w:rPr>
          <w:b/>
          <w:bCs/>
          <w:sz w:val="22"/>
          <w:szCs w:val="22"/>
        </w:rPr>
        <w:t>Judah’s</w:t>
      </w:r>
      <w:r w:rsidRPr="000E2B5A">
        <w:rPr>
          <w:sz w:val="22"/>
          <w:szCs w:val="22"/>
        </w:rPr>
        <w:t xml:space="preserve"> captivity but is suitable if it is the period of the Neo-Babylonian dominion over the entire region. This situation is also indicated in the prophecies of Jeremiah, who states “these </w:t>
      </w:r>
      <w:r w:rsidRPr="000E2B5A">
        <w:rPr>
          <w:b/>
          <w:bCs/>
          <w:sz w:val="22"/>
          <w:szCs w:val="22"/>
        </w:rPr>
        <w:t>nations</w:t>
      </w:r>
      <w:r w:rsidRPr="000E2B5A">
        <w:rPr>
          <w:sz w:val="22"/>
          <w:szCs w:val="22"/>
        </w:rPr>
        <w:t xml:space="preserve"> shall serve the king of Babylon seventy years” (Jer 25:11) and “after seventy years are completed </w:t>
      </w:r>
      <w:r w:rsidRPr="000E2B5A">
        <w:rPr>
          <w:b/>
          <w:bCs/>
          <w:sz w:val="22"/>
          <w:szCs w:val="22"/>
        </w:rPr>
        <w:t>for Babylon</w:t>
      </w:r>
      <w:r w:rsidRPr="000E2B5A">
        <w:rPr>
          <w:sz w:val="22"/>
          <w:szCs w:val="22"/>
        </w:rPr>
        <w:t>” (Jer 29:10 [ESV]).</w:t>
      </w:r>
    </w:p>
    <w:p w:rsidR="00AB6B5D" w:rsidRPr="000E2B5A" w:rsidRDefault="00AB6B5D" w:rsidP="00AB6B5D">
      <w:pPr>
        <w:rPr>
          <w:sz w:val="22"/>
          <w:szCs w:val="22"/>
        </w:rPr>
      </w:pPr>
    </w:p>
    <w:p w:rsidR="00AB6B5D" w:rsidRPr="000E2B5A" w:rsidRDefault="00AB6B5D" w:rsidP="00AB6B5D">
      <w:pPr>
        <w:rPr>
          <w:rFonts w:ascii="Bradley Hand ITC" w:hAnsi="Bradley Hand ITC"/>
          <w:b/>
          <w:sz w:val="28"/>
        </w:rPr>
      </w:pPr>
      <w:r w:rsidRPr="000E2B5A">
        <w:rPr>
          <w:rFonts w:ascii="Bradley Hand ITC" w:hAnsi="Bradley Hand ITC"/>
          <w:b/>
          <w:sz w:val="28"/>
        </w:rPr>
        <w:lastRenderedPageBreak/>
        <w:t>Daniel and the Seventy Years</w:t>
      </w:r>
    </w:p>
    <w:p w:rsidR="00AB6B5D" w:rsidRPr="000E2B5A" w:rsidRDefault="00AB6B5D" w:rsidP="00AB6B5D">
      <w:pPr>
        <w:rPr>
          <w:sz w:val="22"/>
          <w:szCs w:val="22"/>
        </w:rPr>
      </w:pPr>
      <w:r w:rsidRPr="000E2B5A">
        <w:rPr>
          <w:sz w:val="22"/>
          <w:szCs w:val="22"/>
        </w:rPr>
        <w:t xml:space="preserve">The conclusion that OT references to seventy years do have a historical referent considerably weakens the “critical” view that the author of Daniel sought to re-interpret the prophecy of Jeremiah. In fact, because the captivity of Daniel himself is dated to 605 (Dan 1:1), the context of Daniel 9 (c.539/8) the seventy years have a very personal significance to Daniel himself. Daniel would have read the words of Jeremiah and calculated, from his own experiences, that the seventy years were nearly complete. </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The prayer of Daniel, and its resonances with the letter of Jeremiah, indicates that he was looking to the fulfillment of the seventy years. In his letter to the captives, Jeremiah writes:</w:t>
      </w:r>
    </w:p>
    <w:p w:rsidR="00AB6B5D" w:rsidRPr="000E2B5A" w:rsidRDefault="00AB6B5D" w:rsidP="00AB6B5D">
      <w:pPr>
        <w:rPr>
          <w:sz w:val="22"/>
          <w:szCs w:val="22"/>
        </w:rPr>
      </w:pPr>
    </w:p>
    <w:p w:rsidR="00AB6B5D" w:rsidRPr="000E2B5A" w:rsidRDefault="00AB6B5D" w:rsidP="00AB6B5D">
      <w:pPr>
        <w:pStyle w:val="Quote"/>
        <w:rPr>
          <w:szCs w:val="22"/>
        </w:rPr>
      </w:pPr>
      <w:r w:rsidRPr="000E2B5A">
        <w:rPr>
          <w:szCs w:val="22"/>
        </w:rPr>
        <w:t>After seventy years are completed at Babylon, I will visit you and perform My good word toward you … Then you will call upon Me and go and pray to Me, and I will listen to you. And you will seek Me and find Me when you search for Me with all your heart. I will be found by you, says the Lord, and I will bring you back from your captivity (Jer 29:10-14)</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 xml:space="preserve">Daniel’s prayer is intended as a fulfillment of these words. He prays, confessing the sins of the people and asks for mercy for the people. He prays for “the men of Judah … those near and those far off in all countries to which you have driven them” (Dan 9:7), mirroring the words of Jeremiah “I will gather you form all the nations and from all the places where I have driven you” (Jer 29:14). </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 xml:space="preserve">The picture given in Daniel 9 is of a Jewish exile looking for the restoration of Jerusalem and the return of the Jews to their land. The fall of Babylon to the Medo-Persian army would have brought him hope that the captivity of his brethren might be at an end. The chapter describes how on reading the words of Jeremiah he discovers that the dominion of Babylon was meant to last seventy years. By his own calculations this Jewish exile would have concluded that he had spent nearly seventy years in captivity. He thus takes it upon himself to pray, as prophesied by Jeremiah, and petition God for the end of the captivity. This prayer is dated to within a year of Cyrus’ edict allowing the Jews to return to Jerusalem. This then is a picture of a Jew who looked for the imminent fulfillment of Jeremiah’s words; he would not have been disappointed. </w:t>
      </w:r>
    </w:p>
    <w:p w:rsidR="00AB6B5D" w:rsidRPr="000E2B5A" w:rsidRDefault="00AB6B5D" w:rsidP="00AB6B5D">
      <w:pPr>
        <w:rPr>
          <w:sz w:val="22"/>
          <w:szCs w:val="22"/>
        </w:rPr>
      </w:pPr>
    </w:p>
    <w:p w:rsidR="002D4ED3" w:rsidRPr="000E2B5A" w:rsidRDefault="002D4ED3" w:rsidP="00AB6B5D">
      <w:pPr>
        <w:rPr>
          <w:rFonts w:ascii="Bradley Hand ITC" w:hAnsi="Bradley Hand ITC"/>
          <w:b/>
          <w:sz w:val="28"/>
        </w:rPr>
      </w:pPr>
    </w:p>
    <w:p w:rsidR="002D4ED3" w:rsidRPr="000E2B5A" w:rsidRDefault="002D4ED3" w:rsidP="00AB6B5D">
      <w:pPr>
        <w:rPr>
          <w:rFonts w:ascii="Bradley Hand ITC" w:hAnsi="Bradley Hand ITC"/>
          <w:b/>
          <w:sz w:val="28"/>
        </w:rPr>
      </w:pPr>
    </w:p>
    <w:p w:rsidR="002D4ED3" w:rsidRPr="000E2B5A" w:rsidRDefault="002D4ED3" w:rsidP="00AB6B5D">
      <w:pPr>
        <w:rPr>
          <w:rFonts w:ascii="Bradley Hand ITC" w:hAnsi="Bradley Hand ITC"/>
          <w:b/>
          <w:sz w:val="28"/>
        </w:rPr>
      </w:pPr>
    </w:p>
    <w:p w:rsidR="00AB6B5D" w:rsidRPr="000E2B5A" w:rsidRDefault="00AB6B5D" w:rsidP="00AB6B5D">
      <w:pPr>
        <w:rPr>
          <w:rFonts w:ascii="Bradley Hand ITC" w:hAnsi="Bradley Hand ITC"/>
          <w:b/>
          <w:sz w:val="28"/>
        </w:rPr>
      </w:pPr>
      <w:r w:rsidRPr="000E2B5A">
        <w:rPr>
          <w:rFonts w:ascii="Bradley Hand ITC" w:hAnsi="Bradley Hand ITC"/>
          <w:b/>
          <w:sz w:val="28"/>
        </w:rPr>
        <w:lastRenderedPageBreak/>
        <w:t>The First Seven Weeks</w:t>
      </w:r>
    </w:p>
    <w:p w:rsidR="002D4ED3" w:rsidRPr="000E2B5A" w:rsidRDefault="002D4ED3" w:rsidP="00AB6B5D">
      <w:pPr>
        <w:pStyle w:val="Quote"/>
        <w:rPr>
          <w:szCs w:val="22"/>
        </w:rPr>
      </w:pPr>
    </w:p>
    <w:p w:rsidR="00AB6B5D" w:rsidRPr="000E2B5A" w:rsidRDefault="00AB6B5D" w:rsidP="00AB6B5D">
      <w:pPr>
        <w:pStyle w:val="Quote"/>
        <w:rPr>
          <w:szCs w:val="22"/>
        </w:rPr>
      </w:pPr>
      <w:r w:rsidRPr="000E2B5A">
        <w:rPr>
          <w:szCs w:val="22"/>
        </w:rPr>
        <w:t>Know therefore and understand that from the going out of the word to restore and build Jerusalem to the coming of an anointed one, a prince, there shall be seven weeks. Dan 9:25a [ESV]</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 xml:space="preserve">It is universally assumed that “weeks” are weeks-of-years. This is nowhere stated explicitly but must be accepted since only in this way to arrive at meaningful time periods. This enigmatic approach to issuing predictions is in keeping with the established prophetic tradition.  The “seven weeks” is therefore a period of forty-nine years. </w:t>
      </w:r>
    </w:p>
    <w:p w:rsidR="00AB6B5D" w:rsidRPr="000E2B5A" w:rsidRDefault="00AB6B5D" w:rsidP="00AB6B5D">
      <w:pPr>
        <w:rPr>
          <w:sz w:val="22"/>
          <w:szCs w:val="22"/>
        </w:rPr>
      </w:pPr>
    </w:p>
    <w:p w:rsidR="00AB6B5D" w:rsidRPr="000E2B5A" w:rsidRDefault="00AB6B5D" w:rsidP="00AB6B5D">
      <w:pPr>
        <w:rPr>
          <w:sz w:val="22"/>
          <w:szCs w:val="22"/>
        </w:rPr>
      </w:pPr>
      <w:r w:rsidRPr="000E2B5A">
        <w:rPr>
          <w:sz w:val="22"/>
          <w:szCs w:val="22"/>
        </w:rPr>
        <w:t xml:space="preserve">The </w:t>
      </w:r>
      <w:r w:rsidRPr="000E2B5A">
        <w:rPr>
          <w:i/>
          <w:sz w:val="22"/>
          <w:szCs w:val="22"/>
        </w:rPr>
        <w:t xml:space="preserve">terminus a quo </w:t>
      </w:r>
      <w:r w:rsidRPr="000E2B5A">
        <w:rPr>
          <w:sz w:val="22"/>
          <w:szCs w:val="22"/>
        </w:rPr>
        <w:t xml:space="preserve">for the “seven weeks” is often taken to be 587, the fall of Jerusalem, based upon two propositions. Firstly, it is asserted that because this prophecy is a reinterpretation of Jeremiah’s, the </w:t>
      </w:r>
      <w:r w:rsidRPr="000E2B5A">
        <w:rPr>
          <w:i/>
          <w:sz w:val="22"/>
          <w:szCs w:val="22"/>
        </w:rPr>
        <w:t xml:space="preserve">terminus a quo </w:t>
      </w:r>
      <w:r w:rsidRPr="000E2B5A">
        <w:rPr>
          <w:sz w:val="22"/>
          <w:szCs w:val="22"/>
        </w:rPr>
        <w:t xml:space="preserve">of this prophecy must be the same as that supposed for Jeremiah’s (i.e. the fall of Jerusalem). Secondly, the period between 587-539 is so nearly forty-nine years it is assumed that this must be the referent. The latter proposition seems persuasive, but is entirely undermined by the testimony of both Jeremiah and Daniel. As we have seen, the </w:t>
      </w:r>
      <w:r w:rsidRPr="000E2B5A">
        <w:rPr>
          <w:i/>
          <w:sz w:val="22"/>
          <w:szCs w:val="22"/>
        </w:rPr>
        <w:t xml:space="preserve">terminus a quo </w:t>
      </w:r>
      <w:r w:rsidRPr="000E2B5A">
        <w:rPr>
          <w:sz w:val="22"/>
          <w:szCs w:val="22"/>
        </w:rPr>
        <w:t xml:space="preserve">for Jeremiah’s prophecy was not 587, but the beginning of the Neo-Babylonian ascendency in the region. Daniel 9:25 states explicitly the </w:t>
      </w:r>
      <w:r w:rsidRPr="000E2B5A">
        <w:rPr>
          <w:i/>
          <w:sz w:val="22"/>
          <w:szCs w:val="22"/>
        </w:rPr>
        <w:t xml:space="preserve">terminus a quo </w:t>
      </w:r>
      <w:r w:rsidRPr="000E2B5A">
        <w:rPr>
          <w:sz w:val="22"/>
          <w:szCs w:val="22"/>
        </w:rPr>
        <w:t xml:space="preserve">of the seven weeks as “the going out of the word to restore and build Jerusalem …” </w:t>
      </w:r>
    </w:p>
    <w:p w:rsidR="00AB6B5D" w:rsidRPr="000E2B5A" w:rsidRDefault="00AB6B5D" w:rsidP="00AB6B5D">
      <w:pPr>
        <w:rPr>
          <w:sz w:val="22"/>
          <w:szCs w:val="22"/>
        </w:rPr>
      </w:pPr>
    </w:p>
    <w:p w:rsidR="00AB6B5D" w:rsidRPr="000E2B5A" w:rsidRDefault="00AB6B5D" w:rsidP="00AB6B5D">
      <w:pPr>
        <w:rPr>
          <w:rFonts w:ascii="Bradley Hand ITC" w:hAnsi="Bradley Hand ITC"/>
          <w:b/>
          <w:sz w:val="28"/>
        </w:rPr>
      </w:pPr>
      <w:r w:rsidRPr="000E2B5A">
        <w:rPr>
          <w:rFonts w:ascii="Bradley Hand ITC" w:hAnsi="Bradley Hand ITC"/>
          <w:b/>
          <w:sz w:val="28"/>
        </w:rPr>
        <w:t>The Sixty-Two Weeks</w:t>
      </w:r>
    </w:p>
    <w:p w:rsidR="00AB6B5D" w:rsidRPr="000E2B5A" w:rsidRDefault="00AB6B5D" w:rsidP="00AB6B5D">
      <w:pPr>
        <w:rPr>
          <w:sz w:val="22"/>
        </w:rPr>
      </w:pPr>
      <w:r w:rsidRPr="000E2B5A">
        <w:rPr>
          <w:sz w:val="22"/>
        </w:rPr>
        <w:t xml:space="preserve">The calculation of the sixty-two weeks may be the weakest element of the “critical” interpretation and perhaps betrays the </w:t>
      </w:r>
      <w:r w:rsidRPr="000E2B5A">
        <w:rPr>
          <w:i/>
          <w:sz w:val="22"/>
        </w:rPr>
        <w:t xml:space="preserve">a priori </w:t>
      </w:r>
      <w:r w:rsidRPr="000E2B5A">
        <w:rPr>
          <w:sz w:val="22"/>
        </w:rPr>
        <w:t xml:space="preserve">emphasis on the Maccabean period. The </w:t>
      </w:r>
      <w:r w:rsidRPr="000E2B5A">
        <w:rPr>
          <w:i/>
          <w:sz w:val="22"/>
        </w:rPr>
        <w:t xml:space="preserve">terminus ad quem </w:t>
      </w:r>
      <w:r w:rsidRPr="000E2B5A">
        <w:rPr>
          <w:sz w:val="22"/>
        </w:rPr>
        <w:t xml:space="preserve">is predetermined as 170 by the supposition that Onias III, the high priest, is the “anointed prince” who is “cut off” (see below). The </w:t>
      </w:r>
      <w:r w:rsidRPr="000E2B5A">
        <w:rPr>
          <w:i/>
          <w:sz w:val="22"/>
        </w:rPr>
        <w:t xml:space="preserve">terminus a quo </w:t>
      </w:r>
      <w:r w:rsidRPr="000E2B5A">
        <w:rPr>
          <w:sz w:val="22"/>
        </w:rPr>
        <w:t xml:space="preserve">is likewise predetermined, as we have seen, to 539. Thus the period proposed for the sixty-two weeks is 539-170. However this proposal has to face the glaring objection that this period is not 434 years long (62 x 7 = 434) but only 369 (539 – 170 = 369), short by 65 years. </w:t>
      </w:r>
    </w:p>
    <w:p w:rsidR="00AB6B5D" w:rsidRPr="000E2B5A" w:rsidRDefault="00AB6B5D" w:rsidP="00AB6B5D">
      <w:pPr>
        <w:rPr>
          <w:sz w:val="22"/>
        </w:rPr>
      </w:pPr>
    </w:p>
    <w:p w:rsidR="00AB6B5D" w:rsidRPr="000E2B5A" w:rsidRDefault="00AB6B5D" w:rsidP="00AB6B5D">
      <w:pPr>
        <w:rPr>
          <w:sz w:val="22"/>
        </w:rPr>
      </w:pPr>
      <w:r w:rsidRPr="000E2B5A">
        <w:rPr>
          <w:sz w:val="22"/>
        </w:rPr>
        <w:t>Many scholars attempt to answer this objection by claiming that it is the author of Daniel who is in error. For instance, A. Montgomery is forced to admit “we can meet this objection only by surmising a chronological miscalculation on part of the author”.</w:t>
      </w:r>
      <w:r w:rsidRPr="000E2B5A">
        <w:rPr>
          <w:rStyle w:val="FootnoteReference"/>
          <w:sz w:val="22"/>
        </w:rPr>
        <w:footnoteReference w:id="39"/>
      </w:r>
      <w:r w:rsidRPr="000E2B5A">
        <w:rPr>
          <w:sz w:val="22"/>
        </w:rPr>
        <w:t xml:space="preserve"> The reason for this miscalculation is the (assumed) “absence of a known chronology”. N. W. Porteous comments: “as the historical memory which the Jews retained of the period in question was very dim as regards facts, it may well be that </w:t>
      </w:r>
      <w:r w:rsidRPr="000E2B5A">
        <w:rPr>
          <w:sz w:val="22"/>
        </w:rPr>
        <w:lastRenderedPageBreak/>
        <w:t>they were equally vague as to the actual length of time that had elapsed since the return from exile”.</w:t>
      </w:r>
      <w:r w:rsidRPr="000E2B5A">
        <w:rPr>
          <w:rStyle w:val="FootnoteReference"/>
          <w:sz w:val="22"/>
        </w:rPr>
        <w:footnoteReference w:id="40"/>
      </w:r>
      <w:r w:rsidRPr="000E2B5A">
        <w:rPr>
          <w:sz w:val="22"/>
        </w:rPr>
        <w:t xml:space="preserve"> Several commentators attempt to call into question the knowledge of historical facts by citing Dan 11:2, which prophesizes that there would be four Persian kings before “the realm of Greece” is “stirred up”.</w:t>
      </w:r>
      <w:r w:rsidRPr="000E2B5A">
        <w:rPr>
          <w:rStyle w:val="FootnoteReference"/>
          <w:sz w:val="22"/>
        </w:rPr>
        <w:footnoteReference w:id="41"/>
      </w:r>
      <w:r w:rsidRPr="000E2B5A">
        <w:rPr>
          <w:sz w:val="22"/>
        </w:rPr>
        <w:t xml:space="preserve"> However, this verse does not state there were </w:t>
      </w:r>
      <w:r w:rsidRPr="000E2B5A">
        <w:rPr>
          <w:sz w:val="22"/>
          <w:u w:val="single"/>
        </w:rPr>
        <w:t>only</w:t>
      </w:r>
      <w:r w:rsidRPr="000E2B5A">
        <w:rPr>
          <w:sz w:val="22"/>
        </w:rPr>
        <w:t xml:space="preserve"> four Persian kings in total but that it would be the fourth Persian king who would stir up Greek aggression. This statement fits well with the history of the period as it was the Persian attacks on Greek territories at Marathon (490), Thermopylae (480), Salamis (480), and Plataea (479) which were contributing factors in the unification of the Greek states against the Persian Empire.</w:t>
      </w:r>
      <w:r w:rsidRPr="000E2B5A">
        <w:rPr>
          <w:rStyle w:val="FootnoteReference"/>
          <w:sz w:val="22"/>
        </w:rPr>
        <w:footnoteReference w:id="42"/>
      </w:r>
      <w:r w:rsidRPr="000E2B5A">
        <w:rPr>
          <w:sz w:val="22"/>
        </w:rPr>
        <w:t xml:space="preserve"> In any case, had the author limited the Persian succession to only four kings this would have shortened, and not lengthened, his chronology. </w:t>
      </w:r>
    </w:p>
    <w:p w:rsidR="00AB6B5D" w:rsidRPr="000E2B5A" w:rsidRDefault="00AB6B5D" w:rsidP="00AB6B5D">
      <w:pPr>
        <w:rPr>
          <w:sz w:val="22"/>
        </w:rPr>
      </w:pPr>
    </w:p>
    <w:p w:rsidR="00AB6B5D" w:rsidRPr="000E2B5A" w:rsidRDefault="00AB6B5D" w:rsidP="00AB6B5D">
      <w:pPr>
        <w:rPr>
          <w:sz w:val="22"/>
        </w:rPr>
      </w:pPr>
      <w:r w:rsidRPr="000E2B5A">
        <w:rPr>
          <w:sz w:val="22"/>
        </w:rPr>
        <w:t xml:space="preserve">If the author’s knowledge of chronology were truly “vague” it is seems unlikely that he would have ventured such a specific chronological prophecy, particularly as </w:t>
      </w:r>
      <w:r w:rsidRPr="000E2B5A">
        <w:rPr>
          <w:i/>
          <w:iCs/>
          <w:sz w:val="22"/>
        </w:rPr>
        <w:t xml:space="preserve">vaticinium ex eventu. </w:t>
      </w:r>
      <w:r w:rsidRPr="000E2B5A">
        <w:rPr>
          <w:sz w:val="22"/>
        </w:rPr>
        <w:t>Rather, a chronologically delineated prophecy is only meaningful against the context of an established chronology. Therefore it has been proposed that the author based his calculations upon faulty chronological data. This proposition has been often been defended by reference to E. Schürer’s comment that ancient Jewish historians have a corresponding inaccuracy in their chronologies.</w:t>
      </w:r>
      <w:r w:rsidRPr="000E2B5A">
        <w:rPr>
          <w:rStyle w:val="FootnoteReference"/>
          <w:sz w:val="22"/>
        </w:rPr>
        <w:footnoteReference w:id="43"/>
      </w:r>
      <w:r w:rsidRPr="000E2B5A">
        <w:rPr>
          <w:sz w:val="22"/>
        </w:rPr>
        <w:t xml:space="preserve"> Schürer cites four examples; three from Josephus (1</w:t>
      </w:r>
      <w:r w:rsidRPr="000E2B5A">
        <w:rPr>
          <w:sz w:val="22"/>
          <w:vertAlign w:val="superscript"/>
        </w:rPr>
        <w:t>st</w:t>
      </w:r>
      <w:r w:rsidRPr="000E2B5A">
        <w:rPr>
          <w:sz w:val="22"/>
        </w:rPr>
        <w:t xml:space="preserve"> century AD) and one from Demetrius (3</w:t>
      </w:r>
      <w:r w:rsidRPr="000E2B5A">
        <w:rPr>
          <w:sz w:val="22"/>
          <w:vertAlign w:val="superscript"/>
        </w:rPr>
        <w:t>rd</w:t>
      </w:r>
      <w:r w:rsidRPr="000E2B5A">
        <w:rPr>
          <w:sz w:val="22"/>
        </w:rPr>
        <w:t xml:space="preserve"> century BC). Our conclusion must be that we have no consistent basis for reconstructing the chronology that might have been used by a second century Jewish writer. The chronological data provided by Demetrius has a -27 discrepancy compared with known history. The chronological data provided by Josephus contains varying discrepancies of +32, +40 and +48, with a possible set of variants indicating -68, -60, and -52 discrepancies. None of these are equal to the +65 discrepancy required by the critical interpretation of Daniel. The proposition that a Jewish chronology with such a discrepancy ever is existed is entirely without evidence. The regnal years of the High Priests recorded by Josephus provide a fair approximation for the periods 164-105 and 105-70. If a second century Jewish writer had access to the regnal-data for the period 539-164 then it is likely that his chronology would have been reasonably accurate. There is, therefore, no comfort for the “critical” interpretation in the inaccuracies of individual historians. </w:t>
      </w:r>
    </w:p>
    <w:p w:rsidR="00AB6B5D" w:rsidRPr="000E2B5A" w:rsidRDefault="00AB6B5D" w:rsidP="00AB6B5D">
      <w:pPr>
        <w:rPr>
          <w:sz w:val="22"/>
        </w:rPr>
      </w:pPr>
    </w:p>
    <w:p w:rsidR="00AB6B5D" w:rsidRPr="000E2B5A" w:rsidRDefault="00AB6B5D" w:rsidP="00AB6B5D">
      <w:pPr>
        <w:rPr>
          <w:i/>
          <w:sz w:val="22"/>
        </w:rPr>
      </w:pPr>
      <w:r w:rsidRPr="000E2B5A">
        <w:rPr>
          <w:i/>
          <w:sz w:val="22"/>
        </w:rPr>
        <w:lastRenderedPageBreak/>
        <w:t>Onias III</w:t>
      </w:r>
    </w:p>
    <w:p w:rsidR="00AB6B5D" w:rsidRPr="000E2B5A" w:rsidRDefault="00AB6B5D" w:rsidP="00AB6B5D">
      <w:pPr>
        <w:rPr>
          <w:sz w:val="22"/>
        </w:rPr>
      </w:pPr>
      <w:r w:rsidRPr="000E2B5A">
        <w:rPr>
          <w:sz w:val="22"/>
        </w:rPr>
        <w:t xml:space="preserve">The selection of Onias III as the </w:t>
      </w:r>
      <w:r w:rsidRPr="000E2B5A">
        <w:rPr>
          <w:i/>
          <w:sz w:val="22"/>
        </w:rPr>
        <w:t xml:space="preserve">terminus ad quem </w:t>
      </w:r>
      <w:r w:rsidRPr="000E2B5A">
        <w:rPr>
          <w:sz w:val="22"/>
        </w:rPr>
        <w:t>has two positive features: firstly Onias was a high priest of the line of Zadok (i.e. ‘anointed one’), and secondly 2 Macc 4:34 records that he was murdered (i.e. ‘cut off’). It must be conceded that Onias was not high priest at the time of his death, having been deposed five year before, yet it might be argued that a pious Jew might have continued to regard him as the true high priest, discounting the usurpers Jason and Menelaus. However, there are several objections to this identification.</w:t>
      </w:r>
    </w:p>
    <w:p w:rsidR="00AB6B5D" w:rsidRPr="000E2B5A" w:rsidRDefault="00AB6B5D" w:rsidP="00AB6B5D">
      <w:pPr>
        <w:rPr>
          <w:sz w:val="22"/>
        </w:rPr>
      </w:pPr>
    </w:p>
    <w:p w:rsidR="00AB6B5D" w:rsidRPr="000E2B5A" w:rsidRDefault="00AB6B5D" w:rsidP="00AB6B5D">
      <w:pPr>
        <w:rPr>
          <w:sz w:val="22"/>
        </w:rPr>
      </w:pPr>
      <w:r w:rsidRPr="000E2B5A">
        <w:rPr>
          <w:sz w:val="22"/>
        </w:rPr>
        <w:t>There is not complete consensus regarding the historicity of 2 Macc 4:34.</w:t>
      </w:r>
      <w:r w:rsidRPr="000E2B5A">
        <w:rPr>
          <w:rStyle w:val="FootnoteReference"/>
          <w:sz w:val="22"/>
        </w:rPr>
        <w:footnoteReference w:id="44"/>
      </w:r>
      <w:r w:rsidRPr="000E2B5A">
        <w:rPr>
          <w:sz w:val="22"/>
        </w:rPr>
        <w:t xml:space="preserve"> The incident is not recorded in 1 Maccabees. Josephus ascribes a different fate to Onias III, recording that Onias went to Egypt and there received permission from Ptolemy to build a temple to rival that in Jerusalem. Rabbinic literature also records that Onias fled to Egypt. It is also significant that the 4c. AD Christian theologian, Theodore of Mopsuestia, follows 2 Maccabees when writing his own history, except regarding the death of Onias. There is also a papyrus addressing an “Onias” in Egypt, which dates to c.164 which, if it could be unequivocally associated with Onias III, would provide definitive proof that Onias was not murdered around c.170.</w:t>
      </w:r>
      <w:r w:rsidRPr="000E2B5A">
        <w:rPr>
          <w:rStyle w:val="FootnoteReference"/>
          <w:sz w:val="22"/>
        </w:rPr>
        <w:footnoteReference w:id="45"/>
      </w:r>
    </w:p>
    <w:p w:rsidR="00AB6B5D" w:rsidRPr="000E2B5A" w:rsidRDefault="00AB6B5D" w:rsidP="00AB6B5D">
      <w:pPr>
        <w:rPr>
          <w:sz w:val="22"/>
        </w:rPr>
      </w:pPr>
    </w:p>
    <w:p w:rsidR="00AB6B5D" w:rsidRPr="000E2B5A" w:rsidRDefault="00AB6B5D" w:rsidP="00AB6B5D">
      <w:pPr>
        <w:rPr>
          <w:rFonts w:ascii="BookAntiqua" w:hAnsi="BookAntiqua" w:cs="BookAntiqua"/>
          <w:sz w:val="19"/>
          <w:szCs w:val="21"/>
          <w:lang w:eastAsia="en-GB" w:bidi="th-TH"/>
        </w:rPr>
      </w:pPr>
      <w:r w:rsidRPr="000E2B5A">
        <w:rPr>
          <w:sz w:val="22"/>
        </w:rPr>
        <w:t>There are also difficulties with the account of Onias’ murder. 2 Maccabees describes how when Antiochus Epiphanes heard of the death he wept for Onias and had his murderer, Andronicus, executed. It must be considered highly improbable that Antiochus, antagonistic to all Jewish customs, would have wept or even felt any sympathy for, a Jewish priest, particularly one who is depicted as obstructing Hellenistic innovations. It also appears that this account has been created by adapting real historical events. Greek historians record that Antiochus did have Andronicus executed, not for the murder of Onias (who is not mentioned), but for the murder of the son of Seleucus IV, Philopater.</w:t>
      </w:r>
      <w:r w:rsidRPr="000E2B5A">
        <w:rPr>
          <w:sz w:val="22"/>
          <w:vertAlign w:val="superscript"/>
        </w:rPr>
        <w:footnoteReference w:id="46"/>
      </w:r>
      <w:r w:rsidRPr="000E2B5A">
        <w:rPr>
          <w:sz w:val="22"/>
        </w:rPr>
        <w:t xml:space="preserve"> Given these difficulties, and the lack of corroboration, it seems more probable that 2 Macc 4:34 is a fictional account created to give legitimacy to the Maccabean revolt. The later account of Onias </w:t>
      </w:r>
      <w:r w:rsidRPr="000E2B5A">
        <w:rPr>
          <w:sz w:val="22"/>
        </w:rPr>
        <w:lastRenderedPageBreak/>
        <w:t>appearing in a vision to Judas Maccabeus (2 Macc 15:12ff) would seem to support this idea.</w:t>
      </w:r>
      <w:r w:rsidRPr="000E2B5A">
        <w:rPr>
          <w:rFonts w:ascii="BookAntiqua" w:hAnsi="BookAntiqua" w:cs="BookAntiqua"/>
          <w:sz w:val="19"/>
          <w:szCs w:val="21"/>
          <w:lang w:eastAsia="en-GB" w:bidi="th-TH"/>
        </w:rPr>
        <w:t xml:space="preserve"> </w:t>
      </w:r>
    </w:p>
    <w:p w:rsidR="00AB6B5D" w:rsidRPr="000E2B5A" w:rsidRDefault="00AB6B5D" w:rsidP="00AB6B5D">
      <w:pPr>
        <w:rPr>
          <w:sz w:val="22"/>
        </w:rPr>
      </w:pPr>
    </w:p>
    <w:p w:rsidR="00AB6B5D" w:rsidRPr="000E2B5A" w:rsidRDefault="00AB6B5D" w:rsidP="00AB6B5D">
      <w:pPr>
        <w:rPr>
          <w:sz w:val="22"/>
        </w:rPr>
      </w:pPr>
      <w:r w:rsidRPr="000E2B5A">
        <w:rPr>
          <w:sz w:val="22"/>
        </w:rPr>
        <w:t>There is also an interpretative objection to identifying Onias III as the “anointed one”. Daniel 9 gives the impression that the cutting off of the anointed one is an event of seismic proportions, ushering in the destruction of the city and the sanctuary. However, 1 Maccabees fails to even mention the death of Onias. The murder of Onias, assuming it took place, happened five years after Onias had been deposed but still three years before Antiochus Epiphanes desecrated the sanctuary. In fact, 2 Maccabees records that when Antiochus heard of the death of Onias he was “moved to pity and wept” and commanded that his murderer be executed (2 Macc 4:37-38).</w:t>
      </w:r>
    </w:p>
    <w:p w:rsidR="00AB6B5D" w:rsidRPr="000E2B5A" w:rsidRDefault="00AB6B5D" w:rsidP="00AB6B5D">
      <w:pPr>
        <w:rPr>
          <w:sz w:val="22"/>
        </w:rPr>
      </w:pPr>
    </w:p>
    <w:p w:rsidR="00AB6B5D" w:rsidRPr="000E2B5A" w:rsidRDefault="00AB6B5D" w:rsidP="00AB6B5D">
      <w:pPr>
        <w:rPr>
          <w:sz w:val="22"/>
        </w:rPr>
      </w:pPr>
      <w:r w:rsidRPr="000E2B5A">
        <w:rPr>
          <w:sz w:val="22"/>
        </w:rPr>
        <w:t>The final objection is that Antiochus Epiphanes did not destroy the city or the sanctuary as prophesied.</w:t>
      </w:r>
    </w:p>
    <w:p w:rsidR="00AB6B5D" w:rsidRPr="000E2B5A" w:rsidRDefault="00AB6B5D" w:rsidP="00AB6B5D">
      <w:pPr>
        <w:rPr>
          <w:sz w:val="22"/>
        </w:rPr>
      </w:pPr>
    </w:p>
    <w:p w:rsidR="00AB6B5D" w:rsidRPr="000E2B5A" w:rsidRDefault="00AB6B5D" w:rsidP="00AB6B5D">
      <w:pPr>
        <w:rPr>
          <w:rFonts w:ascii="Bradley Hand ITC" w:hAnsi="Bradley Hand ITC"/>
          <w:b/>
          <w:sz w:val="28"/>
        </w:rPr>
      </w:pPr>
      <w:r w:rsidRPr="000E2B5A">
        <w:rPr>
          <w:rFonts w:ascii="Bradley Hand ITC" w:hAnsi="Bradley Hand ITC"/>
          <w:b/>
          <w:sz w:val="28"/>
        </w:rPr>
        <w:t>Conclusion</w:t>
      </w:r>
    </w:p>
    <w:p w:rsidR="00AB6B5D" w:rsidRPr="000E2B5A" w:rsidRDefault="00AB6B5D" w:rsidP="00AB6B5D">
      <w:pPr>
        <w:rPr>
          <w:sz w:val="22"/>
        </w:rPr>
      </w:pPr>
      <w:r w:rsidRPr="000E2B5A">
        <w:rPr>
          <w:sz w:val="22"/>
        </w:rPr>
        <w:t xml:space="preserve">We have seen that there are substantial difficulties with the critical interpretation of Daniel 9. There is no reason to suppose that the author of Daniel regarded Jeremiah’s seventy-year prophecy as unfulfilled. On the contrary, there is explicit evidence that the author regarded the prophecy as having personal significance in his life. There is no reason to take 587 as the </w:t>
      </w:r>
      <w:r w:rsidRPr="000E2B5A">
        <w:rPr>
          <w:i/>
          <w:sz w:val="22"/>
        </w:rPr>
        <w:t xml:space="preserve">terminus ad quo </w:t>
      </w:r>
      <w:r w:rsidRPr="000E2B5A">
        <w:rPr>
          <w:sz w:val="22"/>
        </w:rPr>
        <w:t xml:space="preserve">of the seventy-weeks, in direct contradiction of the explicit statement of the text. There is no reason to suppose that the author was aware of a chronology containing a +65 discrepancy. There is no justification for equating the period 539-170 with the sixty-two weeks. There are reasons to doubt the historicity of the murder of Onias III recorded in 2 Macc 4:34. The murder of Onias III appears to be entirely irrelevant to the fulfillment of the seventy-weeks. In the face of such difficulties as these it is difficult to justify the critical interpretation in its present form. The fact that scholars have accepted this interpretation </w:t>
      </w:r>
      <w:r w:rsidRPr="000E2B5A">
        <w:rPr>
          <w:i/>
          <w:sz w:val="22"/>
        </w:rPr>
        <w:t>against</w:t>
      </w:r>
      <w:r w:rsidRPr="000E2B5A">
        <w:rPr>
          <w:sz w:val="22"/>
        </w:rPr>
        <w:t xml:space="preserve"> the text suggests that their interpretation is directed </w:t>
      </w:r>
      <w:r w:rsidRPr="000E2B5A">
        <w:rPr>
          <w:i/>
          <w:sz w:val="22"/>
        </w:rPr>
        <w:t xml:space="preserve">a priori </w:t>
      </w:r>
      <w:r w:rsidRPr="000E2B5A">
        <w:rPr>
          <w:sz w:val="22"/>
        </w:rPr>
        <w:t xml:space="preserve">by the acceptance of certain assumptions. </w:t>
      </w:r>
    </w:p>
    <w:p w:rsidR="00AB6B5D" w:rsidRPr="000E2B5A" w:rsidRDefault="00AB6B5D" w:rsidP="0014388F">
      <w:pPr>
        <w:rPr>
          <w:sz w:val="20"/>
          <w:lang w:val="en-GB"/>
        </w:rPr>
      </w:pPr>
    </w:p>
    <w:p w:rsidR="008127F1" w:rsidRPr="000E2B5A" w:rsidRDefault="008127F1" w:rsidP="008127F1">
      <w:pPr>
        <w:jc w:val="center"/>
        <w:rPr>
          <w:rFonts w:ascii="Bradley Hand ITC" w:hAnsi="Bradley Hand ITC"/>
          <w:b/>
          <w:sz w:val="28"/>
        </w:rPr>
      </w:pPr>
      <w:r w:rsidRPr="000E2B5A">
        <w:rPr>
          <w:rFonts w:ascii="Bradley Hand ITC" w:hAnsi="Bradley Hand ITC"/>
          <w:b/>
          <w:sz w:val="28"/>
        </w:rPr>
        <w:t>Arius (1)</w:t>
      </w:r>
    </w:p>
    <w:p w:rsidR="008127F1" w:rsidRPr="000E2B5A" w:rsidRDefault="008127F1" w:rsidP="008127F1">
      <w:pPr>
        <w:jc w:val="center"/>
        <w:rPr>
          <w:rFonts w:ascii="Bradley Hand ITC" w:hAnsi="Bradley Hand ITC"/>
          <w:b/>
          <w:sz w:val="28"/>
        </w:rPr>
      </w:pPr>
      <w:r w:rsidRPr="000E2B5A">
        <w:rPr>
          <w:rFonts w:ascii="Bradley Hand ITC" w:hAnsi="Bradley Hand ITC"/>
          <w:b/>
          <w:sz w:val="28"/>
        </w:rPr>
        <w:t>D. Burke</w:t>
      </w:r>
    </w:p>
    <w:p w:rsidR="008127F1" w:rsidRPr="000E2B5A" w:rsidRDefault="008127F1" w:rsidP="008127F1"/>
    <w:p w:rsidR="008127F1" w:rsidRPr="000E2B5A" w:rsidRDefault="008127F1" w:rsidP="008127F1">
      <w:pPr>
        <w:rPr>
          <w:rFonts w:ascii="Bradley Hand ITC" w:hAnsi="Bradley Hand ITC"/>
          <w:b/>
          <w:sz w:val="28"/>
          <w:szCs w:val="22"/>
        </w:rPr>
      </w:pPr>
      <w:r w:rsidRPr="000E2B5A">
        <w:rPr>
          <w:rFonts w:ascii="Bradley Hand ITC" w:hAnsi="Bradley Hand ITC"/>
          <w:b/>
          <w:sz w:val="28"/>
          <w:szCs w:val="22"/>
        </w:rPr>
        <w:t>Introduction</w:t>
      </w:r>
    </w:p>
    <w:p w:rsidR="008127F1" w:rsidRPr="000E2B5A" w:rsidRDefault="008127F1" w:rsidP="008127F1">
      <w:pPr>
        <w:rPr>
          <w:sz w:val="22"/>
          <w:szCs w:val="22"/>
        </w:rPr>
      </w:pPr>
      <w:r w:rsidRPr="000E2B5A">
        <w:rPr>
          <w:sz w:val="22"/>
          <w:szCs w:val="22"/>
        </w:rPr>
        <w:t xml:space="preserve">During the years AD 318 and 319, a Libyan presbyter was found to profess a controversial definition of the pre-existent Christ and his relation to God the Father. His name was Arius, a priest whose theological formation had been obtained not at the school of Alexandria but in Syrian Antioch, under the Antiochene priest Lucian. </w:t>
      </w:r>
      <w:r w:rsidRPr="000E2B5A">
        <w:rPr>
          <w:sz w:val="22"/>
          <w:szCs w:val="22"/>
        </w:rPr>
        <w:lastRenderedPageBreak/>
        <w:t>While Arius’ ideas met with immediate opposition by contemporary theologians, he did succeed in obtaining a considerable following among laity and clergy alike. Indeed, it is estimated that at one point Arianism was confessed by at least thirty percent of the church.</w:t>
      </w:r>
    </w:p>
    <w:p w:rsidR="008127F1" w:rsidRPr="000E2B5A" w:rsidRDefault="008127F1" w:rsidP="008127F1">
      <w:pPr>
        <w:rPr>
          <w:sz w:val="22"/>
          <w:szCs w:val="22"/>
        </w:rPr>
      </w:pPr>
      <w:r w:rsidRPr="000E2B5A">
        <w:rPr>
          <w:sz w:val="22"/>
          <w:szCs w:val="22"/>
        </w:rPr>
        <w:br/>
        <w:t>Contrary to popular belief, the ensuing debate was not the result of an official position being challenged (for the church of Arius’ day had no definitive doctrine of Christ); instead, it was the result of an older Christology fighting to keep itself alive against the innovative thinking of powerful and influential churchmen.</w:t>
      </w:r>
    </w:p>
    <w:p w:rsidR="008127F1" w:rsidRPr="000E2B5A" w:rsidRDefault="008127F1" w:rsidP="008127F1">
      <w:pPr>
        <w:rPr>
          <w:sz w:val="22"/>
          <w:szCs w:val="22"/>
        </w:rPr>
      </w:pPr>
      <w:r w:rsidRPr="000E2B5A">
        <w:rPr>
          <w:sz w:val="22"/>
          <w:szCs w:val="22"/>
        </w:rPr>
        <w:br/>
        <w:t>In AD 325, the emperor Constantine presided over the Council of Nicaea, at which Arianism was rejected and an authoritative Christological creed (known today as the Nicene Creed) agreed upon by the majority. But this was not the end of the controversy, nor even the beginning of the end; it was merely the end of the beginning. In the years which followed, Arianism continued to spread. It was still alive in AD 381, when the Council of Constantinople attempted to plug the theological gaps which Nicaea had left open, and would remain the normative belief among the Gothic tribes for several centuries to come.</w:t>
      </w:r>
    </w:p>
    <w:p w:rsidR="008127F1" w:rsidRPr="000E2B5A" w:rsidRDefault="008127F1" w:rsidP="008127F1">
      <w:pPr>
        <w:rPr>
          <w:sz w:val="22"/>
          <w:szCs w:val="22"/>
        </w:rPr>
      </w:pPr>
      <w:r w:rsidRPr="000E2B5A">
        <w:rPr>
          <w:sz w:val="22"/>
          <w:szCs w:val="22"/>
        </w:rPr>
        <w:br/>
        <w:t>In the words of H. Chadwick:</w:t>
      </w:r>
    </w:p>
    <w:p w:rsidR="008127F1" w:rsidRPr="000E2B5A" w:rsidRDefault="008127F1" w:rsidP="008127F1">
      <w:pPr>
        <w:rPr>
          <w:sz w:val="22"/>
          <w:szCs w:val="22"/>
        </w:rPr>
      </w:pPr>
    </w:p>
    <w:p w:rsidR="008127F1" w:rsidRPr="000E2B5A" w:rsidRDefault="008127F1" w:rsidP="008127F1">
      <w:pPr>
        <w:pStyle w:val="Quote"/>
        <w:rPr>
          <w:szCs w:val="22"/>
        </w:rPr>
      </w:pPr>
      <w:r w:rsidRPr="000E2B5A">
        <w:rPr>
          <w:szCs w:val="22"/>
        </w:rPr>
        <w:t>It was the misfortune of the fourth-century church that it became engrossed in a theological controversy at the same time as it was working out its institutional organisation. The doctrinal disagreements quickly became inextricably associated with matters of order, discipline, and authority. Above all, they became bound up with the gradually growing tension between the Greek East and the Latin West.</w:t>
      </w:r>
    </w:p>
    <w:p w:rsidR="008127F1" w:rsidRPr="000E2B5A" w:rsidRDefault="008127F1" w:rsidP="008127F1">
      <w:pPr>
        <w:pStyle w:val="Quote"/>
        <w:rPr>
          <w:szCs w:val="22"/>
        </w:rPr>
      </w:pPr>
      <w:r w:rsidRPr="000E2B5A">
        <w:rPr>
          <w:szCs w:val="22"/>
        </w:rPr>
        <w:br/>
        <w:t>During the first half of the century the Arian leaders in the East were able to use this tension to build a considerable united front among the Greek churches, and they had the support of a tolerant emperor, first Constantius II (337-61) and then Valens (364-78). Moreover, the manner in which Arianism was finally overcome in the East was as such to ensure that even after the controversy was over the tension between East and West was continued.</w:t>
      </w:r>
      <w:r w:rsidRPr="000E2B5A">
        <w:rPr>
          <w:szCs w:val="22"/>
        </w:rPr>
        <w:br/>
      </w:r>
      <w:r w:rsidRPr="000E2B5A">
        <w:rPr>
          <w:szCs w:val="22"/>
        </w:rPr>
        <w:br/>
        <w:t>How this came about will be clear from the story.</w:t>
      </w:r>
      <w:r w:rsidRPr="000E2B5A">
        <w:rPr>
          <w:rStyle w:val="FootnoteReference"/>
          <w:szCs w:val="22"/>
        </w:rPr>
        <w:footnoteReference w:id="47"/>
      </w:r>
    </w:p>
    <w:p w:rsidR="001A52B5" w:rsidRPr="000E2B5A" w:rsidRDefault="001A52B5" w:rsidP="001A52B5">
      <w:pPr>
        <w:rPr>
          <w:lang w:val="en-GB" w:bidi="he-IL"/>
        </w:rPr>
      </w:pPr>
    </w:p>
    <w:p w:rsidR="00E7048A" w:rsidRPr="000E2B5A" w:rsidRDefault="00E7048A" w:rsidP="001A52B5">
      <w:pPr>
        <w:rPr>
          <w:lang w:val="en-GB" w:bidi="he-IL"/>
        </w:rPr>
      </w:pPr>
    </w:p>
    <w:p w:rsidR="00E7048A" w:rsidRPr="000E2B5A" w:rsidRDefault="00E7048A" w:rsidP="001A52B5">
      <w:pPr>
        <w:rPr>
          <w:lang w:val="en-GB" w:bidi="he-IL"/>
        </w:rPr>
      </w:pPr>
    </w:p>
    <w:p w:rsidR="008127F1" w:rsidRPr="000E2B5A" w:rsidRDefault="008127F1" w:rsidP="008127F1">
      <w:pPr>
        <w:rPr>
          <w:rFonts w:ascii="Bradley Hand ITC" w:hAnsi="Bradley Hand ITC"/>
          <w:b/>
          <w:sz w:val="28"/>
        </w:rPr>
      </w:pPr>
      <w:r w:rsidRPr="000E2B5A">
        <w:rPr>
          <w:rFonts w:ascii="Bradley Hand ITC" w:hAnsi="Bradley Hand ITC"/>
          <w:b/>
          <w:sz w:val="28"/>
        </w:rPr>
        <w:lastRenderedPageBreak/>
        <w:t>Arian Controversy</w:t>
      </w:r>
    </w:p>
    <w:p w:rsidR="008127F1" w:rsidRPr="000E2B5A" w:rsidRDefault="008127F1" w:rsidP="008127F1">
      <w:pPr>
        <w:rPr>
          <w:sz w:val="22"/>
          <w:szCs w:val="22"/>
        </w:rPr>
      </w:pPr>
      <w:r w:rsidRPr="000E2B5A">
        <w:rPr>
          <w:sz w:val="22"/>
          <w:szCs w:val="22"/>
        </w:rPr>
        <w:t>The Arian controversy is important on two levels: theological and historical. Theological because it reveals the increasingly formal processes under which doctrine was formulated in the post-Apostolic era and explains why so much of this doctrine was patently unbiblical; political because it helps us to understand how and why the church changed so radically after the conversion of Constantine.</w:t>
      </w:r>
    </w:p>
    <w:p w:rsidR="00E7048A" w:rsidRPr="000E2B5A" w:rsidRDefault="00E7048A" w:rsidP="008127F1">
      <w:pPr>
        <w:rPr>
          <w:sz w:val="22"/>
          <w:szCs w:val="22"/>
        </w:rPr>
      </w:pPr>
    </w:p>
    <w:p w:rsidR="008127F1" w:rsidRPr="000E2B5A" w:rsidRDefault="008127F1" w:rsidP="008127F1">
      <w:pPr>
        <w:rPr>
          <w:sz w:val="22"/>
          <w:szCs w:val="22"/>
        </w:rPr>
      </w:pPr>
      <w:r w:rsidRPr="000E2B5A">
        <w:rPr>
          <w:sz w:val="22"/>
          <w:szCs w:val="22"/>
        </w:rPr>
        <w:t>It is not easy to determine the precise nature of Arius’ heresy. S. G. Hall explains why:</w:t>
      </w:r>
    </w:p>
    <w:p w:rsidR="008127F1" w:rsidRPr="000E2B5A" w:rsidRDefault="008127F1" w:rsidP="008127F1">
      <w:pPr>
        <w:rPr>
          <w:sz w:val="22"/>
          <w:szCs w:val="22"/>
        </w:rPr>
      </w:pPr>
    </w:p>
    <w:p w:rsidR="008127F1" w:rsidRPr="000E2B5A" w:rsidRDefault="008127F1" w:rsidP="008127F1">
      <w:pPr>
        <w:pStyle w:val="Quote"/>
        <w:rPr>
          <w:szCs w:val="22"/>
        </w:rPr>
      </w:pPr>
      <w:r w:rsidRPr="000E2B5A">
        <w:rPr>
          <w:szCs w:val="22"/>
        </w:rPr>
        <w:t>The true nature of the original issue is clouded. Modern theologians have read into Arianism whatever views they themselves particularly abominate. Our ancient sources reveal other problems. First, what we have of Arius’ own writing is meagre, and even these documents are preserved by his critics, and selected to be damaging, if not actually misquoted or misconstrued.</w:t>
      </w:r>
      <w:r w:rsidRPr="000E2B5A">
        <w:rPr>
          <w:szCs w:val="22"/>
        </w:rPr>
        <w:br/>
        <w:t>Secondly, his critics often attribute to him views which he never stated: the most famous is, ‘There was once when he [the Son] was not.’ There can be no doubt that if he had ever written that, he would have been quoted direct.</w:t>
      </w:r>
    </w:p>
    <w:p w:rsidR="008127F1" w:rsidRPr="000E2B5A" w:rsidRDefault="008127F1" w:rsidP="008127F1">
      <w:pPr>
        <w:rPr>
          <w:sz w:val="22"/>
          <w:szCs w:val="22"/>
        </w:rPr>
      </w:pPr>
    </w:p>
    <w:p w:rsidR="008127F1" w:rsidRPr="000E2B5A" w:rsidRDefault="008127F1" w:rsidP="008127F1">
      <w:pPr>
        <w:pStyle w:val="Quote"/>
        <w:rPr>
          <w:szCs w:val="22"/>
        </w:rPr>
      </w:pPr>
      <w:r w:rsidRPr="000E2B5A">
        <w:rPr>
          <w:szCs w:val="22"/>
        </w:rPr>
        <w:t>Thirdly, the dispute about Arius led to divisions between churchmen over many other issues, both ecclesiastical (such as the alleged episcopal tyranny of Athanasius) and theological (such as whether the Son is like the Father or unlike him), and much of this is called the “Arian controversy”, even though Arius had nothing directly to do with the issues. Arius is not Arianism, as generally understood.</w:t>
      </w:r>
    </w:p>
    <w:p w:rsidR="008127F1" w:rsidRPr="000E2B5A" w:rsidRDefault="008127F1" w:rsidP="008127F1">
      <w:pPr>
        <w:pStyle w:val="Quote"/>
        <w:rPr>
          <w:szCs w:val="22"/>
        </w:rPr>
      </w:pPr>
      <w:r w:rsidRPr="000E2B5A">
        <w:rPr>
          <w:szCs w:val="22"/>
        </w:rPr>
        <w:br/>
        <w:t>His surviving letters, and the poem called Thalia, show that he thought of himself as a conservative, treading in the footsteps of pious teachers, and following the doctrine of his bishop. He held that there is “one God, alone unbegotten, alone everlasting, alone unbegun...” (</w:t>
      </w:r>
      <w:r w:rsidRPr="000E2B5A">
        <w:rPr>
          <w:i/>
          <w:szCs w:val="22"/>
        </w:rPr>
        <w:t>Letter to Alexander</w:t>
      </w:r>
      <w:r w:rsidRPr="000E2B5A">
        <w:rPr>
          <w:szCs w:val="22"/>
        </w:rPr>
        <w:t xml:space="preserve">, </w:t>
      </w:r>
      <w:r w:rsidRPr="000E2B5A">
        <w:rPr>
          <w:i/>
          <w:szCs w:val="22"/>
        </w:rPr>
        <w:t>New Eusebius</w:t>
      </w:r>
      <w:r w:rsidRPr="000E2B5A">
        <w:rPr>
          <w:szCs w:val="22"/>
        </w:rPr>
        <w:t xml:space="preserve"> 326) and that the Son of God makes his father known by being different: “We call him [the Father] Unbegotten because of the one in nature begotten; we raise hymns to him as Unbegun because of the one born in time.” (</w:t>
      </w:r>
      <w:r w:rsidRPr="000E2B5A">
        <w:rPr>
          <w:i/>
          <w:szCs w:val="22"/>
        </w:rPr>
        <w:t>Thalia</w:t>
      </w:r>
      <w:r w:rsidRPr="000E2B5A">
        <w:rPr>
          <w:szCs w:val="22"/>
        </w:rPr>
        <w:t>, II 3-5 [</w:t>
      </w:r>
      <w:r w:rsidRPr="000E2B5A">
        <w:rPr>
          <w:i/>
          <w:szCs w:val="22"/>
        </w:rPr>
        <w:t>New Eusebius</w:t>
      </w:r>
      <w:r w:rsidRPr="000E2B5A">
        <w:rPr>
          <w:szCs w:val="22"/>
        </w:rPr>
        <w:t xml:space="preserve"> 330.]</w:t>
      </w:r>
      <w:r w:rsidRPr="000E2B5A">
        <w:rPr>
          <w:rStyle w:val="FootnoteReference"/>
          <w:szCs w:val="22"/>
        </w:rPr>
        <w:footnoteReference w:id="48"/>
      </w:r>
    </w:p>
    <w:p w:rsidR="008127F1" w:rsidRPr="000E2B5A" w:rsidRDefault="008127F1" w:rsidP="008127F1">
      <w:pPr>
        <w:rPr>
          <w:sz w:val="22"/>
          <w:szCs w:val="22"/>
        </w:rPr>
      </w:pPr>
      <w:r w:rsidRPr="000E2B5A">
        <w:rPr>
          <w:sz w:val="22"/>
          <w:szCs w:val="22"/>
        </w:rPr>
        <w:br/>
        <w:t>Hall’s analysis is confirmed by J. C. McDowell. In an otherwise cogently argued essay, McDowell struggles (with limited success) to clarify the Arian position:</w:t>
      </w:r>
    </w:p>
    <w:p w:rsidR="00E7048A" w:rsidRPr="000E2B5A" w:rsidRDefault="00E7048A" w:rsidP="008127F1">
      <w:pPr>
        <w:rPr>
          <w:sz w:val="22"/>
          <w:szCs w:val="22"/>
        </w:rPr>
      </w:pPr>
    </w:p>
    <w:p w:rsidR="008127F1" w:rsidRPr="000E2B5A" w:rsidRDefault="008127F1" w:rsidP="008127F1">
      <w:pPr>
        <w:pStyle w:val="Quote"/>
        <w:rPr>
          <w:szCs w:val="22"/>
        </w:rPr>
      </w:pPr>
      <w:r w:rsidRPr="000E2B5A">
        <w:rPr>
          <w:szCs w:val="22"/>
        </w:rPr>
        <w:t xml:space="preserve">Over a century ago Newman innovatively argued that Arius stood in a tradition stretching back to Paul of Samosata through Lucian of Antioch. </w:t>
      </w:r>
      <w:r w:rsidRPr="000E2B5A">
        <w:rPr>
          <w:szCs w:val="22"/>
        </w:rPr>
        <w:lastRenderedPageBreak/>
        <w:t>Arius was thus an adoptionist, as indeed he was accused of being by several 4th century critics, entertaining a ‘low view’ of a Christ “exalted into a God”, and reading the title ‘son of God’ in the Old Testament sense of one specially chosen</w:t>
      </w:r>
      <w:r w:rsidR="001A52B5" w:rsidRPr="000E2B5A">
        <w:rPr>
          <w:szCs w:val="22"/>
        </w:rPr>
        <w:t xml:space="preserve"> by God to perform some task...</w:t>
      </w:r>
    </w:p>
    <w:p w:rsidR="001A52B5" w:rsidRPr="000E2B5A" w:rsidRDefault="001A52B5" w:rsidP="001A52B5">
      <w:pPr>
        <w:rPr>
          <w:sz w:val="22"/>
          <w:szCs w:val="22"/>
          <w:lang w:val="en-GB" w:bidi="he-IL"/>
        </w:rPr>
      </w:pPr>
    </w:p>
    <w:p w:rsidR="008127F1" w:rsidRPr="000E2B5A" w:rsidRDefault="008127F1" w:rsidP="008127F1">
      <w:pPr>
        <w:pStyle w:val="Quote"/>
        <w:rPr>
          <w:szCs w:val="22"/>
        </w:rPr>
      </w:pPr>
      <w:r w:rsidRPr="000E2B5A">
        <w:rPr>
          <w:szCs w:val="22"/>
        </w:rPr>
        <w:t>By virtue of an obedient life, lived by grace, Jesus, as the proto-typical human being and or representative creature, received divine grace and favour, and was thus exalted at his resurrection, becoming a Son. The Son was one with the Father, then, not in essence but in will. Hence Christ was ontologically a creature and not God, and it was for this reason that the Arians stressed his mutability. When Arius and his companions spoke of the Christ, they thought of a being called into existence by the divine will, a creature finite in knowledge and morally changeable...</w:t>
      </w:r>
    </w:p>
    <w:p w:rsidR="008127F1" w:rsidRPr="000E2B5A" w:rsidRDefault="008127F1" w:rsidP="008127F1">
      <w:pPr>
        <w:pStyle w:val="Quote"/>
        <w:rPr>
          <w:szCs w:val="22"/>
        </w:rPr>
      </w:pPr>
      <w:r w:rsidRPr="000E2B5A">
        <w:rPr>
          <w:szCs w:val="22"/>
        </w:rPr>
        <w:br/>
        <w:t>This was no blatant adoptionism, however, for Arius taught a pre-existent Logos.</w:t>
      </w:r>
      <w:r w:rsidRPr="000E2B5A">
        <w:rPr>
          <w:rStyle w:val="FootnoteReference"/>
          <w:szCs w:val="22"/>
        </w:rPr>
        <w:footnoteReference w:id="49"/>
      </w:r>
    </w:p>
    <w:p w:rsidR="008127F1" w:rsidRPr="000E2B5A" w:rsidRDefault="008127F1" w:rsidP="008127F1">
      <w:pPr>
        <w:rPr>
          <w:sz w:val="22"/>
          <w:szCs w:val="22"/>
        </w:rPr>
      </w:pPr>
    </w:p>
    <w:p w:rsidR="008127F1" w:rsidRPr="000E2B5A" w:rsidRDefault="008127F1" w:rsidP="008127F1">
      <w:pPr>
        <w:rPr>
          <w:sz w:val="22"/>
          <w:szCs w:val="22"/>
        </w:rPr>
      </w:pPr>
      <w:r w:rsidRPr="000E2B5A">
        <w:rPr>
          <w:sz w:val="22"/>
          <w:szCs w:val="22"/>
        </w:rPr>
        <w:t>McDowell’s use of the term “adoptionism” needs clarification. Adoptionism requires that Jesus’ Sonship is purely symbolic, being no longer predicated upon a special act of creation (as Arius actually believed) or a miraculous conception (as the Bible teaches). This doctrine was categorically rejected by a vital clause in the 6th Arian Creed of AD 351:</w:t>
      </w:r>
    </w:p>
    <w:p w:rsidR="008127F1" w:rsidRPr="000E2B5A" w:rsidRDefault="008127F1" w:rsidP="008127F1">
      <w:pPr>
        <w:pStyle w:val="Quote"/>
        <w:rPr>
          <w:szCs w:val="22"/>
        </w:rPr>
      </w:pPr>
    </w:p>
    <w:p w:rsidR="008127F1" w:rsidRPr="000E2B5A" w:rsidRDefault="008127F1" w:rsidP="008127F1">
      <w:pPr>
        <w:pStyle w:val="Quote"/>
        <w:rPr>
          <w:b/>
          <w:szCs w:val="22"/>
        </w:rPr>
      </w:pPr>
      <w:r w:rsidRPr="000E2B5A">
        <w:rPr>
          <w:szCs w:val="22"/>
        </w:rPr>
        <w:t>(</w:t>
      </w:r>
      <w:r w:rsidRPr="000E2B5A">
        <w:rPr>
          <w:b/>
          <w:szCs w:val="22"/>
        </w:rPr>
        <w:t>27.</w:t>
      </w:r>
      <w:r w:rsidRPr="000E2B5A">
        <w:rPr>
          <w:szCs w:val="22"/>
        </w:rPr>
        <w:t>) And in accurate delineation of the idea of Christianity we say this again; Whosoever shall not say that Christ is God, Son of God, as being before ages, and having subserved the Father in the framing of the Universe, but that from the time that He was born of Mary, from thence He was called Christ and Son, and took an origin of being God, be he anathema.</w:t>
      </w:r>
      <w:r w:rsidRPr="000E2B5A">
        <w:rPr>
          <w:rStyle w:val="FootnoteReference"/>
          <w:szCs w:val="22"/>
        </w:rPr>
        <w:footnoteReference w:id="50"/>
      </w:r>
      <w:r w:rsidRPr="000E2B5A">
        <w:rPr>
          <w:b/>
          <w:szCs w:val="22"/>
        </w:rPr>
        <w:br/>
      </w:r>
    </w:p>
    <w:p w:rsidR="008127F1" w:rsidRPr="000E2B5A" w:rsidRDefault="008127F1" w:rsidP="008127F1">
      <w:pPr>
        <w:rPr>
          <w:sz w:val="22"/>
          <w:szCs w:val="22"/>
        </w:rPr>
      </w:pPr>
      <w:r w:rsidRPr="000E2B5A">
        <w:rPr>
          <w:sz w:val="22"/>
          <w:szCs w:val="22"/>
        </w:rPr>
        <w:t>According to the Arians, then, Christ is God’s Son by virtue of the fact that he was begotten “before all ages”; he is “God, Son of God” because he has his being directly from the Father. Those who reject this idea (claiming instead that Christ’s Sonship began with his birth by Mary, or at some later date) are uncompromisingly anathematised.</w:t>
      </w:r>
    </w:p>
    <w:p w:rsidR="00E7048A" w:rsidRPr="000E2B5A" w:rsidRDefault="00E7048A" w:rsidP="008127F1">
      <w:pPr>
        <w:rPr>
          <w:sz w:val="22"/>
          <w:szCs w:val="22"/>
        </w:rPr>
      </w:pPr>
    </w:p>
    <w:p w:rsidR="008127F1" w:rsidRPr="000E2B5A" w:rsidRDefault="008127F1" w:rsidP="008127F1">
      <w:pPr>
        <w:rPr>
          <w:sz w:val="22"/>
          <w:szCs w:val="22"/>
        </w:rPr>
      </w:pPr>
      <w:r w:rsidRPr="000E2B5A">
        <w:rPr>
          <w:sz w:val="22"/>
          <w:szCs w:val="22"/>
        </w:rPr>
        <w:t>McDowell concedes that the Arian Christ was pre-existent, but attempts to mitigate the fact by insisting that,</w:t>
      </w:r>
    </w:p>
    <w:p w:rsidR="008127F1" w:rsidRPr="000E2B5A" w:rsidRDefault="008127F1" w:rsidP="008127F1">
      <w:pPr>
        <w:rPr>
          <w:sz w:val="22"/>
          <w:szCs w:val="22"/>
        </w:rPr>
      </w:pPr>
    </w:p>
    <w:p w:rsidR="008127F1" w:rsidRPr="000E2B5A" w:rsidRDefault="008127F1" w:rsidP="008127F1">
      <w:pPr>
        <w:pStyle w:val="Quote"/>
        <w:rPr>
          <w:szCs w:val="22"/>
        </w:rPr>
      </w:pPr>
      <w:r w:rsidRPr="000E2B5A">
        <w:rPr>
          <w:szCs w:val="22"/>
        </w:rPr>
        <w:t>…this was more out of necessity since it played no important theological role.</w:t>
      </w:r>
      <w:r w:rsidRPr="000E2B5A">
        <w:rPr>
          <w:szCs w:val="22"/>
        </w:rPr>
        <w:br/>
      </w:r>
    </w:p>
    <w:p w:rsidR="008127F1" w:rsidRPr="000E2B5A" w:rsidRDefault="008127F1" w:rsidP="008127F1">
      <w:pPr>
        <w:rPr>
          <w:sz w:val="22"/>
          <w:szCs w:val="22"/>
        </w:rPr>
      </w:pPr>
      <w:r w:rsidRPr="000E2B5A">
        <w:rPr>
          <w:sz w:val="22"/>
          <w:szCs w:val="22"/>
        </w:rPr>
        <w:t>Yet the Arians conceived of Christ as a sublime creature born outside time, who was – by the Father’s delegation – responsible for the creation of all that exists, including time itself.</w:t>
      </w:r>
    </w:p>
    <w:p w:rsidR="008127F1" w:rsidRPr="000E2B5A" w:rsidRDefault="008127F1" w:rsidP="008127F1">
      <w:pPr>
        <w:rPr>
          <w:sz w:val="22"/>
          <w:szCs w:val="22"/>
        </w:rPr>
      </w:pPr>
    </w:p>
    <w:p w:rsidR="008127F1" w:rsidRPr="000E2B5A" w:rsidRDefault="008127F1" w:rsidP="008127F1">
      <w:pPr>
        <w:rPr>
          <w:sz w:val="22"/>
          <w:szCs w:val="22"/>
        </w:rPr>
      </w:pPr>
      <w:r w:rsidRPr="000E2B5A">
        <w:rPr>
          <w:sz w:val="22"/>
          <w:szCs w:val="22"/>
        </w:rPr>
        <w:t>Contrary to McDowell’s claim, therefore, the pre-existence of Christ was an absolute necessity for the Arian school of thought and played a major theological role. For, like Philo, Justin, and many others, the Arians required a Christian equivalent to the Hellenic Demiurge in order that the Supreme Being might be kept at a comfortable distance from His creation.</w:t>
      </w:r>
    </w:p>
    <w:p w:rsidR="008127F1" w:rsidRPr="000E2B5A" w:rsidRDefault="008127F1" w:rsidP="008127F1">
      <w:pPr>
        <w:rPr>
          <w:sz w:val="22"/>
          <w:szCs w:val="22"/>
        </w:rPr>
      </w:pPr>
    </w:p>
    <w:p w:rsidR="008127F1" w:rsidRPr="000E2B5A" w:rsidRDefault="008127F1" w:rsidP="008127F1">
      <w:pPr>
        <w:rPr>
          <w:sz w:val="22"/>
          <w:szCs w:val="22"/>
        </w:rPr>
      </w:pPr>
      <w:r w:rsidRPr="000E2B5A">
        <w:rPr>
          <w:sz w:val="22"/>
          <w:szCs w:val="22"/>
        </w:rPr>
        <w:t>The precise definition of Arianism has been further obscured by J. Pelikan, who claims unequivocally that the Arians prayed to Christ and worshipped him:</w:t>
      </w:r>
    </w:p>
    <w:p w:rsidR="008127F1" w:rsidRPr="000E2B5A" w:rsidRDefault="008127F1" w:rsidP="008127F1">
      <w:pPr>
        <w:rPr>
          <w:sz w:val="22"/>
          <w:szCs w:val="22"/>
        </w:rPr>
      </w:pPr>
    </w:p>
    <w:p w:rsidR="008127F1" w:rsidRPr="000E2B5A" w:rsidRDefault="008127F1" w:rsidP="008127F1">
      <w:pPr>
        <w:pStyle w:val="Quote"/>
        <w:rPr>
          <w:szCs w:val="22"/>
        </w:rPr>
      </w:pPr>
      <w:r w:rsidRPr="000E2B5A">
        <w:rPr>
          <w:szCs w:val="22"/>
        </w:rPr>
        <w:t>The Arians found prayer to the Logos an unavoidable element of Christian worship... From the attacks of orthodox writers like Ambrose it is clear that the Arians refused to abandon the practice of worshiping Christ; ‘else, if they do not worship the Son, let them admit it, and the case is settled, so that they do not deceive anyone by their professions of religion’.</w:t>
      </w:r>
      <w:r w:rsidRPr="000E2B5A">
        <w:rPr>
          <w:rStyle w:val="FootnoteReference"/>
          <w:szCs w:val="22"/>
        </w:rPr>
        <w:footnoteReference w:id="51"/>
      </w:r>
    </w:p>
    <w:p w:rsidR="008127F1" w:rsidRPr="000E2B5A" w:rsidRDefault="008127F1" w:rsidP="008127F1">
      <w:pPr>
        <w:pStyle w:val="Quote"/>
        <w:rPr>
          <w:szCs w:val="22"/>
        </w:rPr>
      </w:pPr>
    </w:p>
    <w:p w:rsidR="008127F1" w:rsidRPr="000E2B5A" w:rsidRDefault="008127F1" w:rsidP="008127F1">
      <w:pPr>
        <w:rPr>
          <w:sz w:val="22"/>
          <w:szCs w:val="22"/>
        </w:rPr>
      </w:pPr>
      <w:r w:rsidRPr="000E2B5A">
        <w:rPr>
          <w:sz w:val="22"/>
          <w:szCs w:val="22"/>
        </w:rPr>
        <w:t xml:space="preserve">But this is not sufficient to prove Pelikan’s point. In fact, the ambiguity of the situation is clearly demonstrated by the quote from Ambrose, who </w:t>
      </w:r>
      <w:r w:rsidRPr="000E2B5A">
        <w:rPr>
          <w:i/>
          <w:iCs/>
          <w:sz w:val="22"/>
          <w:szCs w:val="22"/>
        </w:rPr>
        <w:t>questions</w:t>
      </w:r>
      <w:r w:rsidRPr="000E2B5A">
        <w:rPr>
          <w:sz w:val="22"/>
          <w:szCs w:val="22"/>
        </w:rPr>
        <w:t xml:space="preserve"> whether they worship the Son or not. This becomes even more obvious when we examine Ambrose’ words in context:</w:t>
      </w:r>
    </w:p>
    <w:p w:rsidR="008127F1" w:rsidRPr="000E2B5A" w:rsidRDefault="008127F1" w:rsidP="008127F1">
      <w:pPr>
        <w:rPr>
          <w:sz w:val="22"/>
          <w:szCs w:val="22"/>
        </w:rPr>
      </w:pPr>
    </w:p>
    <w:p w:rsidR="008127F1" w:rsidRPr="000E2B5A" w:rsidRDefault="008127F1" w:rsidP="008127F1">
      <w:pPr>
        <w:pStyle w:val="Quote"/>
        <w:rPr>
          <w:szCs w:val="22"/>
        </w:rPr>
      </w:pPr>
      <w:r w:rsidRPr="000E2B5A">
        <w:rPr>
          <w:b/>
          <w:bCs/>
          <w:szCs w:val="22"/>
        </w:rPr>
        <w:t>69.</w:t>
      </w:r>
      <w:r w:rsidRPr="000E2B5A">
        <w:rPr>
          <w:szCs w:val="22"/>
        </w:rPr>
        <w:t xml:space="preserve"> But if the Arians believe Him to be a strange God, why do they worship Him, when it is written: “Thou shall worship no strange God”? </w:t>
      </w:r>
      <w:r w:rsidRPr="000E2B5A">
        <w:rPr>
          <w:bCs/>
          <w:szCs w:val="22"/>
        </w:rPr>
        <w:t>Else, if they do not worship the Son, let them confess thereto, and the case is at an end</w:t>
      </w:r>
      <w:r w:rsidRPr="000E2B5A">
        <w:rPr>
          <w:szCs w:val="22"/>
        </w:rPr>
        <w:t>, that</w:t>
      </w:r>
      <w:r w:rsidRPr="000E2B5A">
        <w:rPr>
          <w:bCs/>
          <w:szCs w:val="22"/>
        </w:rPr>
        <w:t xml:space="preserve"> they deceive no one by their professions of religion. </w:t>
      </w:r>
      <w:r w:rsidRPr="000E2B5A">
        <w:rPr>
          <w:szCs w:val="22"/>
        </w:rPr>
        <w:t>This, then, we see, is the witness of the Scriptures. If you have any others to produce, it will be your business to do so.</w:t>
      </w:r>
      <w:r w:rsidRPr="000E2B5A">
        <w:rPr>
          <w:rStyle w:val="FootnoteReference"/>
          <w:szCs w:val="22"/>
        </w:rPr>
        <w:footnoteReference w:id="52"/>
      </w:r>
    </w:p>
    <w:p w:rsidR="008127F1" w:rsidRPr="000E2B5A" w:rsidRDefault="008127F1" w:rsidP="008127F1">
      <w:pPr>
        <w:pStyle w:val="Quote"/>
        <w:rPr>
          <w:szCs w:val="22"/>
        </w:rPr>
      </w:pPr>
    </w:p>
    <w:p w:rsidR="008127F1" w:rsidRPr="000E2B5A" w:rsidRDefault="008127F1" w:rsidP="008127F1">
      <w:pPr>
        <w:rPr>
          <w:sz w:val="22"/>
          <w:szCs w:val="22"/>
        </w:rPr>
      </w:pPr>
      <w:r w:rsidRPr="000E2B5A">
        <w:rPr>
          <w:sz w:val="22"/>
          <w:szCs w:val="22"/>
        </w:rPr>
        <w:t xml:space="preserve">Ambrose is clearly struggling to define the Arian position. He thinks that they </w:t>
      </w:r>
      <w:r w:rsidRPr="000E2B5A">
        <w:rPr>
          <w:i/>
          <w:iCs/>
          <w:sz w:val="22"/>
          <w:szCs w:val="22"/>
        </w:rPr>
        <w:t>might</w:t>
      </w:r>
      <w:r w:rsidRPr="000E2B5A">
        <w:rPr>
          <w:sz w:val="22"/>
          <w:szCs w:val="22"/>
        </w:rPr>
        <w:t xml:space="preserve"> worship the Son, but he cannot be sure. Thus, he requests that they clarify the point. His primary concern,</w:t>
      </w:r>
    </w:p>
    <w:p w:rsidR="001A52B5" w:rsidRPr="000E2B5A" w:rsidRDefault="001A52B5" w:rsidP="008127F1">
      <w:pPr>
        <w:rPr>
          <w:sz w:val="22"/>
          <w:szCs w:val="22"/>
        </w:rPr>
      </w:pPr>
    </w:p>
    <w:p w:rsidR="008127F1" w:rsidRPr="000E2B5A" w:rsidRDefault="008127F1" w:rsidP="008127F1">
      <w:pPr>
        <w:pStyle w:val="Quote"/>
        <w:rPr>
          <w:szCs w:val="22"/>
        </w:rPr>
      </w:pPr>
      <w:r w:rsidRPr="000E2B5A">
        <w:rPr>
          <w:szCs w:val="22"/>
        </w:rPr>
        <w:t>Else, if they do not worship the Son, let them confess thereto, and the case is at an end--that they deceive no one by their professions of religion.</w:t>
      </w:r>
    </w:p>
    <w:p w:rsidR="008127F1" w:rsidRPr="000E2B5A" w:rsidRDefault="008127F1" w:rsidP="008127F1">
      <w:pPr>
        <w:pStyle w:val="Quote"/>
        <w:rPr>
          <w:szCs w:val="22"/>
        </w:rPr>
      </w:pPr>
    </w:p>
    <w:p w:rsidR="008127F1" w:rsidRPr="000E2B5A" w:rsidRDefault="008127F1" w:rsidP="008127F1">
      <w:pPr>
        <w:rPr>
          <w:sz w:val="22"/>
          <w:szCs w:val="22"/>
        </w:rPr>
      </w:pPr>
      <w:r w:rsidRPr="000E2B5A">
        <w:rPr>
          <w:sz w:val="22"/>
          <w:szCs w:val="22"/>
        </w:rPr>
        <w:t>is that they have not actually confessed to worshipping the Son. (Hence his keen desire for an answer.) Ambrose has no solid evidence that they worship the Son – all he has at this stage is their “professions of religion”, which (by his own admission) tell him little. In a later section he writes:</w:t>
      </w:r>
    </w:p>
    <w:p w:rsidR="008127F1" w:rsidRPr="000E2B5A" w:rsidRDefault="008127F1" w:rsidP="008127F1">
      <w:pPr>
        <w:rPr>
          <w:sz w:val="22"/>
          <w:szCs w:val="22"/>
        </w:rPr>
      </w:pPr>
    </w:p>
    <w:p w:rsidR="00E7048A" w:rsidRPr="000E2B5A" w:rsidRDefault="00E7048A" w:rsidP="008127F1">
      <w:pPr>
        <w:rPr>
          <w:sz w:val="22"/>
          <w:szCs w:val="22"/>
        </w:rPr>
      </w:pPr>
    </w:p>
    <w:p w:rsidR="008127F1" w:rsidRPr="000E2B5A" w:rsidRDefault="008127F1" w:rsidP="008127F1">
      <w:pPr>
        <w:pStyle w:val="Quote"/>
        <w:rPr>
          <w:szCs w:val="22"/>
        </w:rPr>
      </w:pPr>
      <w:r w:rsidRPr="000E2B5A">
        <w:rPr>
          <w:b/>
          <w:bCs/>
          <w:szCs w:val="22"/>
        </w:rPr>
        <w:t>103.</w:t>
      </w:r>
      <w:r w:rsidRPr="000E2B5A">
        <w:rPr>
          <w:szCs w:val="22"/>
        </w:rPr>
        <w:t xml:space="preserve"> But in any case let our private judgment pass: let us enquire of Paul, who, filled with the Spirit of God, and so foreseeing these questionings, hath given sentence against pagans in general and Arians in particular, saying that they were by God’s judgment condemned, who served the creature rather than the Creator.</w:t>
      </w:r>
    </w:p>
    <w:p w:rsidR="00E7048A" w:rsidRPr="000E2B5A" w:rsidRDefault="008127F1" w:rsidP="008127F1">
      <w:pPr>
        <w:pStyle w:val="Quote"/>
        <w:rPr>
          <w:szCs w:val="22"/>
        </w:rPr>
      </w:pPr>
      <w:r w:rsidRPr="000E2B5A">
        <w:rPr>
          <w:szCs w:val="22"/>
        </w:rPr>
        <w:br/>
        <w:t>Thus, in fact, you may read: “God gave them over to the lusts of their own heart, that they might one with another dishonour their bodies, they who changed God’s truth into a lie, and worshipped and served the thing created rather than the Creator, Who is God, blessed forever.”</w:t>
      </w:r>
    </w:p>
    <w:p w:rsidR="008127F1" w:rsidRPr="000E2B5A" w:rsidRDefault="008127F1" w:rsidP="008127F1">
      <w:pPr>
        <w:pStyle w:val="Quote"/>
        <w:rPr>
          <w:szCs w:val="22"/>
        </w:rPr>
      </w:pPr>
      <w:r w:rsidRPr="000E2B5A">
        <w:rPr>
          <w:szCs w:val="22"/>
        </w:rPr>
        <w:br/>
      </w:r>
      <w:r w:rsidRPr="000E2B5A">
        <w:rPr>
          <w:b/>
          <w:bCs/>
          <w:szCs w:val="22"/>
        </w:rPr>
        <w:t>104.</w:t>
      </w:r>
      <w:r w:rsidRPr="000E2B5A">
        <w:rPr>
          <w:szCs w:val="22"/>
        </w:rPr>
        <w:t xml:space="preserve"> Thus Paul forbids me to worship a creature, and admonishes me of my duty to serve Christ. It follows, then, that Christ is not a created being.</w:t>
      </w:r>
      <w:r w:rsidRPr="000E2B5A">
        <w:rPr>
          <w:rStyle w:val="FootnoteReference"/>
          <w:szCs w:val="22"/>
        </w:rPr>
        <w:footnoteReference w:id="53"/>
      </w:r>
      <w:r w:rsidRPr="000E2B5A">
        <w:rPr>
          <w:szCs w:val="22"/>
        </w:rPr>
        <w:t xml:space="preserve"> The Apostle calls himself “Paul, a servant of Jesus Christ,” and this good servant, who acknowledges his Lord, will likewise have us not worship that which is created.</w:t>
      </w:r>
    </w:p>
    <w:p w:rsidR="008127F1" w:rsidRPr="000E2B5A" w:rsidRDefault="008127F1" w:rsidP="008127F1">
      <w:pPr>
        <w:pStyle w:val="Quote"/>
        <w:rPr>
          <w:szCs w:val="22"/>
        </w:rPr>
      </w:pPr>
      <w:r w:rsidRPr="000E2B5A">
        <w:rPr>
          <w:szCs w:val="22"/>
        </w:rPr>
        <w:br/>
        <w:t xml:space="preserve">How, then, could he have been himself a servant of Christ, if he thought that Christ was a created person? Let these heretics, then, cease either to worship Him Whom they call a created being, or to call Him a creature, Whom they feign to worship, lest under colour of being worshippers they fall into worse </w:t>
      </w:r>
      <w:r w:rsidRPr="000E2B5A">
        <w:rPr>
          <w:szCs w:val="22"/>
        </w:rPr>
        <w:lastRenderedPageBreak/>
        <w:t>impiety. For a domestic is worse than a foreign foe, and that these men should use the Name of Christ to Christ’s dishonour increaseth their guilt.</w:t>
      </w:r>
      <w:r w:rsidRPr="000E2B5A">
        <w:rPr>
          <w:rStyle w:val="FootnoteReference"/>
          <w:szCs w:val="22"/>
        </w:rPr>
        <w:footnoteReference w:id="54"/>
      </w:r>
      <w:r w:rsidRPr="000E2B5A">
        <w:rPr>
          <w:color w:val="FF0000"/>
          <w:szCs w:val="22"/>
        </w:rPr>
        <w:br/>
      </w:r>
    </w:p>
    <w:p w:rsidR="008127F1" w:rsidRPr="000E2B5A" w:rsidRDefault="008127F1" w:rsidP="008127F1">
      <w:pPr>
        <w:rPr>
          <w:sz w:val="22"/>
          <w:szCs w:val="22"/>
        </w:rPr>
      </w:pPr>
      <w:r w:rsidRPr="000E2B5A">
        <w:rPr>
          <w:sz w:val="22"/>
          <w:szCs w:val="22"/>
        </w:rPr>
        <w:t xml:space="preserve">Here again we see Ambrose’ confusion as he attempts to define the Arian position. Do they believe that Christ is a creature (apparently so)? Do they worship him (that is less clear)? It would seem that </w:t>
      </w:r>
      <w:r w:rsidRPr="000E2B5A">
        <w:rPr>
          <w:i/>
          <w:iCs/>
          <w:sz w:val="22"/>
          <w:szCs w:val="22"/>
        </w:rPr>
        <w:t>some</w:t>
      </w:r>
      <w:r w:rsidRPr="000E2B5A">
        <w:rPr>
          <w:sz w:val="22"/>
          <w:szCs w:val="22"/>
        </w:rPr>
        <w:t xml:space="preserve"> Arians did (or at least, allowed others to believe that they did so; probably for the sake of avoiding excommunication), but Ambrose is highly sceptical, dismissing their alleged worship as “feigned”.</w:t>
      </w:r>
    </w:p>
    <w:p w:rsidR="008127F1" w:rsidRPr="000E2B5A" w:rsidRDefault="008127F1" w:rsidP="008127F1">
      <w:pPr>
        <w:rPr>
          <w:sz w:val="22"/>
          <w:szCs w:val="22"/>
        </w:rPr>
      </w:pPr>
      <w:r w:rsidRPr="000E2B5A">
        <w:rPr>
          <w:sz w:val="22"/>
          <w:szCs w:val="22"/>
        </w:rPr>
        <w:br/>
        <w:t>What he wants to see is open, unashamed worship of the Son as Deity—and yet, that is precisely what the Arians are not doing. It is also interesting to note that although Ambrose frequently compares the Arians with pagans (implying that they are really polytheists and not Christians at all), he has no concrete evidence for such a claim, and so does not press it. Indeed, when Arius was first excommunicated, he was condemned as an “atheist” and not as a polytheist – a charge which would certainly have been laid if he and his fellows had actually worshipped Christ.</w:t>
      </w:r>
      <w:r w:rsidRPr="000E2B5A">
        <w:rPr>
          <w:rStyle w:val="FootnoteReference"/>
          <w:sz w:val="22"/>
          <w:szCs w:val="22"/>
        </w:rPr>
        <w:footnoteReference w:id="55"/>
      </w:r>
    </w:p>
    <w:p w:rsidR="008127F1" w:rsidRPr="000E2B5A" w:rsidRDefault="008127F1" w:rsidP="008127F1">
      <w:pPr>
        <w:rPr>
          <w:sz w:val="22"/>
          <w:szCs w:val="22"/>
        </w:rPr>
      </w:pPr>
      <w:r w:rsidRPr="000E2B5A">
        <w:rPr>
          <w:sz w:val="22"/>
          <w:szCs w:val="22"/>
        </w:rPr>
        <w:br/>
        <w:t>It should also be noted that second or third-hand accounts of various religious practices, by those who did not subscribe to those practices, are frequently inaccurate. Pliny, for example, wrote that the early Christians “sang hymns to Christ as to a god”—but this was merely his interpretation of events, and not an accurate description of what transpired at Christian meetings. In like manner, Tertullian records that many pagans of his day believed the Christians to be sun-worshippers because they met on Sunday and prayed towards the east.</w:t>
      </w:r>
    </w:p>
    <w:p w:rsidR="008127F1" w:rsidRPr="000E2B5A" w:rsidRDefault="008127F1" w:rsidP="008127F1">
      <w:pPr>
        <w:rPr>
          <w:sz w:val="22"/>
          <w:szCs w:val="22"/>
        </w:rPr>
      </w:pPr>
      <w:r w:rsidRPr="000E2B5A">
        <w:rPr>
          <w:sz w:val="22"/>
          <w:szCs w:val="22"/>
        </w:rPr>
        <w:br/>
        <w:t xml:space="preserve">Lacking a substantial argument, Ambrose employs the expedient of ridiculing Arius with misquoted Scripture. To this end he misappropriates </w:t>
      </w:r>
      <w:r w:rsidRPr="000E2B5A">
        <w:rPr>
          <w:bCs/>
          <w:sz w:val="22"/>
          <w:szCs w:val="22"/>
        </w:rPr>
        <w:t>Rom 1:25</w:t>
      </w:r>
      <w:r w:rsidRPr="000E2B5A">
        <w:rPr>
          <w:sz w:val="22"/>
          <w:szCs w:val="22"/>
        </w:rPr>
        <w:t xml:space="preserve"> (“They exchanged the truth of God for a lie and worshiped and served the creation rather than the Creator”).</w:t>
      </w:r>
    </w:p>
    <w:p w:rsidR="008127F1" w:rsidRPr="000E2B5A" w:rsidRDefault="008127F1" w:rsidP="008127F1">
      <w:pPr>
        <w:rPr>
          <w:sz w:val="22"/>
          <w:szCs w:val="22"/>
        </w:rPr>
      </w:pPr>
      <w:r w:rsidRPr="000E2B5A">
        <w:rPr>
          <w:sz w:val="22"/>
          <w:szCs w:val="22"/>
        </w:rPr>
        <w:br/>
        <w:t>Arius’ Christology may be summarised in the following points:</w:t>
      </w:r>
    </w:p>
    <w:p w:rsidR="008127F1" w:rsidRPr="000E2B5A" w:rsidRDefault="008127F1" w:rsidP="008127F1">
      <w:pPr>
        <w:rPr>
          <w:sz w:val="22"/>
          <w:szCs w:val="22"/>
        </w:rPr>
      </w:pPr>
    </w:p>
    <w:p w:rsidR="008127F1" w:rsidRPr="000E2B5A" w:rsidRDefault="008127F1" w:rsidP="008127F1">
      <w:pPr>
        <w:pStyle w:val="ListParagraph"/>
        <w:numPr>
          <w:ilvl w:val="0"/>
          <w:numId w:val="33"/>
        </w:numPr>
        <w:spacing w:after="0" w:line="240" w:lineRule="auto"/>
        <w:ind w:left="360"/>
        <w:rPr>
          <w:sz w:val="22"/>
        </w:rPr>
      </w:pPr>
      <w:r w:rsidRPr="000E2B5A">
        <w:rPr>
          <w:sz w:val="22"/>
        </w:rPr>
        <w:t xml:space="preserve">Jesus is created by God </w:t>
      </w:r>
      <w:r w:rsidRPr="000E2B5A">
        <w:rPr>
          <w:iCs/>
          <w:sz w:val="22"/>
        </w:rPr>
        <w:t>via</w:t>
      </w:r>
      <w:r w:rsidRPr="000E2B5A">
        <w:rPr>
          <w:sz w:val="22"/>
        </w:rPr>
        <w:t xml:space="preserve"> an incomprehensible generation. While he exists as a superlative divine being, he is unquestionably not God Himself.</w:t>
      </w:r>
    </w:p>
    <w:p w:rsidR="008127F1" w:rsidRPr="000E2B5A" w:rsidRDefault="008127F1" w:rsidP="008127F1">
      <w:pPr>
        <w:rPr>
          <w:sz w:val="22"/>
          <w:szCs w:val="22"/>
        </w:rPr>
      </w:pPr>
    </w:p>
    <w:p w:rsidR="008127F1" w:rsidRPr="000E2B5A" w:rsidRDefault="008127F1" w:rsidP="008127F1">
      <w:pPr>
        <w:pStyle w:val="ListParagraph"/>
        <w:numPr>
          <w:ilvl w:val="0"/>
          <w:numId w:val="33"/>
        </w:numPr>
        <w:spacing w:after="0" w:line="240" w:lineRule="auto"/>
        <w:ind w:left="360"/>
        <w:rPr>
          <w:sz w:val="22"/>
        </w:rPr>
      </w:pPr>
      <w:r w:rsidRPr="000E2B5A">
        <w:rPr>
          <w:sz w:val="22"/>
        </w:rPr>
        <w:t xml:space="preserve">Jesus occupies a unique place between the Deity and the rest of creation. He is a created, yet somehow much more than a creature (“a perfect creature, yet not as one among other creatures; a begotten being, yet not as one among other </w:t>
      </w:r>
      <w:r w:rsidRPr="000E2B5A">
        <w:rPr>
          <w:sz w:val="22"/>
        </w:rPr>
        <w:lastRenderedPageBreak/>
        <w:t>begotten beings”).</w:t>
      </w:r>
      <w:r w:rsidRPr="000E2B5A">
        <w:rPr>
          <w:rStyle w:val="FootnoteReference"/>
          <w:sz w:val="22"/>
        </w:rPr>
        <w:footnoteReference w:id="56"/>
      </w:r>
      <w:r w:rsidRPr="000E2B5A">
        <w:rPr>
          <w:sz w:val="22"/>
        </w:rPr>
        <w:t xml:space="preserve"> This paradox would later be exploited by the Arians’ opponents.</w:t>
      </w:r>
    </w:p>
    <w:p w:rsidR="008127F1" w:rsidRPr="000E2B5A" w:rsidRDefault="008127F1" w:rsidP="008127F1">
      <w:pPr>
        <w:rPr>
          <w:sz w:val="22"/>
          <w:szCs w:val="22"/>
        </w:rPr>
      </w:pPr>
    </w:p>
    <w:p w:rsidR="008127F1" w:rsidRPr="000E2B5A" w:rsidRDefault="008127F1" w:rsidP="008127F1">
      <w:pPr>
        <w:pStyle w:val="ListParagraph"/>
        <w:numPr>
          <w:ilvl w:val="0"/>
          <w:numId w:val="33"/>
        </w:numPr>
        <w:spacing w:after="0" w:line="240" w:lineRule="auto"/>
        <w:ind w:left="360"/>
        <w:rPr>
          <w:sz w:val="22"/>
        </w:rPr>
      </w:pPr>
      <w:r w:rsidRPr="000E2B5A">
        <w:rPr>
          <w:sz w:val="22"/>
        </w:rPr>
        <w:t>Jesus is immortal, but not eternal; he exists by the will of the Father. While on Earth, as a man, he was subject to the weaknesses of mortal men.</w:t>
      </w:r>
    </w:p>
    <w:p w:rsidR="008127F1" w:rsidRPr="000E2B5A" w:rsidRDefault="008127F1" w:rsidP="008127F1">
      <w:pPr>
        <w:rPr>
          <w:sz w:val="22"/>
          <w:szCs w:val="22"/>
        </w:rPr>
      </w:pPr>
    </w:p>
    <w:p w:rsidR="008127F1" w:rsidRPr="000E2B5A" w:rsidRDefault="008127F1" w:rsidP="008127F1">
      <w:pPr>
        <w:rPr>
          <w:sz w:val="22"/>
          <w:szCs w:val="22"/>
        </w:rPr>
      </w:pPr>
      <w:r w:rsidRPr="000E2B5A">
        <w:rPr>
          <w:sz w:val="22"/>
          <w:szCs w:val="22"/>
        </w:rPr>
        <w:t>Though known today as “Arianism”, we shall see (next time) that this Christology had previously been taught by a number of early church fathers, using language which was usually similar and often identical.</w:t>
      </w:r>
    </w:p>
    <w:p w:rsidR="008127F1" w:rsidRPr="000E2B5A" w:rsidRDefault="008127F1" w:rsidP="0014388F">
      <w:pPr>
        <w:rPr>
          <w:sz w:val="22"/>
          <w:szCs w:val="22"/>
          <w:lang w:val="en-GB"/>
        </w:rPr>
      </w:pPr>
    </w:p>
    <w:p w:rsidR="003C58FA" w:rsidRPr="000E2B5A" w:rsidRDefault="003C58FA" w:rsidP="003C58FA">
      <w:pPr>
        <w:rPr>
          <w:rFonts w:ascii="Bradley Hand ITC" w:hAnsi="Bradley Hand ITC"/>
          <w:b/>
          <w:sz w:val="28"/>
          <w:lang w:val="en-GB"/>
        </w:rPr>
      </w:pPr>
      <w:r w:rsidRPr="000E2B5A">
        <w:rPr>
          <w:rFonts w:ascii="Bradley Hand ITC" w:hAnsi="Bradley Hand ITC"/>
          <w:b/>
          <w:sz w:val="28"/>
          <w:lang w:val="en-GB"/>
        </w:rPr>
        <w:t>Marginal Notes</w:t>
      </w:r>
    </w:p>
    <w:p w:rsidR="003C58FA" w:rsidRPr="000E2B5A" w:rsidRDefault="003C58FA" w:rsidP="00A75A22">
      <w:pPr>
        <w:jc w:val="center"/>
        <w:rPr>
          <w:sz w:val="22"/>
          <w:lang w:val="en-GB"/>
        </w:rPr>
      </w:pPr>
    </w:p>
    <w:p w:rsidR="003C58FA" w:rsidRPr="000E2B5A" w:rsidRDefault="003C58FA" w:rsidP="003C58FA">
      <w:pPr>
        <w:jc w:val="left"/>
        <w:rPr>
          <w:rFonts w:ascii="Bradley Hand ITC" w:hAnsi="Bradley Hand ITC"/>
          <w:b/>
          <w:lang w:val="en-GB"/>
        </w:rPr>
      </w:pPr>
      <w:r w:rsidRPr="000E2B5A">
        <w:rPr>
          <w:rFonts w:ascii="Bradley Hand ITC" w:hAnsi="Bradley Hand ITC"/>
          <w:b/>
          <w:lang w:val="en-GB"/>
        </w:rPr>
        <w:t>2 Pet 1:21 – AP</w:t>
      </w:r>
    </w:p>
    <w:p w:rsidR="003C58FA" w:rsidRPr="000E2B5A" w:rsidRDefault="003C58FA" w:rsidP="003C58FA">
      <w:pPr>
        <w:rPr>
          <w:sz w:val="22"/>
          <w:szCs w:val="22"/>
          <w:lang w:val="en-GB"/>
        </w:rPr>
      </w:pPr>
    </w:p>
    <w:p w:rsidR="003C58FA" w:rsidRPr="000E2B5A" w:rsidRDefault="003C58FA" w:rsidP="003C58FA">
      <w:pPr>
        <w:pStyle w:val="Quote"/>
        <w:rPr>
          <w:szCs w:val="22"/>
          <w:lang w:eastAsia="en-GB"/>
        </w:rPr>
      </w:pPr>
      <w:r w:rsidRPr="000E2B5A">
        <w:rPr>
          <w:szCs w:val="22"/>
          <w:lang w:eastAsia="en-GB"/>
        </w:rPr>
        <w:t xml:space="preserve">For the prophecy came not in old time by the will of man: but </w:t>
      </w:r>
      <w:r w:rsidRPr="000E2B5A">
        <w:rPr>
          <w:szCs w:val="22"/>
          <w:u w:val="single"/>
          <w:lang w:eastAsia="en-GB"/>
        </w:rPr>
        <w:t>holy men</w:t>
      </w:r>
      <w:r w:rsidRPr="000E2B5A">
        <w:rPr>
          <w:szCs w:val="22"/>
          <w:lang w:eastAsia="en-GB"/>
        </w:rPr>
        <w:t xml:space="preserve"> of God spake </w:t>
      </w:r>
      <w:r w:rsidRPr="000E2B5A">
        <w:rPr>
          <w:i/>
          <w:iCs/>
          <w:szCs w:val="22"/>
          <w:lang w:eastAsia="en-GB"/>
        </w:rPr>
        <w:t xml:space="preserve">as they were </w:t>
      </w:r>
      <w:r w:rsidRPr="000E2B5A">
        <w:rPr>
          <w:szCs w:val="22"/>
          <w:lang w:eastAsia="en-GB"/>
        </w:rPr>
        <w:t>moved by the Holy Ghost. 2 Pet 1:21 (KJV)</w:t>
      </w:r>
    </w:p>
    <w:p w:rsidR="003C58FA" w:rsidRPr="000E2B5A" w:rsidRDefault="003C58FA" w:rsidP="003C58FA">
      <w:pPr>
        <w:rPr>
          <w:sz w:val="22"/>
          <w:szCs w:val="22"/>
          <w:lang w:val="en-GB" w:eastAsia="en-GB" w:bidi="he-IL"/>
        </w:rPr>
      </w:pPr>
    </w:p>
    <w:p w:rsidR="003C58FA" w:rsidRPr="000E2B5A" w:rsidRDefault="003C58FA" w:rsidP="003C58FA">
      <w:pPr>
        <w:rPr>
          <w:sz w:val="22"/>
          <w:szCs w:val="22"/>
          <w:lang w:val="en-GB" w:eastAsia="en-GB" w:bidi="he-IL"/>
        </w:rPr>
      </w:pPr>
      <w:r w:rsidRPr="000E2B5A">
        <w:rPr>
          <w:sz w:val="22"/>
          <w:szCs w:val="22"/>
          <w:lang w:val="en-GB" w:eastAsia="en-GB" w:bidi="he-IL"/>
        </w:rPr>
        <w:t xml:space="preserve">Some time ago an email correspondent </w:t>
      </w:r>
      <w:r w:rsidR="00CB6CF3" w:rsidRPr="000E2B5A">
        <w:rPr>
          <w:sz w:val="22"/>
          <w:szCs w:val="22"/>
          <w:lang w:val="en-GB" w:eastAsia="en-GB" w:bidi="he-IL"/>
        </w:rPr>
        <w:t>wrote</w:t>
      </w:r>
      <w:r w:rsidR="00542715" w:rsidRPr="000E2B5A">
        <w:rPr>
          <w:sz w:val="22"/>
          <w:szCs w:val="22"/>
          <w:lang w:val="en-GB" w:eastAsia="en-GB" w:bidi="he-IL"/>
        </w:rPr>
        <w:t xml:space="preserve"> to me</w:t>
      </w:r>
      <w:r w:rsidRPr="000E2B5A">
        <w:rPr>
          <w:sz w:val="22"/>
          <w:szCs w:val="22"/>
          <w:lang w:val="en-GB" w:eastAsia="en-GB" w:bidi="he-IL"/>
        </w:rPr>
        <w:t>, “</w:t>
      </w:r>
      <w:r w:rsidRPr="000E2B5A">
        <w:rPr>
          <w:sz w:val="22"/>
          <w:szCs w:val="22"/>
        </w:rPr>
        <w:t>I believe most of the OT was rewritten under inspiration and I don't see that God only raised up specific prophets to give His word</w:t>
      </w:r>
      <w:r w:rsidR="0041278C" w:rsidRPr="000E2B5A">
        <w:rPr>
          <w:sz w:val="22"/>
          <w:szCs w:val="22"/>
        </w:rPr>
        <w:t>—</w:t>
      </w:r>
      <w:r w:rsidRPr="000E2B5A">
        <w:rPr>
          <w:sz w:val="22"/>
          <w:szCs w:val="22"/>
        </w:rPr>
        <w:t>the Pentateuch was evidently edited in places, those redactions are still inspired, so those who did them were in that sense prophets”</w:t>
      </w:r>
      <w:r w:rsidR="0041278C" w:rsidRPr="000E2B5A">
        <w:rPr>
          <w:sz w:val="22"/>
          <w:szCs w:val="22"/>
        </w:rPr>
        <w:t>.</w:t>
      </w:r>
    </w:p>
    <w:p w:rsidR="003C58FA" w:rsidRPr="000E2B5A" w:rsidRDefault="003C58FA" w:rsidP="003C58FA">
      <w:pPr>
        <w:rPr>
          <w:sz w:val="22"/>
          <w:szCs w:val="22"/>
          <w:lang w:val="en-GB"/>
        </w:rPr>
      </w:pPr>
    </w:p>
    <w:p w:rsidR="003C58FA" w:rsidRPr="000E2B5A" w:rsidRDefault="003C58FA" w:rsidP="003C58FA">
      <w:pPr>
        <w:rPr>
          <w:sz w:val="22"/>
          <w:szCs w:val="22"/>
          <w:lang w:val="en-GB"/>
        </w:rPr>
      </w:pPr>
      <w:r w:rsidRPr="000E2B5A">
        <w:rPr>
          <w:sz w:val="22"/>
          <w:szCs w:val="22"/>
          <w:lang w:val="en-GB"/>
        </w:rPr>
        <w:t>Is this view consistent with 2 Pet 1:21? The correspondent, who ha</w:t>
      </w:r>
      <w:r w:rsidR="0041278C" w:rsidRPr="000E2B5A">
        <w:rPr>
          <w:sz w:val="22"/>
          <w:szCs w:val="22"/>
          <w:lang w:val="en-GB"/>
        </w:rPr>
        <w:t>d</w:t>
      </w:r>
      <w:r w:rsidRPr="000E2B5A">
        <w:rPr>
          <w:sz w:val="22"/>
          <w:szCs w:val="22"/>
          <w:lang w:val="en-GB"/>
        </w:rPr>
        <w:t xml:space="preserve"> read modern Bible scholarship, </w:t>
      </w:r>
      <w:r w:rsidR="00542715" w:rsidRPr="000E2B5A">
        <w:rPr>
          <w:sz w:val="22"/>
          <w:szCs w:val="22"/>
          <w:lang w:val="en-GB"/>
        </w:rPr>
        <w:t>was</w:t>
      </w:r>
      <w:r w:rsidRPr="000E2B5A">
        <w:rPr>
          <w:sz w:val="22"/>
          <w:szCs w:val="22"/>
          <w:lang w:val="en-GB"/>
        </w:rPr>
        <w:t xml:space="preserve"> aware of the view that OT books are the result of authors and editors, and sometimes, many editorial layers are identified in a book</w:t>
      </w:r>
      <w:r w:rsidR="0041278C" w:rsidRPr="000E2B5A">
        <w:rPr>
          <w:sz w:val="22"/>
          <w:szCs w:val="22"/>
          <w:lang w:val="en-GB"/>
        </w:rPr>
        <w:t xml:space="preserve"> by scholars</w:t>
      </w:r>
      <w:r w:rsidRPr="000E2B5A">
        <w:rPr>
          <w:sz w:val="22"/>
          <w:szCs w:val="22"/>
          <w:lang w:val="en-GB"/>
        </w:rPr>
        <w:t>. Would such hypothetical editor</w:t>
      </w:r>
      <w:r w:rsidR="0041278C" w:rsidRPr="000E2B5A">
        <w:rPr>
          <w:sz w:val="22"/>
          <w:szCs w:val="22"/>
          <w:lang w:val="en-GB"/>
        </w:rPr>
        <w:t>s</w:t>
      </w:r>
      <w:r w:rsidRPr="000E2B5A">
        <w:rPr>
          <w:sz w:val="22"/>
          <w:szCs w:val="22"/>
          <w:lang w:val="en-GB"/>
        </w:rPr>
        <w:t xml:space="preserve"> be “holy </w:t>
      </w:r>
      <w:r w:rsidR="0041278C" w:rsidRPr="000E2B5A">
        <w:rPr>
          <w:sz w:val="22"/>
          <w:szCs w:val="22"/>
          <w:lang w:val="en-GB"/>
        </w:rPr>
        <w:t>me</w:t>
      </w:r>
      <w:r w:rsidRPr="000E2B5A">
        <w:rPr>
          <w:sz w:val="22"/>
          <w:szCs w:val="22"/>
          <w:lang w:val="en-GB"/>
        </w:rPr>
        <w:t>n” or is the view of the apostle Peter different to that of the correspondent?</w:t>
      </w:r>
    </w:p>
    <w:p w:rsidR="0041278C" w:rsidRPr="000E2B5A" w:rsidRDefault="0041278C" w:rsidP="003C58FA">
      <w:pPr>
        <w:rPr>
          <w:sz w:val="22"/>
          <w:szCs w:val="22"/>
          <w:lang w:val="en-GB"/>
        </w:rPr>
      </w:pPr>
    </w:p>
    <w:p w:rsidR="005E7B1C" w:rsidRPr="000E2B5A" w:rsidRDefault="003C58FA" w:rsidP="003C58FA">
      <w:pPr>
        <w:rPr>
          <w:sz w:val="22"/>
          <w:szCs w:val="22"/>
          <w:lang w:val="en-GB"/>
        </w:rPr>
      </w:pPr>
      <w:r w:rsidRPr="000E2B5A">
        <w:rPr>
          <w:sz w:val="22"/>
          <w:szCs w:val="22"/>
          <w:lang w:val="en-GB"/>
        </w:rPr>
        <w:t>The hand of copyists and</w:t>
      </w:r>
      <w:r w:rsidR="0041278C" w:rsidRPr="000E2B5A">
        <w:rPr>
          <w:sz w:val="22"/>
          <w:szCs w:val="22"/>
          <w:lang w:val="en-GB"/>
        </w:rPr>
        <w:t>/or</w:t>
      </w:r>
      <w:r w:rsidR="002C2A23" w:rsidRPr="000E2B5A">
        <w:rPr>
          <w:sz w:val="22"/>
          <w:szCs w:val="22"/>
          <w:lang w:val="en-GB"/>
        </w:rPr>
        <w:t xml:space="preserve"> editor</w:t>
      </w:r>
      <w:r w:rsidR="0041278C" w:rsidRPr="000E2B5A">
        <w:rPr>
          <w:sz w:val="22"/>
          <w:szCs w:val="22"/>
          <w:lang w:val="en-GB"/>
        </w:rPr>
        <w:t>s</w:t>
      </w:r>
      <w:r w:rsidR="002C2A23" w:rsidRPr="000E2B5A">
        <w:rPr>
          <w:sz w:val="22"/>
          <w:szCs w:val="22"/>
          <w:lang w:val="en-GB"/>
        </w:rPr>
        <w:t xml:space="preserve"> (in addition to that of an original author) can be identified in the OT text at well known points. </w:t>
      </w:r>
      <w:r w:rsidR="005E7B1C" w:rsidRPr="000E2B5A">
        <w:rPr>
          <w:sz w:val="22"/>
          <w:szCs w:val="22"/>
          <w:lang w:val="en-GB"/>
        </w:rPr>
        <w:t xml:space="preserve">These are not many, but they are not the basis for the scholarly view which is rather based on a differential analysis of the text of a book. </w:t>
      </w:r>
    </w:p>
    <w:p w:rsidR="005E7B1C" w:rsidRPr="000E2B5A" w:rsidRDefault="005E7B1C" w:rsidP="003C58FA">
      <w:pPr>
        <w:rPr>
          <w:sz w:val="22"/>
          <w:szCs w:val="22"/>
          <w:lang w:val="en-GB"/>
        </w:rPr>
      </w:pPr>
    </w:p>
    <w:p w:rsidR="002C2A23" w:rsidRPr="000E2B5A" w:rsidRDefault="005E7B1C" w:rsidP="003C58FA">
      <w:pPr>
        <w:rPr>
          <w:sz w:val="22"/>
          <w:szCs w:val="22"/>
          <w:lang w:val="en-GB"/>
        </w:rPr>
      </w:pPr>
      <w:r w:rsidRPr="000E2B5A">
        <w:rPr>
          <w:sz w:val="22"/>
          <w:szCs w:val="22"/>
          <w:lang w:val="en-GB"/>
        </w:rPr>
        <w:t xml:space="preserve">Some OT books have no authorship superscriptions, and so we can be more flexible and hypothetical in our appraisal of, say, </w:t>
      </w:r>
      <w:r w:rsidR="002C2A23" w:rsidRPr="000E2B5A">
        <w:rPr>
          <w:sz w:val="22"/>
          <w:szCs w:val="22"/>
          <w:lang w:val="en-GB"/>
        </w:rPr>
        <w:t>the authorship of Kings and Chronicles</w:t>
      </w:r>
      <w:r w:rsidRPr="000E2B5A">
        <w:rPr>
          <w:sz w:val="22"/>
          <w:szCs w:val="22"/>
          <w:lang w:val="en-GB"/>
        </w:rPr>
        <w:t>.</w:t>
      </w:r>
      <w:r w:rsidR="002C2A23" w:rsidRPr="000E2B5A">
        <w:rPr>
          <w:sz w:val="22"/>
          <w:szCs w:val="22"/>
          <w:lang w:val="en-GB"/>
        </w:rPr>
        <w:t xml:space="preserve"> </w:t>
      </w:r>
      <w:r w:rsidRPr="000E2B5A">
        <w:rPr>
          <w:sz w:val="22"/>
          <w:szCs w:val="22"/>
          <w:lang w:val="en-GB"/>
        </w:rPr>
        <w:t>However, t</w:t>
      </w:r>
      <w:r w:rsidR="002C2A23" w:rsidRPr="000E2B5A">
        <w:rPr>
          <w:sz w:val="22"/>
          <w:szCs w:val="22"/>
          <w:lang w:val="en-GB"/>
        </w:rPr>
        <w:t xml:space="preserve">he observation in 2 Peter is clearly applied at least to the books that have ascribed authors such as Isaiah or Jeremiah—i.e. The Prophets. In respect of these books, Second Temple writers do not know about the existence of </w:t>
      </w:r>
      <w:r w:rsidR="002C2A23" w:rsidRPr="000E2B5A">
        <w:rPr>
          <w:sz w:val="22"/>
          <w:szCs w:val="22"/>
          <w:lang w:val="en-GB"/>
        </w:rPr>
        <w:lastRenderedPageBreak/>
        <w:t>multiple editors. So, is our correspondent right to follow the modern critical approach in hypothesizing about editors</w:t>
      </w:r>
      <w:r w:rsidR="00D83309" w:rsidRPr="000E2B5A">
        <w:rPr>
          <w:sz w:val="22"/>
          <w:szCs w:val="22"/>
          <w:lang w:val="en-GB"/>
        </w:rPr>
        <w:t xml:space="preserve"> for “most of the OT”</w:t>
      </w:r>
      <w:r w:rsidR="002C2A23" w:rsidRPr="000E2B5A">
        <w:rPr>
          <w:sz w:val="22"/>
          <w:szCs w:val="22"/>
          <w:lang w:val="en-GB"/>
        </w:rPr>
        <w:t>? S/he allows that the</w:t>
      </w:r>
      <w:r w:rsidR="00CB6CF3" w:rsidRPr="000E2B5A">
        <w:rPr>
          <w:sz w:val="22"/>
          <w:szCs w:val="22"/>
          <w:lang w:val="en-GB"/>
        </w:rPr>
        <w:t xml:space="preserve"> OT books</w:t>
      </w:r>
      <w:r w:rsidR="002C2A23" w:rsidRPr="000E2B5A">
        <w:rPr>
          <w:sz w:val="22"/>
          <w:szCs w:val="22"/>
          <w:lang w:val="en-GB"/>
        </w:rPr>
        <w:t xml:space="preserve"> are inspired, but is this the right way to harmonize the doc</w:t>
      </w:r>
      <w:r w:rsidR="003E271E" w:rsidRPr="000E2B5A">
        <w:rPr>
          <w:sz w:val="22"/>
          <w:szCs w:val="22"/>
          <w:lang w:val="en-GB"/>
        </w:rPr>
        <w:t>trine of inspiration with</w:t>
      </w:r>
      <w:r w:rsidR="002C2A23" w:rsidRPr="000E2B5A">
        <w:rPr>
          <w:sz w:val="22"/>
          <w:szCs w:val="22"/>
          <w:lang w:val="en-GB"/>
        </w:rPr>
        <w:t xml:space="preserve"> Biblical Criticism?</w:t>
      </w:r>
    </w:p>
    <w:p w:rsidR="00542715" w:rsidRPr="000E2B5A" w:rsidRDefault="00542715" w:rsidP="003C58FA">
      <w:pPr>
        <w:rPr>
          <w:sz w:val="22"/>
          <w:szCs w:val="22"/>
          <w:lang w:val="en-GB"/>
        </w:rPr>
      </w:pPr>
    </w:p>
    <w:p w:rsidR="00542715" w:rsidRPr="000E2B5A" w:rsidRDefault="00542715" w:rsidP="003C58FA">
      <w:pPr>
        <w:rPr>
          <w:sz w:val="22"/>
          <w:szCs w:val="22"/>
          <w:lang w:val="en-GB"/>
        </w:rPr>
      </w:pPr>
      <w:r w:rsidRPr="000E2B5A">
        <w:rPr>
          <w:sz w:val="22"/>
          <w:szCs w:val="22"/>
          <w:lang w:val="en-GB"/>
        </w:rPr>
        <w:t xml:space="preserve">The challenge that 2 Pet 1:21 lays down is this: if editors existed for the prophetic books and if they had the substantial role that OT scholars give them, why do Second Temple writers know nothing of them? Why does Peter instead regard prophecy as coming from an individual who had the status of a </w:t>
      </w:r>
      <w:r w:rsidRPr="000E2B5A">
        <w:rPr>
          <w:b/>
          <w:sz w:val="22"/>
          <w:szCs w:val="22"/>
          <w:lang w:val="en-GB"/>
        </w:rPr>
        <w:t>holy man</w:t>
      </w:r>
      <w:r w:rsidRPr="000E2B5A">
        <w:rPr>
          <w:sz w:val="22"/>
          <w:szCs w:val="22"/>
          <w:lang w:val="en-GB"/>
        </w:rPr>
        <w:t>?</w:t>
      </w:r>
      <w:r w:rsidR="005E7B1C" w:rsidRPr="000E2B5A">
        <w:rPr>
          <w:sz w:val="22"/>
          <w:szCs w:val="22"/>
          <w:lang w:val="en-GB"/>
        </w:rPr>
        <w:t xml:space="preserve"> </w:t>
      </w:r>
      <w:r w:rsidRPr="000E2B5A">
        <w:rPr>
          <w:sz w:val="22"/>
          <w:szCs w:val="22"/>
          <w:lang w:val="en-GB"/>
        </w:rPr>
        <w:t xml:space="preserve">  </w:t>
      </w:r>
    </w:p>
    <w:p w:rsidR="00243E4A" w:rsidRPr="000E2B5A" w:rsidRDefault="00243E4A" w:rsidP="003C58FA">
      <w:pPr>
        <w:rPr>
          <w:sz w:val="22"/>
          <w:szCs w:val="22"/>
          <w:lang w:val="en-GB"/>
        </w:rPr>
      </w:pPr>
    </w:p>
    <w:p w:rsidR="00243E4A" w:rsidRPr="000E2B5A" w:rsidRDefault="00243E4A" w:rsidP="003C58FA">
      <w:pPr>
        <w:rPr>
          <w:sz w:val="22"/>
          <w:szCs w:val="22"/>
          <w:lang w:val="en-GB"/>
        </w:rPr>
      </w:pPr>
      <w:r w:rsidRPr="000E2B5A">
        <w:rPr>
          <w:sz w:val="22"/>
          <w:szCs w:val="22"/>
          <w:lang w:val="en-GB"/>
        </w:rPr>
        <w:t>Or again, we might cite,</w:t>
      </w:r>
    </w:p>
    <w:p w:rsidR="003C58FA" w:rsidRPr="000E2B5A" w:rsidRDefault="002C2A23" w:rsidP="003C58FA">
      <w:pPr>
        <w:rPr>
          <w:sz w:val="22"/>
          <w:szCs w:val="22"/>
          <w:lang w:val="en-GB"/>
        </w:rPr>
      </w:pPr>
      <w:r w:rsidRPr="000E2B5A">
        <w:rPr>
          <w:sz w:val="22"/>
          <w:szCs w:val="22"/>
          <w:lang w:val="en-GB"/>
        </w:rPr>
        <w:t xml:space="preserve"> </w:t>
      </w:r>
    </w:p>
    <w:p w:rsidR="00542715" w:rsidRPr="000E2B5A" w:rsidRDefault="00542715" w:rsidP="00542715">
      <w:pPr>
        <w:pStyle w:val="Quote"/>
        <w:rPr>
          <w:szCs w:val="22"/>
          <w:lang w:eastAsia="en-GB"/>
        </w:rPr>
      </w:pPr>
      <w:r w:rsidRPr="000E2B5A">
        <w:rPr>
          <w:szCs w:val="22"/>
          <w:lang w:eastAsia="en-GB"/>
        </w:rPr>
        <w:t xml:space="preserve">Of which salvation </w:t>
      </w:r>
      <w:r w:rsidRPr="000E2B5A">
        <w:rPr>
          <w:szCs w:val="22"/>
          <w:u w:val="single"/>
          <w:lang w:eastAsia="en-GB"/>
        </w:rPr>
        <w:t>the prophets</w:t>
      </w:r>
      <w:r w:rsidRPr="000E2B5A">
        <w:rPr>
          <w:szCs w:val="22"/>
          <w:lang w:eastAsia="en-GB"/>
        </w:rPr>
        <w:t xml:space="preserve"> have enquired and searched diligently, who prophesied of the grace </w:t>
      </w:r>
      <w:r w:rsidRPr="000E2B5A">
        <w:rPr>
          <w:i/>
          <w:iCs/>
          <w:szCs w:val="22"/>
          <w:lang w:eastAsia="en-GB"/>
        </w:rPr>
        <w:t xml:space="preserve">that should come </w:t>
      </w:r>
      <w:r w:rsidRPr="000E2B5A">
        <w:rPr>
          <w:szCs w:val="22"/>
          <w:lang w:eastAsia="en-GB"/>
        </w:rPr>
        <w:t xml:space="preserve">unto you: Searching what, or what manner of time </w:t>
      </w:r>
      <w:r w:rsidRPr="000E2B5A">
        <w:rPr>
          <w:szCs w:val="22"/>
          <w:u w:val="single"/>
          <w:lang w:eastAsia="en-GB"/>
        </w:rPr>
        <w:t>the Spirit of Christ which was in them</w:t>
      </w:r>
      <w:r w:rsidRPr="000E2B5A">
        <w:rPr>
          <w:szCs w:val="22"/>
          <w:lang w:eastAsia="en-GB"/>
        </w:rPr>
        <w:t xml:space="preserve"> did signify, when it testified beforehand the sufferings of Christ, and the glory that should follow. 1 Pet 1:10-11 (KJV)</w:t>
      </w:r>
    </w:p>
    <w:p w:rsidR="00542715" w:rsidRPr="000E2B5A" w:rsidRDefault="00542715" w:rsidP="00542715">
      <w:pPr>
        <w:rPr>
          <w:sz w:val="22"/>
          <w:szCs w:val="22"/>
          <w:lang w:eastAsia="en-GB" w:bidi="he-IL"/>
        </w:rPr>
      </w:pPr>
    </w:p>
    <w:p w:rsidR="00542715" w:rsidRPr="000E2B5A" w:rsidRDefault="00542715" w:rsidP="00542715">
      <w:pPr>
        <w:rPr>
          <w:sz w:val="22"/>
          <w:szCs w:val="22"/>
          <w:lang w:eastAsia="en-GB" w:bidi="he-IL"/>
        </w:rPr>
      </w:pPr>
      <w:r w:rsidRPr="000E2B5A">
        <w:rPr>
          <w:sz w:val="22"/>
          <w:szCs w:val="22"/>
          <w:lang w:eastAsia="en-GB" w:bidi="he-IL"/>
        </w:rPr>
        <w:t xml:space="preserve">Peter here states his view about prophets in a different way. He recognizes </w:t>
      </w:r>
      <w:r w:rsidR="00C75CAF" w:rsidRPr="000E2B5A">
        <w:rPr>
          <w:sz w:val="22"/>
          <w:szCs w:val="22"/>
          <w:lang w:eastAsia="en-GB" w:bidi="he-IL"/>
        </w:rPr>
        <w:t>a group</w:t>
      </w:r>
      <w:r w:rsidRPr="000E2B5A">
        <w:rPr>
          <w:sz w:val="22"/>
          <w:szCs w:val="22"/>
          <w:lang w:eastAsia="en-GB" w:bidi="he-IL"/>
        </w:rPr>
        <w:t xml:space="preserve"> of individuals who saw things and wrote them down and then studied and prayed about the things that they had prophesied. </w:t>
      </w:r>
      <w:r w:rsidR="00CB6CF3" w:rsidRPr="000E2B5A">
        <w:rPr>
          <w:sz w:val="22"/>
          <w:szCs w:val="22"/>
          <w:lang w:eastAsia="en-GB" w:bidi="he-IL"/>
        </w:rPr>
        <w:t xml:space="preserve">They had the Spirit of Christ. </w:t>
      </w:r>
      <w:r w:rsidRPr="000E2B5A">
        <w:rPr>
          <w:sz w:val="22"/>
          <w:szCs w:val="22"/>
          <w:lang w:eastAsia="en-GB" w:bidi="he-IL"/>
        </w:rPr>
        <w:t xml:space="preserve">He doesn’t have much of a place </w:t>
      </w:r>
      <w:r w:rsidR="00C75CAF" w:rsidRPr="000E2B5A">
        <w:rPr>
          <w:sz w:val="22"/>
          <w:szCs w:val="22"/>
          <w:lang w:eastAsia="en-GB" w:bidi="he-IL"/>
        </w:rPr>
        <w:t xml:space="preserve">here </w:t>
      </w:r>
      <w:r w:rsidRPr="000E2B5A">
        <w:rPr>
          <w:sz w:val="22"/>
          <w:szCs w:val="22"/>
          <w:lang w:eastAsia="en-GB" w:bidi="he-IL"/>
        </w:rPr>
        <w:t xml:space="preserve">for the concept of an editor or </w:t>
      </w:r>
      <w:r w:rsidR="00C75CAF" w:rsidRPr="000E2B5A">
        <w:rPr>
          <w:sz w:val="22"/>
          <w:szCs w:val="22"/>
          <w:lang w:eastAsia="en-GB" w:bidi="he-IL"/>
        </w:rPr>
        <w:t xml:space="preserve">a </w:t>
      </w:r>
      <w:r w:rsidRPr="000E2B5A">
        <w:rPr>
          <w:sz w:val="22"/>
          <w:szCs w:val="22"/>
          <w:lang w:eastAsia="en-GB" w:bidi="he-IL"/>
        </w:rPr>
        <w:t xml:space="preserve">redactor of the prophetic books. </w:t>
      </w:r>
      <w:r w:rsidR="00243E4A" w:rsidRPr="000E2B5A">
        <w:rPr>
          <w:sz w:val="22"/>
          <w:szCs w:val="22"/>
          <w:lang w:eastAsia="en-GB" w:bidi="he-IL"/>
        </w:rPr>
        <w:t>Such hypothetical individuals are not said to have the Spirit of Christ.</w:t>
      </w:r>
    </w:p>
    <w:p w:rsidR="00542715" w:rsidRPr="000E2B5A" w:rsidRDefault="00542715" w:rsidP="00542715">
      <w:pPr>
        <w:rPr>
          <w:sz w:val="22"/>
          <w:szCs w:val="22"/>
          <w:lang w:eastAsia="en-GB" w:bidi="he-IL"/>
        </w:rPr>
      </w:pPr>
    </w:p>
    <w:p w:rsidR="00A75A22" w:rsidRPr="000E2B5A" w:rsidRDefault="00A75A22" w:rsidP="00C75CAF">
      <w:pPr>
        <w:jc w:val="center"/>
        <w:rPr>
          <w:rFonts w:ascii="Bradley Hand ITC" w:hAnsi="Bradley Hand ITC"/>
          <w:b/>
          <w:sz w:val="28"/>
          <w:lang w:val="en-GB"/>
        </w:rPr>
      </w:pPr>
      <w:r w:rsidRPr="000E2B5A">
        <w:rPr>
          <w:sz w:val="22"/>
          <w:szCs w:val="22"/>
          <w:lang w:val="en-GB"/>
        </w:rPr>
        <w:br w:type="page"/>
      </w:r>
      <w:r w:rsidRPr="000E2B5A">
        <w:rPr>
          <w:rFonts w:ascii="Bradley Hand ITC" w:hAnsi="Bradley Hand ITC"/>
          <w:b/>
          <w:sz w:val="28"/>
          <w:lang w:val="en-GB"/>
        </w:rPr>
        <w:lastRenderedPageBreak/>
        <w:t>Discussion</w:t>
      </w:r>
    </w:p>
    <w:p w:rsidR="00A75A22" w:rsidRPr="000E2B5A" w:rsidRDefault="00A75A22" w:rsidP="0014388F">
      <w:pPr>
        <w:rPr>
          <w:sz w:val="22"/>
          <w:lang w:val="en-GB"/>
        </w:rPr>
      </w:pPr>
    </w:p>
    <w:p w:rsidR="00A75A22" w:rsidRPr="000E2B5A" w:rsidRDefault="00A75A22" w:rsidP="0014388F">
      <w:pPr>
        <w:rPr>
          <w:sz w:val="22"/>
          <w:lang w:val="en-GB"/>
        </w:rPr>
      </w:pPr>
      <w:r w:rsidRPr="000E2B5A">
        <w:rPr>
          <w:sz w:val="22"/>
          <w:lang w:val="en-GB"/>
        </w:rPr>
        <w:t xml:space="preserve">These articles present two points of view about the date of the deliverance </w:t>
      </w:r>
      <w:r w:rsidR="002E0945" w:rsidRPr="000E2B5A">
        <w:rPr>
          <w:sz w:val="22"/>
          <w:lang w:val="en-GB"/>
        </w:rPr>
        <w:t xml:space="preserve">of Jerusalem </w:t>
      </w:r>
      <w:r w:rsidRPr="000E2B5A">
        <w:rPr>
          <w:sz w:val="22"/>
          <w:lang w:val="en-GB"/>
        </w:rPr>
        <w:t xml:space="preserve">wrought by the Angel of the Lord in the days of Hezekiah. The first argues for Passover deliverance in March/April of 701 (Nissan); the second argues for deliverance in the autumn </w:t>
      </w:r>
      <w:r w:rsidR="002E0945" w:rsidRPr="000E2B5A">
        <w:rPr>
          <w:sz w:val="22"/>
          <w:lang w:val="en-GB"/>
        </w:rPr>
        <w:t>of 701</w:t>
      </w:r>
      <w:r w:rsidR="005E7B5F" w:rsidRPr="000E2B5A">
        <w:rPr>
          <w:sz w:val="22"/>
          <w:lang w:val="en-GB"/>
        </w:rPr>
        <w:t xml:space="preserve"> (six months later)</w:t>
      </w:r>
      <w:r w:rsidR="002E0945" w:rsidRPr="000E2B5A">
        <w:rPr>
          <w:sz w:val="22"/>
          <w:lang w:val="en-GB"/>
        </w:rPr>
        <w:t xml:space="preserve">. The articles assume the modern harmonisation of Assyrian and Biblical chronology; if this wrong, the </w:t>
      </w:r>
      <w:r w:rsidR="00605673" w:rsidRPr="000E2B5A">
        <w:rPr>
          <w:sz w:val="22"/>
          <w:lang w:val="en-GB"/>
        </w:rPr>
        <w:t xml:space="preserve">articles will be wrong in their assignment of the deliverance to 701, although what they say about the Passover </w:t>
      </w:r>
      <w:r w:rsidR="00686F82" w:rsidRPr="000E2B5A">
        <w:rPr>
          <w:sz w:val="22"/>
          <w:lang w:val="en-GB"/>
        </w:rPr>
        <w:t xml:space="preserve">allusions of </w:t>
      </w:r>
      <w:r w:rsidR="00605673" w:rsidRPr="000E2B5A">
        <w:rPr>
          <w:sz w:val="22"/>
          <w:lang w:val="en-GB"/>
        </w:rPr>
        <w:t>the deliverance will still be of value.</w:t>
      </w:r>
    </w:p>
    <w:p w:rsidR="00A75A22" w:rsidRPr="000E2B5A" w:rsidRDefault="00A75A22" w:rsidP="0014388F">
      <w:pPr>
        <w:rPr>
          <w:sz w:val="22"/>
          <w:lang w:val="en-GB"/>
        </w:rPr>
      </w:pPr>
    </w:p>
    <w:p w:rsidR="00D42BC2" w:rsidRPr="000E2B5A" w:rsidRDefault="00D42BC2" w:rsidP="00D42BC2">
      <w:pPr>
        <w:jc w:val="center"/>
        <w:rPr>
          <w:rFonts w:ascii="Bradley Hand ITC" w:hAnsi="Bradley Hand ITC"/>
          <w:b/>
          <w:sz w:val="28"/>
          <w:szCs w:val="36"/>
        </w:rPr>
      </w:pPr>
      <w:r w:rsidRPr="000E2B5A">
        <w:rPr>
          <w:rFonts w:ascii="Bradley Hand ITC" w:hAnsi="Bradley Hand ITC"/>
          <w:b/>
          <w:sz w:val="28"/>
          <w:szCs w:val="36"/>
        </w:rPr>
        <w:t>Passover Deliverance in 701</w:t>
      </w:r>
    </w:p>
    <w:p w:rsidR="00D42BC2" w:rsidRPr="000E2B5A" w:rsidRDefault="00D42BC2" w:rsidP="00D42BC2">
      <w:pPr>
        <w:jc w:val="center"/>
        <w:rPr>
          <w:rFonts w:ascii="Bradley Hand ITC" w:hAnsi="Bradley Hand ITC"/>
          <w:b/>
          <w:sz w:val="28"/>
          <w:szCs w:val="36"/>
        </w:rPr>
      </w:pPr>
      <w:r w:rsidRPr="000E2B5A">
        <w:rPr>
          <w:rFonts w:ascii="Bradley Hand ITC" w:hAnsi="Bradley Hand ITC"/>
          <w:b/>
          <w:sz w:val="28"/>
          <w:szCs w:val="36"/>
        </w:rPr>
        <w:t>P. Wyns</w:t>
      </w:r>
    </w:p>
    <w:p w:rsidR="00D42BC2" w:rsidRPr="000E2B5A" w:rsidRDefault="00D42BC2" w:rsidP="00D42BC2">
      <w:pPr>
        <w:rPr>
          <w:szCs w:val="36"/>
        </w:rPr>
      </w:pPr>
    </w:p>
    <w:p w:rsidR="00D42BC2" w:rsidRPr="000E2B5A" w:rsidRDefault="00D42BC2" w:rsidP="00D42BC2">
      <w:pPr>
        <w:rPr>
          <w:rFonts w:ascii="Bradley Hand ITC" w:hAnsi="Bradley Hand ITC"/>
          <w:b/>
          <w:sz w:val="28"/>
          <w:szCs w:val="36"/>
        </w:rPr>
      </w:pPr>
      <w:r w:rsidRPr="000E2B5A">
        <w:rPr>
          <w:rFonts w:ascii="Bradley Hand ITC" w:hAnsi="Bradley Hand ITC"/>
          <w:b/>
          <w:sz w:val="28"/>
          <w:szCs w:val="36"/>
        </w:rPr>
        <w:t>Introduction</w:t>
      </w:r>
    </w:p>
    <w:p w:rsidR="00D42BC2" w:rsidRPr="000E2B5A" w:rsidRDefault="00D42BC2" w:rsidP="00D42BC2">
      <w:pPr>
        <w:rPr>
          <w:sz w:val="22"/>
          <w:szCs w:val="28"/>
        </w:rPr>
      </w:pPr>
      <w:r w:rsidRPr="000E2B5A">
        <w:rPr>
          <w:sz w:val="22"/>
          <w:szCs w:val="28"/>
        </w:rPr>
        <w:t>The deliverance of Jerusalem from the hand of Assyria and the recovery of Hezekiah coincided with the feast of Passover. This possibility is not considered in scholarly circles because it is regarded as too specific. E. T. Mullen describes the chapters recounting Sennacherib’s campaign against Hezekiah as “one of the most complex and confusing narrations of events contained in the Hebrew Bible”.</w:t>
      </w:r>
      <w:r w:rsidRPr="000E2B5A">
        <w:rPr>
          <w:rStyle w:val="FootnoteReference"/>
          <w:sz w:val="22"/>
          <w:szCs w:val="28"/>
        </w:rPr>
        <w:footnoteReference w:id="57"/>
      </w:r>
      <w:r w:rsidRPr="000E2B5A">
        <w:rPr>
          <w:sz w:val="22"/>
          <w:szCs w:val="28"/>
        </w:rPr>
        <w:t xml:space="preserve"> The extra-biblical evidence for this campaign, mainly from Assyrian sources, is inconclusive,</w:t>
      </w:r>
      <w:r w:rsidRPr="000E2B5A">
        <w:rPr>
          <w:rStyle w:val="FootnoteReference"/>
          <w:sz w:val="22"/>
          <w:szCs w:val="28"/>
        </w:rPr>
        <w:footnoteReference w:id="58"/>
      </w:r>
      <w:r w:rsidRPr="000E2B5A">
        <w:rPr>
          <w:sz w:val="22"/>
          <w:szCs w:val="28"/>
        </w:rPr>
        <w:t xml:space="preserve"> and this is compounded by the fact that the Assyrian accounts are not always arranged chronologically.</w:t>
      </w:r>
      <w:r w:rsidRPr="000E2B5A">
        <w:rPr>
          <w:rStyle w:val="FootnoteReference"/>
          <w:sz w:val="22"/>
          <w:szCs w:val="28"/>
        </w:rPr>
        <w:footnoteReference w:id="59"/>
      </w:r>
      <w:r w:rsidRPr="000E2B5A">
        <w:rPr>
          <w:sz w:val="22"/>
          <w:szCs w:val="28"/>
        </w:rPr>
        <w:t xml:space="preserve"> Although Assyrian annalistic history records the campaign in the Levant, there is not enough data to describe (except in the broadest terms) when the last phase</w:t>
      </w:r>
      <w:r w:rsidRPr="000E2B5A">
        <w:rPr>
          <w:rStyle w:val="FootnoteReference"/>
          <w:sz w:val="22"/>
          <w:szCs w:val="28"/>
        </w:rPr>
        <w:footnoteReference w:id="60"/>
      </w:r>
      <w:r w:rsidRPr="000E2B5A">
        <w:rPr>
          <w:sz w:val="22"/>
          <w:szCs w:val="28"/>
        </w:rPr>
        <w:t xml:space="preserve">  (invasion of Judah) commenced, or the duration of this stage of the campaign, or when it concluded.  The intention of this </w:t>
      </w:r>
      <w:r w:rsidRPr="000E2B5A">
        <w:rPr>
          <w:sz w:val="22"/>
          <w:szCs w:val="28"/>
        </w:rPr>
        <w:lastRenderedPageBreak/>
        <w:t xml:space="preserve">article is to put forward the biblical evidence for a winter campaign that ended in Passover deliverance. </w:t>
      </w:r>
    </w:p>
    <w:p w:rsidR="00D42BC2" w:rsidRPr="000E2B5A" w:rsidRDefault="00D42BC2" w:rsidP="00D42BC2">
      <w:pPr>
        <w:rPr>
          <w:sz w:val="28"/>
          <w:szCs w:val="28"/>
        </w:rPr>
      </w:pPr>
    </w:p>
    <w:p w:rsidR="00D42BC2" w:rsidRPr="000E2B5A" w:rsidRDefault="00D42BC2" w:rsidP="00D42BC2">
      <w:pPr>
        <w:rPr>
          <w:rFonts w:ascii="Bradley Hand ITC" w:hAnsi="Bradley Hand ITC"/>
          <w:b/>
          <w:sz w:val="28"/>
          <w:szCs w:val="28"/>
        </w:rPr>
      </w:pPr>
      <w:r w:rsidRPr="000E2B5A">
        <w:rPr>
          <w:rFonts w:ascii="Bradley Hand ITC" w:hAnsi="Bradley Hand ITC"/>
          <w:b/>
          <w:sz w:val="28"/>
          <w:szCs w:val="28"/>
        </w:rPr>
        <w:t>Biblical Records</w:t>
      </w:r>
    </w:p>
    <w:p w:rsidR="00D42BC2" w:rsidRPr="000E2B5A" w:rsidRDefault="00D42BC2" w:rsidP="00D42BC2">
      <w:pPr>
        <w:rPr>
          <w:i/>
          <w:sz w:val="22"/>
          <w:szCs w:val="22"/>
        </w:rPr>
      </w:pPr>
      <w:r w:rsidRPr="000E2B5A">
        <w:rPr>
          <w:sz w:val="22"/>
          <w:szCs w:val="22"/>
        </w:rPr>
        <w:t>The vagueness of the time frame in the biblical narratives leads to confusion between sequential and synchronic events:</w:t>
      </w:r>
    </w:p>
    <w:p w:rsidR="00D42BC2" w:rsidRPr="000E2B5A" w:rsidRDefault="00D42BC2" w:rsidP="00D42BC2">
      <w:pPr>
        <w:rPr>
          <w:i/>
          <w:sz w:val="22"/>
          <w:szCs w:val="22"/>
        </w:rPr>
      </w:pPr>
    </w:p>
    <w:p w:rsidR="00D42BC2" w:rsidRPr="000E2B5A" w:rsidRDefault="00D42BC2" w:rsidP="00D42BC2">
      <w:pPr>
        <w:pStyle w:val="Quote"/>
        <w:rPr>
          <w:szCs w:val="22"/>
          <w:lang w:val="en-AU"/>
        </w:rPr>
      </w:pPr>
      <w:r w:rsidRPr="000E2B5A">
        <w:rPr>
          <w:szCs w:val="22"/>
          <w:lang w:val="en-AU"/>
        </w:rPr>
        <w:t xml:space="preserve">In </w:t>
      </w:r>
      <w:r w:rsidRPr="000E2B5A">
        <w:rPr>
          <w:szCs w:val="22"/>
          <w:u w:val="single"/>
          <w:lang w:val="en-AU"/>
        </w:rPr>
        <w:t>those days</w:t>
      </w:r>
      <w:r w:rsidRPr="000E2B5A">
        <w:rPr>
          <w:szCs w:val="22"/>
          <w:lang w:val="en-AU"/>
        </w:rPr>
        <w:t xml:space="preserve"> Hezekiah was sick and near death. (Isa 38:1)</w:t>
      </w:r>
    </w:p>
    <w:p w:rsidR="00D42BC2" w:rsidRPr="000E2B5A" w:rsidRDefault="00D42BC2" w:rsidP="00D42BC2">
      <w:pPr>
        <w:pStyle w:val="Quote"/>
        <w:rPr>
          <w:szCs w:val="22"/>
          <w:lang w:val="en-AU"/>
        </w:rPr>
      </w:pPr>
    </w:p>
    <w:p w:rsidR="00D42BC2" w:rsidRPr="000E2B5A" w:rsidRDefault="00D42BC2" w:rsidP="00D42BC2">
      <w:pPr>
        <w:pStyle w:val="Quote"/>
        <w:rPr>
          <w:szCs w:val="22"/>
          <w:lang w:val="en-AU"/>
        </w:rPr>
      </w:pPr>
      <w:r w:rsidRPr="000E2B5A">
        <w:rPr>
          <w:szCs w:val="22"/>
          <w:lang w:val="en-AU"/>
        </w:rPr>
        <w:t xml:space="preserve">I will </w:t>
      </w:r>
      <w:r w:rsidRPr="000E2B5A">
        <w:rPr>
          <w:szCs w:val="22"/>
          <w:u w:val="single"/>
          <w:lang w:val="en-AU"/>
        </w:rPr>
        <w:t>deliver you</w:t>
      </w:r>
      <w:r w:rsidRPr="000E2B5A">
        <w:rPr>
          <w:szCs w:val="22"/>
          <w:lang w:val="en-AU"/>
        </w:rPr>
        <w:t xml:space="preserve"> and </w:t>
      </w:r>
      <w:r w:rsidRPr="000E2B5A">
        <w:rPr>
          <w:szCs w:val="22"/>
          <w:u w:val="single"/>
          <w:lang w:val="en-AU"/>
        </w:rPr>
        <w:t>this city</w:t>
      </w:r>
      <w:r w:rsidRPr="000E2B5A">
        <w:rPr>
          <w:szCs w:val="22"/>
          <w:lang w:val="en-AU"/>
        </w:rPr>
        <w:t xml:space="preserve"> from the hand of the king of Assyria, and I will defend this city. (Isa 38:6)</w:t>
      </w:r>
    </w:p>
    <w:p w:rsidR="00D42BC2" w:rsidRPr="000E2B5A" w:rsidRDefault="00D42BC2" w:rsidP="00D42BC2">
      <w:pPr>
        <w:rPr>
          <w:sz w:val="22"/>
          <w:szCs w:val="22"/>
        </w:rPr>
      </w:pPr>
    </w:p>
    <w:p w:rsidR="00D42BC2" w:rsidRPr="000E2B5A" w:rsidRDefault="00D42BC2" w:rsidP="00D42BC2">
      <w:pPr>
        <w:rPr>
          <w:sz w:val="22"/>
          <w:szCs w:val="22"/>
        </w:rPr>
      </w:pPr>
      <w:r w:rsidRPr="000E2B5A">
        <w:rPr>
          <w:sz w:val="22"/>
          <w:szCs w:val="22"/>
        </w:rPr>
        <w:t>This indicates that Hezekiah’s illness coincided with the Assyrian crisis.</w:t>
      </w:r>
      <w:r w:rsidRPr="000E2B5A">
        <w:rPr>
          <w:rStyle w:val="FootnoteReference"/>
          <w:sz w:val="22"/>
        </w:rPr>
        <w:footnoteReference w:id="61"/>
      </w:r>
      <w:r w:rsidRPr="000E2B5A">
        <w:rPr>
          <w:sz w:val="22"/>
          <w:szCs w:val="22"/>
        </w:rPr>
        <w:t xml:space="preserve"> It is suggested that Hezekiah’s incapacity offered opportunity for ambitious functionaries (like Shebna)</w:t>
      </w:r>
      <w:r w:rsidRPr="000E2B5A">
        <w:rPr>
          <w:rStyle w:val="FootnoteReference"/>
          <w:sz w:val="22"/>
        </w:rPr>
        <w:footnoteReference w:id="62"/>
      </w:r>
      <w:r w:rsidRPr="000E2B5A">
        <w:rPr>
          <w:sz w:val="22"/>
          <w:szCs w:val="22"/>
        </w:rPr>
        <w:t xml:space="preserve"> to pursue a duplicitous policy ostensibly on Hezekiah’s behalf</w:t>
      </w:r>
      <w:r w:rsidRPr="000E2B5A">
        <w:rPr>
          <w:rStyle w:val="FootnoteReference"/>
          <w:sz w:val="22"/>
        </w:rPr>
        <w:t xml:space="preserve"> </w:t>
      </w:r>
      <w:r w:rsidRPr="000E2B5A">
        <w:rPr>
          <w:sz w:val="22"/>
          <w:szCs w:val="22"/>
        </w:rPr>
        <w:t xml:space="preserve"> </w:t>
      </w:r>
      <w:r w:rsidRPr="000E2B5A">
        <w:rPr>
          <w:sz w:val="22"/>
          <w:szCs w:val="22"/>
          <w:lang w:val="en-AU"/>
        </w:rPr>
        <w:t>(Isa 28:14-15; cf. the ‘treacherous dealers’ Isa 24:16; 33:1</w:t>
      </w:r>
      <w:r w:rsidRPr="000E2B5A">
        <w:rPr>
          <w:sz w:val="22"/>
          <w:szCs w:val="22"/>
        </w:rPr>
        <w:t xml:space="preserve">) – paying tribute to Sennacherib and at the same time appealing to Egypto-Nubian diplomats for help. </w:t>
      </w:r>
    </w:p>
    <w:p w:rsidR="00D42BC2" w:rsidRPr="000E2B5A" w:rsidRDefault="00D42BC2" w:rsidP="00D42BC2">
      <w:pPr>
        <w:rPr>
          <w:sz w:val="22"/>
          <w:szCs w:val="22"/>
        </w:rPr>
      </w:pPr>
    </w:p>
    <w:p w:rsidR="00D42BC2" w:rsidRPr="000E2B5A" w:rsidRDefault="00D42BC2" w:rsidP="00D42BC2">
      <w:pPr>
        <w:rPr>
          <w:sz w:val="22"/>
          <w:szCs w:val="22"/>
        </w:rPr>
      </w:pPr>
      <w:r w:rsidRPr="000E2B5A">
        <w:rPr>
          <w:sz w:val="22"/>
          <w:szCs w:val="22"/>
        </w:rPr>
        <w:t>It would be completely out of character for Hezekiah to pay tribute. Hezekiah made hasty preparations for a long siege and fortified the city (2 Chron. 32:2-8). Hezekiah was probably the leader of the revolt against Sennacherib as the nobles and peoples of Ekron delivered up their own king, named Padi,</w:t>
      </w:r>
      <w:r w:rsidRPr="000E2B5A">
        <w:rPr>
          <w:rStyle w:val="FootnoteReference"/>
          <w:sz w:val="22"/>
        </w:rPr>
        <w:footnoteReference w:id="63"/>
      </w:r>
      <w:r w:rsidRPr="000E2B5A">
        <w:rPr>
          <w:sz w:val="22"/>
          <w:szCs w:val="22"/>
        </w:rPr>
        <w:t xml:space="preserve"> an Assyrian loyalist, in iron fetters to Hezekiah to keep in confinement. Moreover, it is inconceivable that Hezekiah would deface the Temple (2 Kgs 18:16) that he had so recently restored (2 Chon 29:3). </w:t>
      </w:r>
    </w:p>
    <w:p w:rsidR="005E7B5F" w:rsidRPr="000E2B5A" w:rsidRDefault="005E7B5F" w:rsidP="00D42BC2">
      <w:pPr>
        <w:rPr>
          <w:sz w:val="22"/>
          <w:szCs w:val="22"/>
        </w:rPr>
      </w:pPr>
    </w:p>
    <w:p w:rsidR="00D42BC2" w:rsidRPr="000E2B5A" w:rsidRDefault="00D42BC2" w:rsidP="00D42BC2">
      <w:pPr>
        <w:rPr>
          <w:sz w:val="22"/>
          <w:szCs w:val="22"/>
        </w:rPr>
      </w:pPr>
      <w:r w:rsidRPr="000E2B5A">
        <w:rPr>
          <w:sz w:val="22"/>
          <w:szCs w:val="22"/>
        </w:rPr>
        <w:lastRenderedPageBreak/>
        <w:t>Sennacherib obviously had resource to good counter-intelligence</w:t>
      </w:r>
      <w:r w:rsidRPr="000E2B5A">
        <w:rPr>
          <w:rStyle w:val="FootnoteReference"/>
          <w:sz w:val="22"/>
        </w:rPr>
        <w:footnoteReference w:id="64"/>
      </w:r>
      <w:r w:rsidRPr="000E2B5A">
        <w:rPr>
          <w:sz w:val="22"/>
          <w:szCs w:val="22"/>
        </w:rPr>
        <w:t xml:space="preserve"> and realised that Hezekiah was ill and that the payment of tribute was a stalling tactic. He sent his generals to Jerusalem with a warning and disengaged from the siege at Libnah to confront the rumoured Egypto-Nubian threat which he neutralized. </w:t>
      </w:r>
    </w:p>
    <w:p w:rsidR="00D42BC2" w:rsidRPr="000E2B5A" w:rsidRDefault="00D42BC2" w:rsidP="00D42BC2">
      <w:pPr>
        <w:rPr>
          <w:sz w:val="22"/>
          <w:szCs w:val="22"/>
        </w:rPr>
      </w:pPr>
    </w:p>
    <w:p w:rsidR="00D42BC2" w:rsidRPr="000E2B5A" w:rsidRDefault="00D42BC2" w:rsidP="00D42BC2">
      <w:pPr>
        <w:rPr>
          <w:sz w:val="22"/>
          <w:szCs w:val="22"/>
        </w:rPr>
      </w:pPr>
      <w:r w:rsidRPr="000E2B5A">
        <w:rPr>
          <w:sz w:val="22"/>
          <w:szCs w:val="22"/>
        </w:rPr>
        <w:t>A chronology of the events might look something like this (2 Kgs18-19):</w:t>
      </w:r>
    </w:p>
    <w:p w:rsidR="00D42BC2" w:rsidRPr="000E2B5A" w:rsidRDefault="00D42BC2" w:rsidP="00D42BC2">
      <w:pPr>
        <w:rPr>
          <w:sz w:val="22"/>
          <w:szCs w:val="22"/>
        </w:rPr>
      </w:pP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 xml:space="preserve">Sennacherib besieges Lachish </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Rab-shakeh  sent to Jerusalem from Lachish with an army (18:17)</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Rab-shakeh  negotiates with Shebna and delegation (18:18)</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Sennacherib proceeds to Libnah</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Jerusalem is now isolated</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Rab-shakeh ’s offer of peace in exchange for tribute (18:31)</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Hezekiah enters Temple receives reassurance from Yahweh (19:7)</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Rumour of Egypto-Nubian intervention (19:9)</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Rab-shakeh ’s host withdraws from Jerusalem and head to Libnah</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Reunited Assyrian army prepares for Egypto-Nubian threat</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 xml:space="preserve">Warning letter sent to Jerusalem </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Hezekiah presents letter in the Temple and receives reassurance</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Hezekiah becomes ill</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Tribute paid to Assyria (messengers sent to Egypto-Nubian diplomats)</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 xml:space="preserve">No Egypto-Nubian support forthcoming </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 xml:space="preserve">Sennacherib learns of </w:t>
      </w:r>
      <w:r w:rsidR="00243E4A" w:rsidRPr="000E2B5A">
        <w:rPr>
          <w:sz w:val="22"/>
        </w:rPr>
        <w:t xml:space="preserve">the </w:t>
      </w:r>
      <w:r w:rsidRPr="000E2B5A">
        <w:rPr>
          <w:sz w:val="22"/>
        </w:rPr>
        <w:t>double-cross</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 xml:space="preserve">Sennacherib prepares to besiege Jerusalem </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 xml:space="preserve">Hezekiah’s condition deteriorates – near death he cries to Yahweh </w:t>
      </w:r>
    </w:p>
    <w:p w:rsidR="00D42BC2" w:rsidRPr="000E2B5A" w:rsidRDefault="00D42BC2" w:rsidP="00D42BC2">
      <w:pPr>
        <w:pStyle w:val="ListParagraph"/>
        <w:numPr>
          <w:ilvl w:val="0"/>
          <w:numId w:val="11"/>
        </w:numPr>
        <w:spacing w:after="0" w:line="240" w:lineRule="auto"/>
        <w:contextualSpacing w:val="0"/>
        <w:rPr>
          <w:sz w:val="22"/>
        </w:rPr>
      </w:pPr>
      <w:r w:rsidRPr="000E2B5A">
        <w:rPr>
          <w:sz w:val="22"/>
        </w:rPr>
        <w:t>Hezekiah delivered at Passover – Assyrian camp destroyed by angel</w:t>
      </w:r>
    </w:p>
    <w:p w:rsidR="00D42BC2" w:rsidRPr="000E2B5A" w:rsidRDefault="00D42BC2" w:rsidP="00D42BC2">
      <w:pPr>
        <w:rPr>
          <w:sz w:val="22"/>
          <w:szCs w:val="22"/>
        </w:rPr>
      </w:pPr>
    </w:p>
    <w:p w:rsidR="00D42BC2" w:rsidRPr="000E2B5A" w:rsidRDefault="00D42BC2" w:rsidP="00D42BC2">
      <w:pPr>
        <w:rPr>
          <w:sz w:val="22"/>
          <w:szCs w:val="22"/>
        </w:rPr>
      </w:pPr>
      <w:r w:rsidRPr="000E2B5A">
        <w:rPr>
          <w:sz w:val="22"/>
          <w:szCs w:val="22"/>
        </w:rPr>
        <w:t xml:space="preserve">The above incidents/events cover a period of three to four months.   </w:t>
      </w:r>
    </w:p>
    <w:p w:rsidR="00D42BC2" w:rsidRPr="000E2B5A" w:rsidRDefault="00D42BC2" w:rsidP="00D42BC2">
      <w:pPr>
        <w:rPr>
          <w:sz w:val="22"/>
          <w:szCs w:val="22"/>
        </w:rPr>
      </w:pPr>
    </w:p>
    <w:p w:rsidR="00D42BC2" w:rsidRPr="000E2B5A" w:rsidRDefault="00D42BC2" w:rsidP="00D42BC2">
      <w:pPr>
        <w:autoSpaceDE w:val="0"/>
        <w:autoSpaceDN w:val="0"/>
        <w:adjustRightInd w:val="0"/>
        <w:rPr>
          <w:rFonts w:ascii="Bradley Hand ITC" w:hAnsi="Bradley Hand ITC"/>
          <w:b/>
          <w:sz w:val="28"/>
          <w:szCs w:val="36"/>
          <w:lang w:val="en-AU"/>
        </w:rPr>
      </w:pPr>
      <w:r w:rsidRPr="000E2B5A">
        <w:rPr>
          <w:rFonts w:ascii="Bradley Hand ITC" w:hAnsi="Bradley Hand ITC"/>
          <w:b/>
          <w:sz w:val="28"/>
          <w:szCs w:val="36"/>
          <w:lang w:val="en-AU"/>
        </w:rPr>
        <w:t>Add year to year; let feasts come around</w:t>
      </w:r>
    </w:p>
    <w:p w:rsidR="00D42BC2" w:rsidRPr="000E2B5A" w:rsidRDefault="00D42BC2" w:rsidP="00D42BC2">
      <w:pPr>
        <w:autoSpaceDE w:val="0"/>
        <w:autoSpaceDN w:val="0"/>
        <w:adjustRightInd w:val="0"/>
        <w:rPr>
          <w:sz w:val="22"/>
          <w:szCs w:val="28"/>
          <w:lang w:val="en-AU"/>
        </w:rPr>
      </w:pPr>
      <w:r w:rsidRPr="000E2B5A">
        <w:rPr>
          <w:sz w:val="22"/>
          <w:szCs w:val="28"/>
          <w:lang w:val="en-AU"/>
        </w:rPr>
        <w:t xml:space="preserve">In Isa 29:1 we have a prediction of impending doom with words that note the passing of the Jerusalem feasts: </w:t>
      </w:r>
    </w:p>
    <w:p w:rsidR="00D42BC2" w:rsidRPr="000E2B5A" w:rsidRDefault="00D42BC2" w:rsidP="00D42BC2">
      <w:pPr>
        <w:autoSpaceDE w:val="0"/>
        <w:autoSpaceDN w:val="0"/>
        <w:adjustRightInd w:val="0"/>
        <w:rPr>
          <w:sz w:val="22"/>
          <w:szCs w:val="28"/>
          <w:lang w:val="en-AU"/>
        </w:rPr>
      </w:pPr>
    </w:p>
    <w:p w:rsidR="00D42BC2" w:rsidRPr="000E2B5A" w:rsidRDefault="00D42BC2" w:rsidP="00D42BC2">
      <w:pPr>
        <w:pStyle w:val="Quote"/>
        <w:rPr>
          <w:lang w:val="en-AU"/>
        </w:rPr>
      </w:pPr>
      <w:r w:rsidRPr="000E2B5A">
        <w:rPr>
          <w:lang w:val="en-AU"/>
        </w:rPr>
        <w:t xml:space="preserve">Woe to Ariel, to Ariel, the city </w:t>
      </w:r>
      <w:r w:rsidRPr="000E2B5A">
        <w:rPr>
          <w:i/>
          <w:iCs/>
          <w:lang w:val="en-AU"/>
        </w:rPr>
        <w:t xml:space="preserve">where </w:t>
      </w:r>
      <w:r w:rsidRPr="000E2B5A">
        <w:rPr>
          <w:lang w:val="en-AU"/>
        </w:rPr>
        <w:t>David dwelt! Add year to year; Let feasts come around. (Isa 29:1)</w:t>
      </w:r>
    </w:p>
    <w:p w:rsidR="00D42BC2" w:rsidRPr="000E2B5A" w:rsidRDefault="00D42BC2" w:rsidP="00D42BC2">
      <w:pPr>
        <w:autoSpaceDE w:val="0"/>
        <w:autoSpaceDN w:val="0"/>
        <w:adjustRightInd w:val="0"/>
        <w:rPr>
          <w:sz w:val="22"/>
          <w:szCs w:val="28"/>
          <w:lang w:val="en-AU"/>
        </w:rPr>
      </w:pPr>
    </w:p>
    <w:p w:rsidR="00D42BC2" w:rsidRPr="000E2B5A" w:rsidRDefault="00D42BC2" w:rsidP="00D42BC2">
      <w:pPr>
        <w:autoSpaceDE w:val="0"/>
        <w:autoSpaceDN w:val="0"/>
        <w:adjustRightInd w:val="0"/>
        <w:rPr>
          <w:sz w:val="22"/>
          <w:szCs w:val="28"/>
          <w:lang w:val="en-AU"/>
        </w:rPr>
      </w:pPr>
      <w:r w:rsidRPr="000E2B5A">
        <w:rPr>
          <w:sz w:val="22"/>
          <w:szCs w:val="28"/>
          <w:lang w:val="en-AU"/>
        </w:rPr>
        <w:t xml:space="preserve">The mention of the anticipated Assyrian siege (v. 3) suggests that v. 1 should be understood as a chronological marker rather than a proverbial saying. The phrase </w:t>
      </w:r>
      <w:r w:rsidRPr="000E2B5A">
        <w:rPr>
          <w:sz w:val="22"/>
          <w:szCs w:val="28"/>
          <w:lang w:val="en-AU"/>
        </w:rPr>
        <w:lastRenderedPageBreak/>
        <w:t xml:space="preserve">“add year to year” speaks of the cyclical year change, but is this from Nissan to Nissan or from Tishri to Tishri?  </w:t>
      </w:r>
    </w:p>
    <w:p w:rsidR="00D42BC2" w:rsidRPr="000E2B5A" w:rsidRDefault="00D42BC2" w:rsidP="00D42BC2">
      <w:pPr>
        <w:autoSpaceDE w:val="0"/>
        <w:autoSpaceDN w:val="0"/>
        <w:adjustRightInd w:val="0"/>
        <w:rPr>
          <w:sz w:val="20"/>
          <w:szCs w:val="28"/>
          <w:lang w:val="en-AU"/>
        </w:rPr>
      </w:pPr>
    </w:p>
    <w:p w:rsidR="00D42BC2" w:rsidRPr="000E2B5A" w:rsidRDefault="00D42BC2" w:rsidP="00D42BC2">
      <w:pPr>
        <w:rPr>
          <w:sz w:val="22"/>
          <w:szCs w:val="22"/>
          <w:lang w:val="en-AU"/>
        </w:rPr>
      </w:pPr>
      <w:r w:rsidRPr="000E2B5A">
        <w:rPr>
          <w:sz w:val="22"/>
          <w:szCs w:val="22"/>
          <w:lang w:val="en-AU"/>
        </w:rPr>
        <w:t>The mention of feasts would seem to indicate the festal calendar which begins in Nissan,</w:t>
      </w:r>
      <w:r w:rsidRPr="000E2B5A">
        <w:rPr>
          <w:rStyle w:val="FootnoteReference"/>
          <w:sz w:val="22"/>
          <w:lang w:val="en-AU"/>
        </w:rPr>
        <w:footnoteReference w:id="65"/>
      </w:r>
      <w:r w:rsidRPr="000E2B5A">
        <w:rPr>
          <w:sz w:val="22"/>
          <w:szCs w:val="22"/>
          <w:lang w:val="en-AU"/>
        </w:rPr>
        <w:t xml:space="preserve"> but this is not decisive as the agricultural and civil year, including the announcement of the Jubilee year, occurred in Tishri. </w:t>
      </w:r>
      <w:r w:rsidRPr="000E2B5A">
        <w:rPr>
          <w:sz w:val="22"/>
          <w:szCs w:val="22"/>
        </w:rPr>
        <w:t xml:space="preserve">It was in the autumn ( cf. Isa 33:9) when Isaiah gave the prophecy of “adding year to year”,  and the current civil year was reckoned from one autumnal equinox to the other, as, for example, in Exod 23:16, where the feast of tabernacles or harvest festival is said to fall at the close of the year. </w:t>
      </w:r>
      <w:r w:rsidRPr="000E2B5A">
        <w:rPr>
          <w:sz w:val="22"/>
          <w:szCs w:val="22"/>
          <w:lang w:val="en-AU"/>
        </w:rPr>
        <w:t>The later New Year began with trumpet blowing followed ten days later by the Day of Atonement. Moreover, the Jubilee</w:t>
      </w:r>
      <w:r w:rsidRPr="000E2B5A">
        <w:rPr>
          <w:sz w:val="22"/>
          <w:szCs w:val="22"/>
        </w:rPr>
        <w:t xml:space="preserve"> </w:t>
      </w:r>
      <w:r w:rsidRPr="000E2B5A">
        <w:rPr>
          <w:sz w:val="22"/>
          <w:szCs w:val="22"/>
          <w:lang w:val="en-AU"/>
        </w:rPr>
        <w:t xml:space="preserve">year was announced by blowing the ram’s horn on the Day of Atonement (Lev 25:9). </w:t>
      </w:r>
    </w:p>
    <w:p w:rsidR="00243E4A" w:rsidRPr="000E2B5A" w:rsidRDefault="00243E4A" w:rsidP="00D42BC2">
      <w:pPr>
        <w:rPr>
          <w:sz w:val="22"/>
          <w:szCs w:val="22"/>
        </w:rPr>
      </w:pPr>
    </w:p>
    <w:p w:rsidR="00D42BC2" w:rsidRPr="000E2B5A" w:rsidRDefault="00D42BC2" w:rsidP="00D42BC2">
      <w:pPr>
        <w:autoSpaceDE w:val="0"/>
        <w:autoSpaceDN w:val="0"/>
        <w:adjustRightInd w:val="0"/>
        <w:rPr>
          <w:sz w:val="22"/>
          <w:szCs w:val="28"/>
          <w:lang w:val="en-AU"/>
        </w:rPr>
      </w:pPr>
      <w:r w:rsidRPr="000E2B5A">
        <w:rPr>
          <w:sz w:val="22"/>
          <w:szCs w:val="28"/>
          <w:lang w:val="en-AU"/>
        </w:rPr>
        <w:t>The Jubilee year was the year of release and features as a sign of the impending release of the prisoners of war:</w:t>
      </w:r>
    </w:p>
    <w:p w:rsidR="00D42BC2" w:rsidRPr="000E2B5A" w:rsidRDefault="00D42BC2" w:rsidP="00D42BC2">
      <w:pPr>
        <w:autoSpaceDE w:val="0"/>
        <w:autoSpaceDN w:val="0"/>
        <w:adjustRightInd w:val="0"/>
        <w:rPr>
          <w:sz w:val="22"/>
          <w:szCs w:val="28"/>
          <w:lang w:val="en-AU"/>
        </w:rPr>
      </w:pPr>
    </w:p>
    <w:p w:rsidR="00D42BC2" w:rsidRPr="000E2B5A" w:rsidRDefault="00D42BC2" w:rsidP="00D42BC2">
      <w:pPr>
        <w:pStyle w:val="Quote"/>
        <w:rPr>
          <w:lang w:val="en-AU"/>
        </w:rPr>
      </w:pPr>
      <w:r w:rsidRPr="000E2B5A">
        <w:rPr>
          <w:lang w:val="en-AU"/>
        </w:rPr>
        <w:t xml:space="preserve">So it shall be in that day: </w:t>
      </w:r>
      <w:r w:rsidRPr="000E2B5A">
        <w:rPr>
          <w:u w:val="single"/>
          <w:lang w:val="en-AU"/>
        </w:rPr>
        <w:t>The great trumpet will be blown</w:t>
      </w:r>
      <w:r w:rsidRPr="000E2B5A">
        <w:rPr>
          <w:lang w:val="en-AU"/>
        </w:rPr>
        <w:t>; they will come, who are about to perish in the land of Assyria, and they who are outcasts in the land of Egypt, And shall worship the Lord in the holy mount at Jerusalem. (Isa 27:3)</w:t>
      </w:r>
    </w:p>
    <w:p w:rsidR="00D42BC2" w:rsidRPr="000E2B5A" w:rsidRDefault="00D42BC2" w:rsidP="00D42BC2">
      <w:pPr>
        <w:autoSpaceDE w:val="0"/>
        <w:autoSpaceDN w:val="0"/>
        <w:adjustRightInd w:val="0"/>
        <w:rPr>
          <w:sz w:val="22"/>
          <w:szCs w:val="28"/>
          <w:lang w:val="en-AU"/>
        </w:rPr>
      </w:pPr>
    </w:p>
    <w:p w:rsidR="00D42BC2" w:rsidRPr="000E2B5A" w:rsidRDefault="00D42BC2" w:rsidP="00D42BC2">
      <w:pPr>
        <w:autoSpaceDE w:val="0"/>
        <w:autoSpaceDN w:val="0"/>
        <w:adjustRightInd w:val="0"/>
        <w:rPr>
          <w:sz w:val="22"/>
          <w:szCs w:val="28"/>
          <w:lang w:val="en-AU"/>
        </w:rPr>
      </w:pPr>
      <w:r w:rsidRPr="000E2B5A">
        <w:rPr>
          <w:sz w:val="22"/>
          <w:szCs w:val="28"/>
          <w:lang w:val="en-AU"/>
        </w:rPr>
        <w:t>The prophecy of Isa 37:30 anticipates this release:</w:t>
      </w:r>
    </w:p>
    <w:p w:rsidR="00D42BC2" w:rsidRPr="000E2B5A" w:rsidRDefault="00D42BC2" w:rsidP="00D42BC2">
      <w:pPr>
        <w:autoSpaceDE w:val="0"/>
        <w:autoSpaceDN w:val="0"/>
        <w:adjustRightInd w:val="0"/>
        <w:rPr>
          <w:sz w:val="22"/>
          <w:szCs w:val="28"/>
          <w:lang w:val="en-AU"/>
        </w:rPr>
      </w:pPr>
    </w:p>
    <w:p w:rsidR="00D42BC2" w:rsidRPr="000E2B5A" w:rsidRDefault="00D42BC2" w:rsidP="00D42BC2">
      <w:pPr>
        <w:pStyle w:val="Quote"/>
        <w:rPr>
          <w:lang w:val="en-AU"/>
        </w:rPr>
      </w:pPr>
      <w:r w:rsidRPr="000E2B5A">
        <w:rPr>
          <w:lang w:val="en-AU"/>
        </w:rPr>
        <w:t xml:space="preserve">This </w:t>
      </w:r>
      <w:r w:rsidRPr="000E2B5A">
        <w:rPr>
          <w:i/>
          <w:iCs/>
          <w:lang w:val="en-AU"/>
        </w:rPr>
        <w:t xml:space="preserve">shall be </w:t>
      </w:r>
      <w:r w:rsidRPr="000E2B5A">
        <w:rPr>
          <w:lang w:val="en-AU"/>
        </w:rPr>
        <w:t xml:space="preserve">a sign to you: You shall eat </w:t>
      </w:r>
      <w:r w:rsidRPr="000E2B5A">
        <w:rPr>
          <w:u w:val="single"/>
          <w:lang w:val="en-AU"/>
        </w:rPr>
        <w:t>this year</w:t>
      </w:r>
      <w:r w:rsidRPr="000E2B5A">
        <w:rPr>
          <w:lang w:val="en-AU"/>
        </w:rPr>
        <w:t xml:space="preserve"> such as grows of itself, And the </w:t>
      </w:r>
      <w:r w:rsidRPr="000E2B5A">
        <w:rPr>
          <w:u w:val="single"/>
          <w:lang w:val="en-AU"/>
        </w:rPr>
        <w:t>second year</w:t>
      </w:r>
      <w:r w:rsidRPr="000E2B5A">
        <w:rPr>
          <w:lang w:val="en-AU"/>
        </w:rPr>
        <w:t xml:space="preserve"> what springs from the same; Also in </w:t>
      </w:r>
      <w:r w:rsidRPr="000E2B5A">
        <w:rPr>
          <w:u w:val="single"/>
          <w:lang w:val="en-AU"/>
        </w:rPr>
        <w:t>the third year</w:t>
      </w:r>
      <w:r w:rsidRPr="000E2B5A">
        <w:rPr>
          <w:lang w:val="en-AU"/>
        </w:rPr>
        <w:t xml:space="preserve"> sow and reap, Plant vineyards and eat the fruit of them.</w:t>
      </w:r>
    </w:p>
    <w:p w:rsidR="00D42BC2" w:rsidRPr="000E2B5A" w:rsidRDefault="00D42BC2" w:rsidP="00D42BC2">
      <w:pPr>
        <w:autoSpaceDE w:val="0"/>
        <w:autoSpaceDN w:val="0"/>
        <w:adjustRightInd w:val="0"/>
        <w:rPr>
          <w:sz w:val="22"/>
          <w:szCs w:val="28"/>
          <w:lang w:val="en-AU"/>
        </w:rPr>
      </w:pPr>
    </w:p>
    <w:p w:rsidR="00D42BC2" w:rsidRPr="000E2B5A" w:rsidRDefault="00D42BC2" w:rsidP="00D42BC2">
      <w:pPr>
        <w:autoSpaceDE w:val="0"/>
        <w:autoSpaceDN w:val="0"/>
        <w:adjustRightInd w:val="0"/>
        <w:rPr>
          <w:sz w:val="22"/>
          <w:szCs w:val="28"/>
        </w:rPr>
      </w:pPr>
      <w:r w:rsidRPr="000E2B5A">
        <w:rPr>
          <w:sz w:val="22"/>
          <w:szCs w:val="28"/>
        </w:rPr>
        <w:t xml:space="preserve">It follows then that Isa 29:1 is </w:t>
      </w:r>
      <w:r w:rsidRPr="000E2B5A">
        <w:rPr>
          <w:b/>
          <w:sz w:val="22"/>
          <w:szCs w:val="28"/>
        </w:rPr>
        <w:t>counting the years from the Day of Atonement</w:t>
      </w:r>
      <w:r w:rsidRPr="000E2B5A">
        <w:rPr>
          <w:sz w:val="22"/>
          <w:szCs w:val="28"/>
        </w:rPr>
        <w:t xml:space="preserve"> as this marked the start of the Jubilee year and the commencement of the agricultural year.</w:t>
      </w:r>
      <w:r w:rsidR="00243E4A" w:rsidRPr="000E2B5A">
        <w:rPr>
          <w:rStyle w:val="FootnoteReference"/>
          <w:sz w:val="22"/>
          <w:szCs w:val="28"/>
        </w:rPr>
        <w:t xml:space="preserve"> </w:t>
      </w:r>
      <w:r w:rsidR="00243E4A" w:rsidRPr="000E2B5A">
        <w:rPr>
          <w:rStyle w:val="FootnoteReference"/>
          <w:sz w:val="22"/>
          <w:szCs w:val="28"/>
        </w:rPr>
        <w:footnoteReference w:id="66"/>
      </w:r>
      <w:r w:rsidRPr="000E2B5A">
        <w:rPr>
          <w:sz w:val="22"/>
          <w:szCs w:val="28"/>
        </w:rPr>
        <w:t xml:space="preserve">  </w:t>
      </w:r>
    </w:p>
    <w:p w:rsidR="00D42BC2" w:rsidRPr="000E2B5A" w:rsidRDefault="00D42BC2" w:rsidP="00D42BC2">
      <w:pPr>
        <w:autoSpaceDE w:val="0"/>
        <w:autoSpaceDN w:val="0"/>
        <w:adjustRightInd w:val="0"/>
        <w:rPr>
          <w:sz w:val="22"/>
        </w:rPr>
      </w:pPr>
    </w:p>
    <w:p w:rsidR="00D42BC2" w:rsidRPr="000E2B5A" w:rsidRDefault="00D42BC2" w:rsidP="00D42BC2">
      <w:pPr>
        <w:autoSpaceDE w:val="0"/>
        <w:autoSpaceDN w:val="0"/>
        <w:adjustRightInd w:val="0"/>
        <w:rPr>
          <w:sz w:val="22"/>
        </w:rPr>
      </w:pPr>
      <w:r w:rsidRPr="000E2B5A">
        <w:rPr>
          <w:sz w:val="22"/>
        </w:rPr>
        <w:t>There is, however, something unusual about the mention of two consecutive Sabbatical years. Sabbatical years occurred every seventh year and the Jubilee every forty ninth year. There is no other occasion in the Hebrew calendar when two years of scheduled non-planting occur back-to-back. If the Assyrian campaign lasted until after planting time in the autumn of 701 BC, and they had consumed/destroyed the yearly harvest only “</w:t>
      </w:r>
      <w:r w:rsidRPr="000E2B5A">
        <w:rPr>
          <w:sz w:val="22"/>
          <w:lang w:val="en-AU"/>
        </w:rPr>
        <w:t>such as grows of itself</w:t>
      </w:r>
      <w:r w:rsidRPr="000E2B5A">
        <w:rPr>
          <w:sz w:val="22"/>
        </w:rPr>
        <w:t>”</w:t>
      </w:r>
      <w:r w:rsidRPr="000E2B5A">
        <w:rPr>
          <w:i/>
          <w:sz w:val="22"/>
        </w:rPr>
        <w:t xml:space="preserve"> </w:t>
      </w:r>
      <w:r w:rsidRPr="000E2B5A">
        <w:rPr>
          <w:sz w:val="22"/>
        </w:rPr>
        <w:t xml:space="preserve">would remain to be gleaned from the fields. </w:t>
      </w:r>
    </w:p>
    <w:p w:rsidR="00D42BC2" w:rsidRPr="000E2B5A" w:rsidRDefault="00D42BC2" w:rsidP="00D42BC2">
      <w:pPr>
        <w:autoSpaceDE w:val="0"/>
        <w:autoSpaceDN w:val="0"/>
        <w:adjustRightInd w:val="0"/>
        <w:rPr>
          <w:sz w:val="22"/>
        </w:rPr>
      </w:pPr>
      <w:r w:rsidRPr="000E2B5A">
        <w:rPr>
          <w:sz w:val="22"/>
        </w:rPr>
        <w:lastRenderedPageBreak/>
        <w:t>In the next year, the people were to eat “what springs from the same”.</w:t>
      </w:r>
      <w:r w:rsidRPr="000E2B5A">
        <w:rPr>
          <w:rFonts w:ascii="Bwhebb" w:hAnsi="Bwhebb" w:cs="Bwhebb"/>
          <w:sz w:val="22"/>
          <w:lang w:val="en-AU"/>
        </w:rPr>
        <w:t xml:space="preserve"> </w:t>
      </w:r>
      <w:r w:rsidRPr="000E2B5A">
        <w:rPr>
          <w:sz w:val="22"/>
        </w:rPr>
        <w:t>Since this phrase occurs only in Isaiah and in the parallel passage in 2 Kgs 19:29, there is some uncertainty about its exact meaning. If it is the same as the “</w:t>
      </w:r>
      <w:r w:rsidRPr="000E2B5A">
        <w:rPr>
          <w:sz w:val="22"/>
          <w:lang w:val="en-AU"/>
        </w:rPr>
        <w:t xml:space="preserve">sabbath </w:t>
      </w:r>
      <w:r w:rsidRPr="000E2B5A">
        <w:rPr>
          <w:iCs/>
          <w:sz w:val="22"/>
          <w:lang w:val="en-AU"/>
        </w:rPr>
        <w:t xml:space="preserve">produce </w:t>
      </w:r>
      <w:r w:rsidRPr="000E2B5A">
        <w:rPr>
          <w:sz w:val="22"/>
          <w:lang w:val="en-AU"/>
        </w:rPr>
        <w:t>of the land”</w:t>
      </w:r>
      <w:r w:rsidRPr="000E2B5A">
        <w:rPr>
          <w:i/>
          <w:sz w:val="22"/>
          <w:lang w:val="en-AU"/>
        </w:rPr>
        <w:t xml:space="preserve"> </w:t>
      </w:r>
      <w:r w:rsidRPr="000E2B5A">
        <w:rPr>
          <w:sz w:val="22"/>
        </w:rPr>
        <w:t xml:space="preserve">that was permitted to be eaten in a Sabbatical year in Lev 25:6, then there is a ready explanation why there was no harvest: the second year, i.e. the year starting in the autumn of 701 BC was a Sabbatical year, after which normal sowing and reaping resumed in the third year, as stated in the text. </w:t>
      </w:r>
    </w:p>
    <w:p w:rsidR="00D42BC2" w:rsidRPr="000E2B5A" w:rsidRDefault="00D42BC2" w:rsidP="00D42BC2">
      <w:pPr>
        <w:autoSpaceDE w:val="0"/>
        <w:autoSpaceDN w:val="0"/>
        <w:adjustRightInd w:val="0"/>
        <w:rPr>
          <w:sz w:val="22"/>
        </w:rPr>
      </w:pPr>
    </w:p>
    <w:p w:rsidR="00D42BC2" w:rsidRPr="000E2B5A" w:rsidRDefault="00D42BC2" w:rsidP="00D42BC2">
      <w:pPr>
        <w:rPr>
          <w:sz w:val="22"/>
          <w:szCs w:val="22"/>
        </w:rPr>
      </w:pPr>
      <w:r w:rsidRPr="000E2B5A">
        <w:rPr>
          <w:sz w:val="22"/>
          <w:szCs w:val="22"/>
        </w:rPr>
        <w:t xml:space="preserve">The “sign” or token that is given to Hezekiah in Isa 37:30 is by way of reassurance that the slaughter of the Assyrians would be the end of the matter. Yahweh would cause Sennacherib to be dragged back to Assyria “with a hook in his nose” (v. 30). There would be no further reprisals from Assyria. Assyria would never again mount a campaign against Jerusalem. Yahweh would ensure the continuity of the nation – spontaneous growth years would compensate for the year of Assyrian destruction </w:t>
      </w:r>
      <w:r w:rsidRPr="000E2B5A">
        <w:rPr>
          <w:i/>
          <w:sz w:val="22"/>
          <w:szCs w:val="22"/>
        </w:rPr>
        <w:t xml:space="preserve">and </w:t>
      </w:r>
      <w:r w:rsidRPr="000E2B5A">
        <w:rPr>
          <w:sz w:val="22"/>
          <w:szCs w:val="22"/>
        </w:rPr>
        <w:t>for the fallow Jubilee year. Yahweh would also release the captives in a second Exodus (Isa 52:11-12; 63:15)</w:t>
      </w:r>
      <w:r w:rsidRPr="000E2B5A">
        <w:rPr>
          <w:rStyle w:val="FootnoteReference"/>
          <w:sz w:val="22"/>
        </w:rPr>
        <w:footnoteReference w:id="67"/>
      </w:r>
      <w:r w:rsidRPr="000E2B5A">
        <w:rPr>
          <w:sz w:val="22"/>
          <w:szCs w:val="22"/>
        </w:rPr>
        <w:t xml:space="preserve"> – the “zeal” of Yahweh would perform this (Isa 51:5 -“on my arm shall they trust” Isa 42:13- “The Lord shall go forth as a mighty man”) not the strength of man. </w:t>
      </w:r>
    </w:p>
    <w:p w:rsidR="00D42BC2" w:rsidRPr="000E2B5A" w:rsidRDefault="00D42BC2" w:rsidP="00D42BC2">
      <w:pPr>
        <w:rPr>
          <w:sz w:val="22"/>
          <w:szCs w:val="22"/>
        </w:rPr>
      </w:pPr>
    </w:p>
    <w:p w:rsidR="00D42BC2" w:rsidRPr="000E2B5A" w:rsidRDefault="00D42BC2" w:rsidP="00D42BC2">
      <w:pPr>
        <w:rPr>
          <w:sz w:val="22"/>
          <w:szCs w:val="22"/>
        </w:rPr>
      </w:pPr>
      <w:r w:rsidRPr="000E2B5A">
        <w:rPr>
          <w:sz w:val="22"/>
          <w:szCs w:val="22"/>
        </w:rPr>
        <w:t>The returning Jubilee captives would plant crops and receive an abundant blessing to make up for the lost years. The people would be permitted to live in peace; it would be a sign to them that the Assyrian was finally and entirely withdrawn, and that they might return in the third year to the cultivation of their land with the assurance that this much-dreaded invasion was not again to be feared. It required an act of faith on the behalf of the remnant not to immediately replant the ravaged land but to allow it to remain fallow during the Jubilee. As a consequence they would be abundantly blessed:</w:t>
      </w:r>
    </w:p>
    <w:p w:rsidR="00D42BC2" w:rsidRPr="000E2B5A" w:rsidRDefault="00D42BC2" w:rsidP="00D42BC2">
      <w:pPr>
        <w:rPr>
          <w:sz w:val="22"/>
          <w:szCs w:val="22"/>
        </w:rPr>
      </w:pPr>
    </w:p>
    <w:p w:rsidR="00D42BC2" w:rsidRPr="000E2B5A" w:rsidRDefault="00D42BC2" w:rsidP="00D42BC2">
      <w:pPr>
        <w:pStyle w:val="Quote"/>
      </w:pPr>
      <w:r w:rsidRPr="000E2B5A">
        <w:rPr>
          <w:lang w:val="en-AU"/>
        </w:rPr>
        <w:t xml:space="preserve">Also in the third year sow and reap, </w:t>
      </w:r>
      <w:r w:rsidRPr="000E2B5A">
        <w:rPr>
          <w:u w:val="single"/>
          <w:lang w:val="en-AU"/>
        </w:rPr>
        <w:t>plant vineyards and eat the fruit of them</w:t>
      </w:r>
      <w:r w:rsidRPr="000E2B5A">
        <w:rPr>
          <w:lang w:val="en-AU"/>
        </w:rPr>
        <w:t>.”</w:t>
      </w:r>
      <w:r w:rsidRPr="000E2B5A">
        <w:t xml:space="preserve"> (Isa 37:30)</w:t>
      </w:r>
    </w:p>
    <w:p w:rsidR="00D42BC2" w:rsidRPr="000E2B5A" w:rsidRDefault="00D42BC2" w:rsidP="00D42BC2">
      <w:pPr>
        <w:rPr>
          <w:sz w:val="22"/>
          <w:szCs w:val="22"/>
        </w:rPr>
      </w:pPr>
    </w:p>
    <w:p w:rsidR="00D42BC2" w:rsidRPr="000E2B5A" w:rsidRDefault="00D42BC2" w:rsidP="00D42BC2">
      <w:pPr>
        <w:rPr>
          <w:sz w:val="22"/>
          <w:szCs w:val="22"/>
          <w:lang w:val="en-AU"/>
        </w:rPr>
      </w:pPr>
      <w:r w:rsidRPr="000E2B5A">
        <w:rPr>
          <w:sz w:val="22"/>
          <w:szCs w:val="22"/>
        </w:rPr>
        <w:t>Even though vineyards take years to cultivate, t</w:t>
      </w:r>
      <w:r w:rsidRPr="000E2B5A">
        <w:rPr>
          <w:sz w:val="22"/>
          <w:szCs w:val="22"/>
          <w:lang w:val="en-AU"/>
        </w:rPr>
        <w:t xml:space="preserve">he Judahites would be able to enjoy the fruit of their labour almost immediately in direct contrast to the taunts of Rab-shakeh:  </w:t>
      </w:r>
    </w:p>
    <w:p w:rsidR="00D42BC2" w:rsidRPr="000E2B5A" w:rsidRDefault="00D42BC2" w:rsidP="00D42BC2">
      <w:pPr>
        <w:rPr>
          <w:sz w:val="22"/>
          <w:szCs w:val="22"/>
          <w:lang w:val="en-AU"/>
        </w:rPr>
      </w:pPr>
    </w:p>
    <w:p w:rsidR="00D42BC2" w:rsidRPr="000E2B5A" w:rsidRDefault="00D42BC2" w:rsidP="00D42BC2">
      <w:pPr>
        <w:pStyle w:val="Quote"/>
        <w:rPr>
          <w:lang w:val="en-AU"/>
        </w:rPr>
      </w:pPr>
      <w:r w:rsidRPr="000E2B5A">
        <w:rPr>
          <w:lang w:val="en-AU"/>
        </w:rPr>
        <w:t xml:space="preserve">Do not listen to Hezekiah; for thus says the king of Assyria: ‘Make </w:t>
      </w:r>
      <w:r w:rsidRPr="000E2B5A">
        <w:rPr>
          <w:i/>
          <w:iCs/>
          <w:lang w:val="en-AU"/>
        </w:rPr>
        <w:t xml:space="preserve">peace </w:t>
      </w:r>
      <w:r w:rsidRPr="000E2B5A">
        <w:rPr>
          <w:lang w:val="en-AU"/>
        </w:rPr>
        <w:t xml:space="preserve">with me </w:t>
      </w:r>
      <w:r w:rsidRPr="000E2B5A">
        <w:rPr>
          <w:i/>
          <w:iCs/>
          <w:lang w:val="en-AU"/>
        </w:rPr>
        <w:t xml:space="preserve">by a </w:t>
      </w:r>
      <w:r w:rsidRPr="000E2B5A">
        <w:rPr>
          <w:lang w:val="en-AU"/>
        </w:rPr>
        <w:t xml:space="preserve">present and come out to me; and every one of you eat </w:t>
      </w:r>
      <w:r w:rsidRPr="000E2B5A">
        <w:rPr>
          <w:u w:val="single"/>
          <w:lang w:val="en-AU"/>
        </w:rPr>
        <w:t xml:space="preserve">from his own </w:t>
      </w:r>
      <w:r w:rsidRPr="000E2B5A">
        <w:rPr>
          <w:u w:val="single"/>
          <w:lang w:val="en-AU"/>
        </w:rPr>
        <w:lastRenderedPageBreak/>
        <w:t xml:space="preserve">vine </w:t>
      </w:r>
      <w:r w:rsidRPr="000E2B5A">
        <w:rPr>
          <w:lang w:val="en-AU"/>
        </w:rPr>
        <w:t>and everyone from his own fig tree, and every one of you drink the waters of his own cistern’ ” (Isa.36:16)</w:t>
      </w:r>
      <w:r w:rsidR="0041278C" w:rsidRPr="000E2B5A">
        <w:rPr>
          <w:lang w:val="en-AU"/>
        </w:rPr>
        <w:t>.</w:t>
      </w:r>
      <w:r w:rsidRPr="000E2B5A">
        <w:rPr>
          <w:lang w:val="en-AU"/>
        </w:rPr>
        <w:t xml:space="preserve"> </w:t>
      </w:r>
    </w:p>
    <w:p w:rsidR="0041278C" w:rsidRPr="000E2B5A" w:rsidRDefault="0041278C" w:rsidP="0041278C">
      <w:pPr>
        <w:rPr>
          <w:lang w:val="en-AU" w:bidi="he-IL"/>
        </w:rPr>
      </w:pPr>
    </w:p>
    <w:p w:rsidR="0041278C" w:rsidRPr="000E2B5A" w:rsidRDefault="0041278C" w:rsidP="0041278C">
      <w:pPr>
        <w:rPr>
          <w:lang w:val="en-AU" w:bidi="he-IL"/>
        </w:rPr>
      </w:pPr>
    </w:p>
    <w:p w:rsidR="005E7B5F" w:rsidRPr="000E2B5A" w:rsidRDefault="005E7B5F" w:rsidP="005E7B5F">
      <w:pPr>
        <w:rPr>
          <w:lang w:val="en-AU" w:bidi="he-IL"/>
        </w:rPr>
      </w:pPr>
    </w:p>
    <w:tbl>
      <w:tblPr>
        <w:tblStyle w:val="TableGrid"/>
        <w:tblW w:w="0" w:type="auto"/>
        <w:tblInd w:w="392" w:type="dxa"/>
        <w:tblLayout w:type="fixed"/>
        <w:tblLook w:val="04A0" w:firstRow="1" w:lastRow="0" w:firstColumn="1" w:lastColumn="0" w:noHBand="0" w:noVBand="1"/>
      </w:tblPr>
      <w:tblGrid>
        <w:gridCol w:w="850"/>
        <w:gridCol w:w="142"/>
        <w:gridCol w:w="1063"/>
        <w:gridCol w:w="922"/>
        <w:gridCol w:w="141"/>
        <w:gridCol w:w="1134"/>
        <w:gridCol w:w="142"/>
        <w:gridCol w:w="2268"/>
      </w:tblGrid>
      <w:tr w:rsidR="00D42BC2" w:rsidRPr="000E2B5A" w:rsidTr="005E7B5F">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D42BC2">
            <w:pPr>
              <w:autoSpaceDE w:val="0"/>
              <w:autoSpaceDN w:val="0"/>
              <w:adjustRightInd w:val="0"/>
              <w:rPr>
                <w:b/>
                <w:sz w:val="22"/>
                <w:szCs w:val="22"/>
              </w:rPr>
            </w:pPr>
            <w:r w:rsidRPr="000E2B5A">
              <w:rPr>
                <w:b/>
                <w:sz w:val="22"/>
                <w:szCs w:val="22"/>
              </w:rPr>
              <w:t>Year</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108"/>
              <w:jc w:val="center"/>
              <w:rPr>
                <w:b/>
                <w:sz w:val="22"/>
                <w:szCs w:val="22"/>
              </w:rPr>
            </w:pPr>
            <w:r w:rsidRPr="000E2B5A">
              <w:rPr>
                <w:b/>
                <w:sz w:val="22"/>
                <w:szCs w:val="22"/>
              </w:rPr>
              <w:t>Month</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73"/>
              <w:jc w:val="center"/>
              <w:rPr>
                <w:b/>
                <w:sz w:val="22"/>
                <w:szCs w:val="22"/>
              </w:rPr>
            </w:pPr>
            <w:r w:rsidRPr="000E2B5A">
              <w:rPr>
                <w:b/>
                <w:sz w:val="22"/>
                <w:szCs w:val="22"/>
              </w:rPr>
              <w:t>Season</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108"/>
              <w:jc w:val="center"/>
              <w:rPr>
                <w:b/>
                <w:sz w:val="22"/>
                <w:szCs w:val="22"/>
              </w:rPr>
            </w:pPr>
            <w:r w:rsidRPr="000E2B5A">
              <w:rPr>
                <w:b/>
                <w:sz w:val="22"/>
                <w:szCs w:val="22"/>
              </w:rPr>
              <w:t>Feast</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D42BC2">
            <w:pPr>
              <w:autoSpaceDE w:val="0"/>
              <w:autoSpaceDN w:val="0"/>
              <w:adjustRightInd w:val="0"/>
              <w:jc w:val="center"/>
              <w:rPr>
                <w:b/>
                <w:sz w:val="22"/>
                <w:szCs w:val="22"/>
              </w:rPr>
            </w:pPr>
            <w:r w:rsidRPr="000E2B5A">
              <w:rPr>
                <w:b/>
                <w:sz w:val="22"/>
                <w:szCs w:val="22"/>
              </w:rPr>
              <w:t>Event</w:t>
            </w:r>
          </w:p>
        </w:tc>
      </w:tr>
      <w:tr w:rsidR="00D42BC2" w:rsidRPr="000E2B5A" w:rsidTr="005E7B5F">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C2" w:rsidRPr="000E2B5A" w:rsidRDefault="00D42BC2" w:rsidP="00D42BC2">
            <w:pPr>
              <w:autoSpaceDE w:val="0"/>
              <w:autoSpaceDN w:val="0"/>
              <w:adjustRightInd w:val="0"/>
              <w:jc w:val="center"/>
              <w:rPr>
                <w:b/>
                <w:sz w:val="22"/>
                <w:szCs w:val="22"/>
              </w:rPr>
            </w:pPr>
            <w:r w:rsidRPr="000E2B5A">
              <w:rPr>
                <w:b/>
                <w:sz w:val="22"/>
                <w:szCs w:val="22"/>
              </w:rPr>
              <w:t>702</w:t>
            </w:r>
          </w:p>
          <w:p w:rsidR="00D42BC2" w:rsidRPr="000E2B5A" w:rsidRDefault="005A4F9B" w:rsidP="00D42BC2">
            <w:pPr>
              <w:autoSpaceDE w:val="0"/>
              <w:autoSpaceDN w:val="0"/>
              <w:adjustRightInd w:val="0"/>
              <w:jc w:val="center"/>
              <w:rPr>
                <w:sz w:val="22"/>
                <w:szCs w:val="22"/>
              </w:rPr>
            </w:pPr>
            <w:r>
              <w:rPr>
                <w:lang w:eastAsia="zh-CN"/>
              </w:rPr>
              <w:pict>
                <v:shapetype id="_x0000_t32" coordsize="21600,21600" o:spt="32" o:oned="t" path="m,l21600,21600e" filled="f">
                  <v:path arrowok="t" fillok="f" o:connecttype="none"/>
                  <o:lock v:ext="edit" shapetype="t"/>
                </v:shapetype>
                <v:shape id="_x0000_s1185" type="#_x0000_t32" style="position:absolute;left:0;text-align:left;margin-left:19.65pt;margin-top:2.7pt;width:0;height:110pt;z-index:251675136" o:connectortype="straight">
                  <v:stroke endarrow="block"/>
                </v:shape>
              </w:pic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5E7B5F">
            <w:pPr>
              <w:autoSpaceDE w:val="0"/>
              <w:autoSpaceDN w:val="0"/>
              <w:adjustRightInd w:val="0"/>
              <w:ind w:left="-108"/>
              <w:rPr>
                <w:sz w:val="22"/>
                <w:szCs w:val="22"/>
              </w:rPr>
            </w:pPr>
            <w:r w:rsidRPr="000E2B5A">
              <w:rPr>
                <w:sz w:val="22"/>
                <w:szCs w:val="22"/>
              </w:rPr>
              <w:t>Nisan</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5E7B5F">
            <w:pPr>
              <w:autoSpaceDE w:val="0"/>
              <w:autoSpaceDN w:val="0"/>
              <w:adjustRightInd w:val="0"/>
              <w:ind w:left="-73"/>
              <w:rPr>
                <w:sz w:val="22"/>
                <w:szCs w:val="22"/>
              </w:rPr>
            </w:pPr>
            <w:r w:rsidRPr="000E2B5A">
              <w:rPr>
                <w:sz w:val="22"/>
                <w:szCs w:val="22"/>
              </w:rPr>
              <w:t>Spring</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C2" w:rsidRPr="000E2B5A" w:rsidRDefault="00D42BC2" w:rsidP="005E7B5F">
            <w:pPr>
              <w:autoSpaceDE w:val="0"/>
              <w:autoSpaceDN w:val="0"/>
              <w:adjustRightInd w:val="0"/>
              <w:ind w:left="-108"/>
              <w:rPr>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C2" w:rsidRPr="000E2B5A" w:rsidRDefault="00D42BC2" w:rsidP="00D42BC2">
            <w:pPr>
              <w:autoSpaceDE w:val="0"/>
              <w:autoSpaceDN w:val="0"/>
              <w:adjustRightInd w:val="0"/>
              <w:rPr>
                <w:b/>
                <w:sz w:val="22"/>
                <w:szCs w:val="22"/>
              </w:rPr>
            </w:pPr>
          </w:p>
        </w:tc>
      </w:tr>
      <w:tr w:rsidR="00D42BC2" w:rsidRPr="000E2B5A" w:rsidTr="005E7B5F">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C2" w:rsidRPr="000E2B5A" w:rsidRDefault="00D42BC2" w:rsidP="00D42BC2">
            <w:pPr>
              <w:rPr>
                <w:sz w:val="22"/>
                <w:szCs w:val="22"/>
              </w:rPr>
            </w:pP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5E7B5F">
            <w:pPr>
              <w:autoSpaceDE w:val="0"/>
              <w:autoSpaceDN w:val="0"/>
              <w:adjustRightInd w:val="0"/>
              <w:ind w:left="-108"/>
              <w:rPr>
                <w:sz w:val="22"/>
                <w:szCs w:val="22"/>
              </w:rPr>
            </w:pPr>
            <w:r w:rsidRPr="000E2B5A">
              <w:rPr>
                <w:sz w:val="22"/>
                <w:szCs w:val="22"/>
              </w:rPr>
              <w:t>Tammuz</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5E7B5F">
            <w:pPr>
              <w:autoSpaceDE w:val="0"/>
              <w:autoSpaceDN w:val="0"/>
              <w:adjustRightInd w:val="0"/>
              <w:ind w:left="-73"/>
              <w:rPr>
                <w:sz w:val="22"/>
                <w:szCs w:val="22"/>
              </w:rPr>
            </w:pPr>
            <w:r w:rsidRPr="000E2B5A">
              <w:rPr>
                <w:sz w:val="22"/>
                <w:szCs w:val="22"/>
              </w:rPr>
              <w:t>Summer</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C2" w:rsidRPr="000E2B5A" w:rsidRDefault="00D42BC2" w:rsidP="005E7B5F">
            <w:pPr>
              <w:autoSpaceDE w:val="0"/>
              <w:autoSpaceDN w:val="0"/>
              <w:adjustRightInd w:val="0"/>
              <w:ind w:left="-108"/>
              <w:rPr>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D42BC2">
            <w:pPr>
              <w:autoSpaceDE w:val="0"/>
              <w:autoSpaceDN w:val="0"/>
              <w:adjustRightInd w:val="0"/>
              <w:rPr>
                <w:b/>
                <w:sz w:val="22"/>
                <w:szCs w:val="22"/>
              </w:rPr>
            </w:pPr>
            <w:r w:rsidRPr="000E2B5A">
              <w:rPr>
                <w:sz w:val="22"/>
                <w:szCs w:val="22"/>
              </w:rPr>
              <w:t>Assyrian campaign in the Levant  - Phoenicia, Philistia and a battle with Egypt on the coast</w:t>
            </w:r>
          </w:p>
        </w:tc>
      </w:tr>
      <w:tr w:rsidR="00D42BC2" w:rsidRPr="000E2B5A" w:rsidTr="005E7B5F">
        <w:tc>
          <w:tcPr>
            <w:tcW w:w="99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D42BC2"/>
          <w:p w:rsidR="00D42BC2" w:rsidRPr="000E2B5A" w:rsidRDefault="00D42BC2" w:rsidP="00D42BC2"/>
          <w:p w:rsidR="00D42BC2" w:rsidRPr="000E2B5A" w:rsidRDefault="00D42BC2" w:rsidP="00D42BC2"/>
          <w:p w:rsidR="00D42BC2" w:rsidRPr="000E2B5A" w:rsidRDefault="00D42BC2" w:rsidP="00D42BC2"/>
          <w:p w:rsidR="00D42BC2" w:rsidRPr="000E2B5A" w:rsidRDefault="00D42BC2" w:rsidP="00D42BC2">
            <w:pPr>
              <w:autoSpaceDE w:val="0"/>
              <w:autoSpaceDN w:val="0"/>
              <w:adjustRightInd w:val="0"/>
              <w:jc w:val="center"/>
              <w:rPr>
                <w:sz w:val="22"/>
                <w:szCs w:val="22"/>
              </w:rPr>
            </w:pPr>
          </w:p>
          <w:p w:rsidR="00D42BC2" w:rsidRPr="000E2B5A" w:rsidRDefault="00D42BC2" w:rsidP="00D42BC2">
            <w:pPr>
              <w:autoSpaceDE w:val="0"/>
              <w:autoSpaceDN w:val="0"/>
              <w:adjustRightInd w:val="0"/>
              <w:jc w:val="center"/>
              <w:rPr>
                <w:b/>
                <w:sz w:val="22"/>
                <w:szCs w:val="22"/>
              </w:rPr>
            </w:pPr>
            <w:r w:rsidRPr="000E2B5A">
              <w:rPr>
                <w:b/>
                <w:sz w:val="22"/>
                <w:szCs w:val="22"/>
              </w:rPr>
              <w:t>701</w:t>
            </w:r>
          </w:p>
          <w:p w:rsidR="00D42BC2" w:rsidRPr="000E2B5A" w:rsidRDefault="00D42BC2" w:rsidP="00D42BC2">
            <w:pPr>
              <w:autoSpaceDE w:val="0"/>
              <w:autoSpaceDN w:val="0"/>
              <w:adjustRightInd w:val="0"/>
              <w:jc w:val="center"/>
              <w:rPr>
                <w:sz w:val="22"/>
                <w:szCs w:val="22"/>
              </w:rPr>
            </w:pPr>
          </w:p>
          <w:p w:rsidR="00D42BC2" w:rsidRPr="000E2B5A" w:rsidRDefault="00D42BC2" w:rsidP="00D42BC2">
            <w:pPr>
              <w:autoSpaceDE w:val="0"/>
              <w:autoSpaceDN w:val="0"/>
              <w:adjustRightInd w:val="0"/>
              <w:jc w:val="center"/>
              <w:rPr>
                <w:sz w:val="22"/>
                <w:szCs w:val="22"/>
              </w:rPr>
            </w:pPr>
          </w:p>
          <w:p w:rsidR="00D42BC2" w:rsidRPr="000E2B5A" w:rsidRDefault="00D42BC2" w:rsidP="00D42BC2">
            <w:pPr>
              <w:autoSpaceDE w:val="0"/>
              <w:autoSpaceDN w:val="0"/>
              <w:adjustRightInd w:val="0"/>
              <w:jc w:val="center"/>
              <w:rPr>
                <w:sz w:val="22"/>
                <w:szCs w:val="22"/>
              </w:rPr>
            </w:pPr>
          </w:p>
          <w:p w:rsidR="00D42BC2" w:rsidRPr="000E2B5A" w:rsidRDefault="00D42BC2" w:rsidP="00D42BC2">
            <w:pPr>
              <w:autoSpaceDE w:val="0"/>
              <w:autoSpaceDN w:val="0"/>
              <w:adjustRightInd w:val="0"/>
              <w:jc w:val="center"/>
              <w:rPr>
                <w:sz w:val="22"/>
                <w:szCs w:val="22"/>
              </w:rPr>
            </w:pPr>
          </w:p>
          <w:p w:rsidR="00D42BC2" w:rsidRPr="000E2B5A" w:rsidRDefault="00D42BC2" w:rsidP="005E7B5F">
            <w:pPr>
              <w:autoSpaceDE w:val="0"/>
              <w:autoSpaceDN w:val="0"/>
              <w:adjustRightInd w:val="0"/>
              <w:ind w:left="-108"/>
              <w:jc w:val="center"/>
              <w:rPr>
                <w:sz w:val="22"/>
                <w:szCs w:val="22"/>
              </w:rPr>
            </w:pPr>
            <w:r w:rsidRPr="000E2B5A">
              <w:rPr>
                <w:sz w:val="22"/>
                <w:szCs w:val="22"/>
              </w:rPr>
              <w:t>14th year of Hezekiah</w:t>
            </w: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5E7B5F" w:rsidRPr="000E2B5A" w:rsidRDefault="005E7B5F" w:rsidP="005E7B5F">
            <w:pPr>
              <w:autoSpaceDE w:val="0"/>
              <w:autoSpaceDN w:val="0"/>
              <w:adjustRightInd w:val="0"/>
              <w:ind w:left="-108"/>
              <w:jc w:val="center"/>
              <w:rPr>
                <w:sz w:val="22"/>
                <w:szCs w:val="22"/>
              </w:rPr>
            </w:pPr>
          </w:p>
          <w:p w:rsidR="00D42BC2" w:rsidRPr="000E2B5A" w:rsidRDefault="00D42BC2" w:rsidP="00D42BC2"/>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5E7B5F">
            <w:pPr>
              <w:autoSpaceDE w:val="0"/>
              <w:autoSpaceDN w:val="0"/>
              <w:adjustRightInd w:val="0"/>
              <w:ind w:left="-108"/>
              <w:rPr>
                <w:sz w:val="22"/>
                <w:szCs w:val="22"/>
              </w:rPr>
            </w:pPr>
            <w:r w:rsidRPr="000E2B5A">
              <w:rPr>
                <w:sz w:val="22"/>
                <w:szCs w:val="22"/>
              </w:rPr>
              <w:t>Tishri</w:t>
            </w:r>
          </w:p>
          <w:p w:rsidR="00D42BC2" w:rsidRPr="000E2B5A" w:rsidRDefault="00D42BC2" w:rsidP="005E7B5F">
            <w:pPr>
              <w:autoSpaceDE w:val="0"/>
              <w:autoSpaceDN w:val="0"/>
              <w:adjustRightInd w:val="0"/>
              <w:ind w:left="-108"/>
              <w:rPr>
                <w:sz w:val="22"/>
                <w:szCs w:val="22"/>
              </w:rPr>
            </w:pP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73"/>
              <w:rPr>
                <w:sz w:val="22"/>
                <w:szCs w:val="22"/>
              </w:rPr>
            </w:pPr>
            <w:r w:rsidRPr="000E2B5A">
              <w:rPr>
                <w:sz w:val="22"/>
                <w:szCs w:val="22"/>
              </w:rPr>
              <w:t>Autumn (barley and wheat planted)</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5E7B5F">
            <w:pPr>
              <w:autoSpaceDE w:val="0"/>
              <w:autoSpaceDN w:val="0"/>
              <w:adjustRightInd w:val="0"/>
              <w:ind w:left="-108"/>
              <w:rPr>
                <w:b/>
                <w:sz w:val="22"/>
                <w:szCs w:val="22"/>
              </w:rPr>
            </w:pPr>
            <w:r w:rsidRPr="000E2B5A">
              <w:rPr>
                <w:b/>
                <w:sz w:val="22"/>
                <w:szCs w:val="22"/>
              </w:rPr>
              <w:t>Atonement</w:t>
            </w:r>
          </w:p>
          <w:p w:rsidR="00D42BC2" w:rsidRPr="000E2B5A" w:rsidRDefault="00D42BC2" w:rsidP="005E7B5F">
            <w:pPr>
              <w:autoSpaceDE w:val="0"/>
              <w:autoSpaceDN w:val="0"/>
              <w:adjustRightInd w:val="0"/>
              <w:ind w:left="-108"/>
              <w:rPr>
                <w:b/>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D42BC2">
            <w:pPr>
              <w:autoSpaceDE w:val="0"/>
              <w:autoSpaceDN w:val="0"/>
              <w:adjustRightInd w:val="0"/>
              <w:rPr>
                <w:sz w:val="22"/>
                <w:szCs w:val="22"/>
              </w:rPr>
            </w:pPr>
            <w:r w:rsidRPr="000E2B5A">
              <w:rPr>
                <w:b/>
                <w:sz w:val="22"/>
                <w:szCs w:val="22"/>
              </w:rPr>
              <w:t xml:space="preserve">Add year to year </w:t>
            </w:r>
            <w:r w:rsidRPr="000E2B5A">
              <w:rPr>
                <w:sz w:val="22"/>
                <w:szCs w:val="22"/>
              </w:rPr>
              <w:t>– Isaiah delivers prophecy of 29:1</w:t>
            </w:r>
          </w:p>
          <w:p w:rsidR="00D42BC2" w:rsidRPr="000E2B5A" w:rsidRDefault="00D42BC2" w:rsidP="00D42BC2"/>
        </w:tc>
      </w:tr>
      <w:tr w:rsidR="00D42BC2" w:rsidRPr="000E2B5A" w:rsidTr="005E7B5F">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C2" w:rsidRPr="000E2B5A" w:rsidRDefault="00D42BC2" w:rsidP="00D42BC2"/>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108"/>
              <w:rPr>
                <w:sz w:val="22"/>
                <w:szCs w:val="22"/>
              </w:rPr>
            </w:pPr>
            <w:r w:rsidRPr="000E2B5A">
              <w:rPr>
                <w:sz w:val="22"/>
                <w:szCs w:val="22"/>
              </w:rPr>
              <w:t>Tebeth</w:t>
            </w:r>
          </w:p>
          <w:p w:rsidR="00D42BC2" w:rsidRPr="000E2B5A" w:rsidRDefault="00D42BC2" w:rsidP="005E7B5F">
            <w:pPr>
              <w:autoSpaceDE w:val="0"/>
              <w:autoSpaceDN w:val="0"/>
              <w:adjustRightInd w:val="0"/>
              <w:ind w:left="-108"/>
              <w:rPr>
                <w:sz w:val="22"/>
                <w:szCs w:val="22"/>
              </w:rPr>
            </w:pPr>
            <w:r w:rsidRPr="000E2B5A">
              <w:rPr>
                <w:sz w:val="22"/>
                <w:szCs w:val="22"/>
              </w:rPr>
              <w:t>(January)</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73"/>
              <w:rPr>
                <w:sz w:val="22"/>
                <w:szCs w:val="22"/>
              </w:rPr>
            </w:pPr>
            <w:r w:rsidRPr="000E2B5A">
              <w:rPr>
                <w:sz w:val="22"/>
                <w:szCs w:val="22"/>
              </w:rPr>
              <w:t>Winter</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108"/>
              <w:rPr>
                <w:sz w:val="22"/>
                <w:szCs w:val="22"/>
              </w:rPr>
            </w:pPr>
            <w:r w:rsidRPr="000E2B5A">
              <w:rPr>
                <w:b/>
                <w:sz w:val="22"/>
                <w:szCs w:val="22"/>
              </w:rPr>
              <w:t>Invasion of Judea</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D42BC2">
            <w:pPr>
              <w:autoSpaceDE w:val="0"/>
              <w:autoSpaceDN w:val="0"/>
              <w:adjustRightInd w:val="0"/>
              <w:rPr>
                <w:sz w:val="22"/>
                <w:szCs w:val="22"/>
              </w:rPr>
            </w:pPr>
            <w:r w:rsidRPr="000E2B5A">
              <w:rPr>
                <w:sz w:val="22"/>
                <w:szCs w:val="22"/>
              </w:rPr>
              <w:t xml:space="preserve">Final phase – </w:t>
            </w:r>
          </w:p>
          <w:p w:rsidR="00D42BC2" w:rsidRPr="000E2B5A" w:rsidRDefault="00D42BC2" w:rsidP="00D42BC2">
            <w:pPr>
              <w:autoSpaceDE w:val="0"/>
              <w:autoSpaceDN w:val="0"/>
              <w:adjustRightInd w:val="0"/>
              <w:rPr>
                <w:sz w:val="22"/>
                <w:szCs w:val="22"/>
              </w:rPr>
            </w:pPr>
            <w:r w:rsidRPr="000E2B5A">
              <w:rPr>
                <w:sz w:val="22"/>
                <w:szCs w:val="22"/>
              </w:rPr>
              <w:t xml:space="preserve">Judah attacked….winter siege in Palestine cities of Judah destroyed, prisoners deported siege established at Lachish and the blockade of Jerusalem in anticipation of spring offensive - </w:t>
            </w:r>
            <w:r w:rsidRPr="000E2B5A">
              <w:rPr>
                <w:b/>
                <w:sz w:val="22"/>
                <w:szCs w:val="22"/>
              </w:rPr>
              <w:t xml:space="preserve">No crops planted </w:t>
            </w:r>
            <w:r w:rsidRPr="000E2B5A">
              <w:rPr>
                <w:sz w:val="22"/>
                <w:szCs w:val="22"/>
              </w:rPr>
              <w:t xml:space="preserve"> - Jerusalem completely isolated  </w:t>
            </w:r>
          </w:p>
          <w:p w:rsidR="00D42BC2" w:rsidRPr="000E2B5A" w:rsidRDefault="00D42BC2" w:rsidP="00D42BC2"/>
        </w:tc>
      </w:tr>
      <w:tr w:rsidR="00D42BC2" w:rsidRPr="000E2B5A" w:rsidTr="005E7B5F">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C2" w:rsidRPr="000E2B5A" w:rsidRDefault="00D42BC2" w:rsidP="00D42BC2"/>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108"/>
              <w:rPr>
                <w:sz w:val="22"/>
                <w:szCs w:val="22"/>
              </w:rPr>
            </w:pPr>
            <w:r w:rsidRPr="000E2B5A">
              <w:rPr>
                <w:sz w:val="22"/>
                <w:szCs w:val="22"/>
              </w:rPr>
              <w:t>Nissan</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73"/>
              <w:rPr>
                <w:sz w:val="22"/>
                <w:szCs w:val="22"/>
              </w:rPr>
            </w:pPr>
            <w:r w:rsidRPr="000E2B5A">
              <w:rPr>
                <w:sz w:val="22"/>
                <w:szCs w:val="22"/>
              </w:rPr>
              <w:t>Spring (harvest)</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108"/>
              <w:rPr>
                <w:b/>
                <w:sz w:val="22"/>
                <w:szCs w:val="22"/>
              </w:rPr>
            </w:pPr>
            <w:r w:rsidRPr="000E2B5A">
              <w:rPr>
                <w:b/>
                <w:sz w:val="22"/>
                <w:szCs w:val="22"/>
              </w:rPr>
              <w:t>Passover</w:t>
            </w:r>
          </w:p>
          <w:p w:rsidR="00D42BC2" w:rsidRPr="000E2B5A" w:rsidRDefault="00D42BC2" w:rsidP="005E7B5F">
            <w:pPr>
              <w:autoSpaceDE w:val="0"/>
              <w:autoSpaceDN w:val="0"/>
              <w:adjustRightInd w:val="0"/>
              <w:ind w:left="-108"/>
              <w:rPr>
                <w:sz w:val="22"/>
                <w:szCs w:val="22"/>
              </w:rPr>
            </w:pPr>
            <w:r w:rsidRPr="000E2B5A">
              <w:rPr>
                <w:b/>
                <w:sz w:val="22"/>
                <w:szCs w:val="22"/>
              </w:rPr>
              <w:t>Deliverance</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D42BC2">
            <w:pPr>
              <w:autoSpaceDE w:val="0"/>
              <w:autoSpaceDN w:val="0"/>
              <w:adjustRightInd w:val="0"/>
              <w:rPr>
                <w:sz w:val="22"/>
                <w:szCs w:val="22"/>
              </w:rPr>
            </w:pPr>
            <w:r w:rsidRPr="000E2B5A">
              <w:rPr>
                <w:b/>
                <w:sz w:val="22"/>
                <w:szCs w:val="22"/>
              </w:rPr>
              <w:t>Sign of Isaiah 37:30</w:t>
            </w:r>
            <w:r w:rsidRPr="000E2B5A">
              <w:rPr>
                <w:sz w:val="22"/>
                <w:szCs w:val="22"/>
              </w:rPr>
              <w:t xml:space="preserve"> given marking </w:t>
            </w:r>
            <w:r w:rsidRPr="000E2B5A">
              <w:rPr>
                <w:b/>
                <w:sz w:val="22"/>
                <w:szCs w:val="22"/>
              </w:rPr>
              <w:t>Tishri 702</w:t>
            </w:r>
            <w:r w:rsidRPr="000E2B5A">
              <w:rPr>
                <w:sz w:val="22"/>
                <w:szCs w:val="22"/>
              </w:rPr>
              <w:t xml:space="preserve"> </w:t>
            </w:r>
            <w:r w:rsidRPr="000E2B5A">
              <w:rPr>
                <w:b/>
                <w:sz w:val="22"/>
                <w:szCs w:val="22"/>
              </w:rPr>
              <w:t>as</w:t>
            </w:r>
            <w:r w:rsidRPr="000E2B5A">
              <w:rPr>
                <w:sz w:val="22"/>
                <w:szCs w:val="22"/>
              </w:rPr>
              <w:t xml:space="preserve"> </w:t>
            </w:r>
            <w:r w:rsidRPr="000E2B5A">
              <w:rPr>
                <w:b/>
                <w:sz w:val="22"/>
                <w:szCs w:val="22"/>
              </w:rPr>
              <w:t>Year One</w:t>
            </w:r>
            <w:r w:rsidRPr="000E2B5A">
              <w:rPr>
                <w:sz w:val="22"/>
                <w:szCs w:val="22"/>
              </w:rPr>
              <w:t xml:space="preserve"> (“This Year”) of the three year prophecy. </w:t>
            </w:r>
          </w:p>
          <w:p w:rsidR="00D42BC2" w:rsidRPr="000E2B5A" w:rsidRDefault="00D42BC2" w:rsidP="00D42BC2">
            <w:pPr>
              <w:autoSpaceDE w:val="0"/>
              <w:autoSpaceDN w:val="0"/>
              <w:adjustRightInd w:val="0"/>
              <w:rPr>
                <w:b/>
                <w:sz w:val="22"/>
                <w:szCs w:val="22"/>
              </w:rPr>
            </w:pPr>
            <w:r w:rsidRPr="000E2B5A">
              <w:rPr>
                <w:b/>
                <w:sz w:val="22"/>
                <w:szCs w:val="22"/>
              </w:rPr>
              <w:t xml:space="preserve">Assyrian Defeat </w:t>
            </w:r>
          </w:p>
          <w:p w:rsidR="00D42BC2" w:rsidRPr="000E2B5A" w:rsidRDefault="00D42BC2" w:rsidP="00D42BC2">
            <w:pPr>
              <w:autoSpaceDE w:val="0"/>
              <w:autoSpaceDN w:val="0"/>
              <w:adjustRightInd w:val="0"/>
              <w:rPr>
                <w:b/>
                <w:sz w:val="22"/>
                <w:szCs w:val="22"/>
              </w:rPr>
            </w:pPr>
          </w:p>
          <w:p w:rsidR="00D42BC2" w:rsidRPr="000E2B5A" w:rsidRDefault="00D42BC2" w:rsidP="00D42BC2">
            <w:pPr>
              <w:autoSpaceDE w:val="0"/>
              <w:autoSpaceDN w:val="0"/>
              <w:adjustRightInd w:val="0"/>
              <w:rPr>
                <w:b/>
                <w:sz w:val="22"/>
                <w:szCs w:val="22"/>
              </w:rPr>
            </w:pPr>
          </w:p>
          <w:p w:rsidR="00D42BC2" w:rsidRPr="000E2B5A" w:rsidRDefault="00D42BC2" w:rsidP="00D42BC2">
            <w:pPr>
              <w:autoSpaceDE w:val="0"/>
              <w:autoSpaceDN w:val="0"/>
              <w:adjustRightInd w:val="0"/>
              <w:rPr>
                <w:b/>
                <w:sz w:val="22"/>
                <w:szCs w:val="22"/>
              </w:rPr>
            </w:pPr>
            <w:r w:rsidRPr="000E2B5A">
              <w:rPr>
                <w:b/>
                <w:sz w:val="22"/>
                <w:szCs w:val="22"/>
              </w:rPr>
              <w:t>No harvest</w:t>
            </w:r>
          </w:p>
          <w:p w:rsidR="00D42BC2" w:rsidRPr="000E2B5A" w:rsidRDefault="00D42BC2" w:rsidP="00D42BC2">
            <w:pPr>
              <w:autoSpaceDE w:val="0"/>
              <w:autoSpaceDN w:val="0"/>
              <w:adjustRightInd w:val="0"/>
              <w:rPr>
                <w:sz w:val="22"/>
                <w:szCs w:val="22"/>
              </w:rPr>
            </w:pPr>
          </w:p>
        </w:tc>
      </w:tr>
      <w:tr w:rsidR="00D42BC2" w:rsidRPr="000E2B5A" w:rsidTr="005E7B5F">
        <w:tc>
          <w:tcPr>
            <w:tcW w:w="99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C2" w:rsidRPr="000E2B5A" w:rsidRDefault="00D42BC2" w:rsidP="00D42BC2"/>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108"/>
              <w:rPr>
                <w:sz w:val="22"/>
                <w:szCs w:val="22"/>
              </w:rPr>
            </w:pPr>
            <w:r w:rsidRPr="000E2B5A">
              <w:rPr>
                <w:sz w:val="22"/>
                <w:szCs w:val="22"/>
              </w:rPr>
              <w:t>Tammuz</w:t>
            </w:r>
          </w:p>
        </w:tc>
        <w:tc>
          <w:tcPr>
            <w:tcW w:w="9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5E7B5F">
            <w:pPr>
              <w:autoSpaceDE w:val="0"/>
              <w:autoSpaceDN w:val="0"/>
              <w:adjustRightInd w:val="0"/>
              <w:ind w:left="-73"/>
              <w:rPr>
                <w:sz w:val="22"/>
                <w:szCs w:val="22"/>
              </w:rPr>
            </w:pPr>
            <w:r w:rsidRPr="000E2B5A">
              <w:rPr>
                <w:sz w:val="22"/>
                <w:szCs w:val="22"/>
              </w:rPr>
              <w:t>Summer</w:t>
            </w:r>
          </w:p>
          <w:p w:rsidR="00D42BC2" w:rsidRPr="000E2B5A" w:rsidRDefault="00D42BC2" w:rsidP="005E7B5F">
            <w:pPr>
              <w:autoSpaceDE w:val="0"/>
              <w:autoSpaceDN w:val="0"/>
              <w:adjustRightInd w:val="0"/>
              <w:ind w:left="-73"/>
              <w:rPr>
                <w:sz w:val="22"/>
                <w:szCs w:val="22"/>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5E7B5F">
            <w:pPr>
              <w:autoSpaceDE w:val="0"/>
              <w:autoSpaceDN w:val="0"/>
              <w:adjustRightInd w:val="0"/>
              <w:ind w:left="-108"/>
              <w:rPr>
                <w:b/>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D42BC2">
            <w:pPr>
              <w:autoSpaceDE w:val="0"/>
              <w:autoSpaceDN w:val="0"/>
              <w:adjustRightInd w:val="0"/>
              <w:rPr>
                <w:sz w:val="22"/>
                <w:szCs w:val="22"/>
              </w:rPr>
            </w:pPr>
          </w:p>
        </w:tc>
      </w:tr>
      <w:tr w:rsidR="00D42BC2" w:rsidRPr="000E2B5A" w:rsidTr="005E7B5F">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B5F" w:rsidRPr="000E2B5A" w:rsidRDefault="005A4F9B" w:rsidP="00D42BC2">
            <w:r>
              <w:rPr>
                <w:noProof/>
                <w:lang w:val="en-GB" w:eastAsia="en-GB"/>
              </w:rPr>
              <w:lastRenderedPageBreak/>
              <w:pict>
                <v:shape id="_x0000_s1190" type="#_x0000_t32" style="position:absolute;left:0;text-align:left;margin-left:16.4pt;margin-top:4.1pt;width:0;height:56pt;z-index:251680256;mso-position-horizontal-relative:text;mso-position-vertical-relative:text" o:connectortype="straight">
                  <v:stroke endarrow="block"/>
                </v:shape>
              </w:pict>
            </w:r>
          </w:p>
          <w:p w:rsidR="005E7B5F" w:rsidRPr="000E2B5A" w:rsidRDefault="005E7B5F" w:rsidP="00D42BC2"/>
          <w:p w:rsidR="005E7B5F" w:rsidRPr="000E2B5A" w:rsidRDefault="005E7B5F" w:rsidP="00D42BC2"/>
          <w:p w:rsidR="005E7B5F" w:rsidRPr="000E2B5A" w:rsidRDefault="005E7B5F" w:rsidP="00D42BC2"/>
          <w:p w:rsidR="005E7B5F" w:rsidRPr="000E2B5A" w:rsidRDefault="005E7B5F" w:rsidP="00D42BC2"/>
          <w:p w:rsidR="00D42BC2" w:rsidRPr="000E2B5A" w:rsidRDefault="005A4F9B" w:rsidP="005E7B5F">
            <w:pPr>
              <w:jc w:val="center"/>
              <w:rPr>
                <w:b/>
              </w:rPr>
            </w:pPr>
            <w:r>
              <w:rPr>
                <w:noProof/>
                <w:lang w:val="en-GB" w:eastAsia="en-GB"/>
              </w:rPr>
              <w:pict>
                <v:shape id="_x0000_s1192" type="#_x0000_t32" style="position:absolute;left:0;text-align:left;margin-left:16.4pt;margin-top:14.8pt;width:0;height:96.25pt;z-index:251681280" o:connectortype="straight">
                  <v:stroke endarrow="block"/>
                </v:shape>
              </w:pict>
            </w:r>
            <w:r w:rsidR="005E7B5F" w:rsidRPr="000E2B5A">
              <w:rPr>
                <w:b/>
              </w:rPr>
              <w:t>700</w:t>
            </w:r>
          </w:p>
        </w:tc>
        <w:tc>
          <w:tcPr>
            <w:tcW w:w="1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D42BC2">
            <w:pPr>
              <w:autoSpaceDE w:val="0"/>
              <w:autoSpaceDN w:val="0"/>
              <w:adjustRightInd w:val="0"/>
              <w:rPr>
                <w:sz w:val="22"/>
                <w:szCs w:val="22"/>
              </w:rPr>
            </w:pPr>
            <w:r w:rsidRPr="000E2B5A">
              <w:rPr>
                <w:sz w:val="22"/>
                <w:szCs w:val="22"/>
              </w:rPr>
              <w:t>Tishri</w:t>
            </w:r>
          </w:p>
        </w:tc>
        <w:tc>
          <w:tcPr>
            <w:tcW w:w="10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5E7B5F">
            <w:pPr>
              <w:autoSpaceDE w:val="0"/>
              <w:autoSpaceDN w:val="0"/>
              <w:adjustRightInd w:val="0"/>
              <w:ind w:left="-37"/>
              <w:rPr>
                <w:sz w:val="22"/>
                <w:szCs w:val="22"/>
              </w:rPr>
            </w:pPr>
            <w:r w:rsidRPr="000E2B5A">
              <w:rPr>
                <w:sz w:val="22"/>
                <w:szCs w:val="22"/>
              </w:rPr>
              <w:t>Autumn (barley and wheat planted)</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5E7B5F">
            <w:pPr>
              <w:autoSpaceDE w:val="0"/>
              <w:autoSpaceDN w:val="0"/>
              <w:adjustRightInd w:val="0"/>
              <w:ind w:left="-108"/>
              <w:rPr>
                <w:b/>
                <w:sz w:val="22"/>
                <w:szCs w:val="22"/>
              </w:rPr>
            </w:pPr>
            <w:r w:rsidRPr="000E2B5A">
              <w:rPr>
                <w:b/>
                <w:sz w:val="22"/>
                <w:szCs w:val="22"/>
              </w:rPr>
              <w:t>Atonement</w:t>
            </w:r>
          </w:p>
          <w:p w:rsidR="00D42BC2" w:rsidRPr="000E2B5A" w:rsidRDefault="00D42BC2" w:rsidP="005E7B5F">
            <w:pPr>
              <w:autoSpaceDE w:val="0"/>
              <w:autoSpaceDN w:val="0"/>
              <w:adjustRightInd w:val="0"/>
              <w:ind w:left="-108"/>
              <w:rPr>
                <w:b/>
                <w:sz w:val="22"/>
                <w:szCs w:val="22"/>
              </w:rPr>
            </w:pPr>
            <w:r w:rsidRPr="000E2B5A">
              <w:rPr>
                <w:b/>
                <w:sz w:val="22"/>
                <w:szCs w:val="22"/>
              </w:rPr>
              <w:t>Jubilee Year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D42BC2">
            <w:r w:rsidRPr="000E2B5A">
              <w:rPr>
                <w:b/>
                <w:sz w:val="22"/>
                <w:szCs w:val="22"/>
              </w:rPr>
              <w:t>Year Two…</w:t>
            </w:r>
            <w:r w:rsidRPr="000E2B5A">
              <w:rPr>
                <w:sz w:val="22"/>
                <w:szCs w:val="22"/>
              </w:rPr>
              <w:t xml:space="preserve"> No planting of crops in the Jubilee year but captives released (Isa 27:3)</w:t>
            </w:r>
          </w:p>
        </w:tc>
      </w:tr>
      <w:tr w:rsidR="00D42BC2" w:rsidRPr="000E2B5A" w:rsidTr="005E7B5F">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C2" w:rsidRPr="000E2B5A" w:rsidRDefault="00D42BC2" w:rsidP="00D42BC2"/>
        </w:tc>
        <w:tc>
          <w:tcPr>
            <w:tcW w:w="1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D42BC2">
            <w:pPr>
              <w:autoSpaceDE w:val="0"/>
              <w:autoSpaceDN w:val="0"/>
              <w:adjustRightInd w:val="0"/>
              <w:rPr>
                <w:sz w:val="22"/>
                <w:szCs w:val="22"/>
              </w:rPr>
            </w:pPr>
            <w:r w:rsidRPr="000E2B5A">
              <w:rPr>
                <w:sz w:val="22"/>
                <w:szCs w:val="22"/>
              </w:rPr>
              <w:t>Tebeth</w:t>
            </w:r>
          </w:p>
          <w:p w:rsidR="00D42BC2" w:rsidRPr="000E2B5A" w:rsidRDefault="00D42BC2" w:rsidP="00D42BC2">
            <w:pPr>
              <w:autoSpaceDE w:val="0"/>
              <w:autoSpaceDN w:val="0"/>
              <w:adjustRightInd w:val="0"/>
              <w:rPr>
                <w:sz w:val="22"/>
                <w:szCs w:val="22"/>
              </w:rPr>
            </w:pPr>
            <w:r w:rsidRPr="000E2B5A">
              <w:rPr>
                <w:sz w:val="22"/>
                <w:szCs w:val="22"/>
              </w:rPr>
              <w:t>(January)</w:t>
            </w:r>
          </w:p>
        </w:tc>
        <w:tc>
          <w:tcPr>
            <w:tcW w:w="10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5E7B5F">
            <w:pPr>
              <w:autoSpaceDE w:val="0"/>
              <w:autoSpaceDN w:val="0"/>
              <w:adjustRightInd w:val="0"/>
              <w:ind w:left="-37"/>
              <w:rPr>
                <w:sz w:val="22"/>
                <w:szCs w:val="22"/>
              </w:rPr>
            </w:pPr>
            <w:r w:rsidRPr="000E2B5A">
              <w:rPr>
                <w:sz w:val="22"/>
                <w:szCs w:val="22"/>
              </w:rPr>
              <w:t>Winter</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C2" w:rsidRPr="000E2B5A" w:rsidRDefault="00D42BC2" w:rsidP="005E7B5F">
            <w:pPr>
              <w:autoSpaceDE w:val="0"/>
              <w:autoSpaceDN w:val="0"/>
              <w:adjustRightInd w:val="0"/>
              <w:ind w:left="-108"/>
              <w:rPr>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C2" w:rsidRPr="000E2B5A" w:rsidRDefault="00D42BC2" w:rsidP="00D42BC2"/>
        </w:tc>
      </w:tr>
      <w:tr w:rsidR="00D42BC2" w:rsidRPr="000E2B5A" w:rsidTr="005E7B5F">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C2" w:rsidRPr="000E2B5A" w:rsidRDefault="00D42BC2" w:rsidP="00D42BC2"/>
        </w:tc>
        <w:tc>
          <w:tcPr>
            <w:tcW w:w="1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D42BC2">
            <w:pPr>
              <w:autoSpaceDE w:val="0"/>
              <w:autoSpaceDN w:val="0"/>
              <w:adjustRightInd w:val="0"/>
              <w:rPr>
                <w:sz w:val="22"/>
                <w:szCs w:val="22"/>
              </w:rPr>
            </w:pPr>
            <w:r w:rsidRPr="000E2B5A">
              <w:rPr>
                <w:sz w:val="22"/>
                <w:szCs w:val="22"/>
              </w:rPr>
              <w:t>Nissan</w:t>
            </w:r>
          </w:p>
        </w:tc>
        <w:tc>
          <w:tcPr>
            <w:tcW w:w="10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5E7B5F">
            <w:pPr>
              <w:autoSpaceDE w:val="0"/>
              <w:autoSpaceDN w:val="0"/>
              <w:adjustRightInd w:val="0"/>
              <w:ind w:left="-37"/>
              <w:rPr>
                <w:sz w:val="22"/>
                <w:szCs w:val="22"/>
              </w:rPr>
            </w:pPr>
            <w:r w:rsidRPr="000E2B5A">
              <w:rPr>
                <w:sz w:val="22"/>
                <w:szCs w:val="22"/>
              </w:rPr>
              <w:t>Spring (harvesting)</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5E7B5F">
            <w:pPr>
              <w:autoSpaceDE w:val="0"/>
              <w:autoSpaceDN w:val="0"/>
              <w:adjustRightInd w:val="0"/>
              <w:ind w:left="-108"/>
              <w:rPr>
                <w:sz w:val="22"/>
                <w:szCs w:val="22"/>
              </w:rPr>
            </w:pPr>
            <w:r w:rsidRPr="000E2B5A">
              <w:rPr>
                <w:sz w:val="22"/>
                <w:szCs w:val="22"/>
              </w:rPr>
              <w:t>Passover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D42BC2">
            <w:pPr>
              <w:rPr>
                <w:b/>
                <w:sz w:val="22"/>
                <w:szCs w:val="22"/>
              </w:rPr>
            </w:pPr>
            <w:r w:rsidRPr="000E2B5A">
              <w:rPr>
                <w:b/>
                <w:sz w:val="22"/>
                <w:szCs w:val="22"/>
              </w:rPr>
              <w:t>No harvest</w:t>
            </w:r>
          </w:p>
        </w:tc>
      </w:tr>
      <w:tr w:rsidR="00D42BC2" w:rsidRPr="000E2B5A" w:rsidTr="005E7B5F">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C2" w:rsidRPr="000E2B5A" w:rsidRDefault="00D42BC2" w:rsidP="00D42BC2"/>
        </w:tc>
        <w:tc>
          <w:tcPr>
            <w:tcW w:w="1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D42BC2">
            <w:pPr>
              <w:autoSpaceDE w:val="0"/>
              <w:autoSpaceDN w:val="0"/>
              <w:adjustRightInd w:val="0"/>
              <w:rPr>
                <w:sz w:val="22"/>
                <w:szCs w:val="22"/>
              </w:rPr>
            </w:pPr>
            <w:r w:rsidRPr="000E2B5A">
              <w:rPr>
                <w:sz w:val="22"/>
                <w:szCs w:val="22"/>
              </w:rPr>
              <w:t>Tammuz</w:t>
            </w:r>
          </w:p>
        </w:tc>
        <w:tc>
          <w:tcPr>
            <w:tcW w:w="10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42BC2" w:rsidRPr="000E2B5A" w:rsidRDefault="00D42BC2" w:rsidP="005E7B5F">
            <w:pPr>
              <w:autoSpaceDE w:val="0"/>
              <w:autoSpaceDN w:val="0"/>
              <w:adjustRightInd w:val="0"/>
              <w:ind w:left="-37"/>
              <w:rPr>
                <w:sz w:val="22"/>
                <w:szCs w:val="22"/>
              </w:rPr>
            </w:pPr>
            <w:r w:rsidRPr="000E2B5A">
              <w:rPr>
                <w:sz w:val="22"/>
                <w:szCs w:val="22"/>
              </w:rPr>
              <w:t>Summer</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C2" w:rsidRPr="000E2B5A" w:rsidRDefault="00D42BC2" w:rsidP="005E7B5F">
            <w:pPr>
              <w:autoSpaceDE w:val="0"/>
              <w:autoSpaceDN w:val="0"/>
              <w:adjustRightInd w:val="0"/>
              <w:ind w:left="-108"/>
              <w:rPr>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42BC2" w:rsidRPr="000E2B5A" w:rsidRDefault="00D42BC2" w:rsidP="00D42BC2"/>
        </w:tc>
      </w:tr>
      <w:tr w:rsidR="00D42BC2" w:rsidRPr="000E2B5A" w:rsidTr="005E7B5F">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E7B5F" w:rsidRPr="000E2B5A" w:rsidRDefault="005E7B5F" w:rsidP="00D42BC2"/>
          <w:p w:rsidR="005E7B5F" w:rsidRPr="000E2B5A" w:rsidRDefault="005E7B5F" w:rsidP="00D42BC2"/>
          <w:p w:rsidR="005E7B5F" w:rsidRPr="000E2B5A" w:rsidRDefault="005E7B5F" w:rsidP="00D42BC2"/>
          <w:p w:rsidR="005E7B5F" w:rsidRPr="000E2B5A" w:rsidRDefault="005E7B5F" w:rsidP="00D42BC2"/>
          <w:p w:rsidR="00D42BC2" w:rsidRPr="000E2B5A" w:rsidRDefault="005E7B5F" w:rsidP="005E7B5F">
            <w:pPr>
              <w:jc w:val="center"/>
              <w:rPr>
                <w:b/>
              </w:rPr>
            </w:pPr>
            <w:r w:rsidRPr="000E2B5A">
              <w:rPr>
                <w:b/>
              </w:rPr>
              <w:t>699</w:t>
            </w:r>
          </w:p>
        </w:tc>
        <w:tc>
          <w:tcPr>
            <w:tcW w:w="1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D42BC2">
            <w:pPr>
              <w:autoSpaceDE w:val="0"/>
              <w:autoSpaceDN w:val="0"/>
              <w:adjustRightInd w:val="0"/>
              <w:rPr>
                <w:sz w:val="22"/>
                <w:szCs w:val="22"/>
              </w:rPr>
            </w:pPr>
            <w:r w:rsidRPr="000E2B5A">
              <w:rPr>
                <w:sz w:val="22"/>
                <w:szCs w:val="22"/>
              </w:rPr>
              <w:t>Tishri</w:t>
            </w:r>
          </w:p>
        </w:tc>
        <w:tc>
          <w:tcPr>
            <w:tcW w:w="10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37"/>
              <w:rPr>
                <w:sz w:val="22"/>
                <w:szCs w:val="22"/>
              </w:rPr>
            </w:pPr>
            <w:r w:rsidRPr="000E2B5A">
              <w:rPr>
                <w:sz w:val="22"/>
                <w:szCs w:val="22"/>
              </w:rPr>
              <w:t>Autumn (barley and wheat planted)</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108"/>
              <w:rPr>
                <w:sz w:val="22"/>
                <w:szCs w:val="22"/>
              </w:rPr>
            </w:pPr>
            <w:r w:rsidRPr="000E2B5A">
              <w:rPr>
                <w:sz w:val="22"/>
                <w:szCs w:val="22"/>
              </w:rPr>
              <w:t>Atonement</w:t>
            </w:r>
            <w:r w:rsidRPr="000E2B5A">
              <w:rPr>
                <w:b/>
                <w:sz w:val="22"/>
                <w:szCs w:val="22"/>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D42BC2">
            <w:pPr>
              <w:autoSpaceDE w:val="0"/>
              <w:autoSpaceDN w:val="0"/>
              <w:adjustRightInd w:val="0"/>
              <w:rPr>
                <w:b/>
                <w:sz w:val="22"/>
                <w:szCs w:val="22"/>
              </w:rPr>
            </w:pPr>
            <w:r w:rsidRPr="000E2B5A">
              <w:rPr>
                <w:b/>
                <w:sz w:val="22"/>
                <w:szCs w:val="22"/>
              </w:rPr>
              <w:t>Year Three</w:t>
            </w:r>
          </w:p>
          <w:p w:rsidR="00D42BC2" w:rsidRPr="000E2B5A" w:rsidRDefault="00D42BC2" w:rsidP="00D42BC2">
            <w:r w:rsidRPr="000E2B5A">
              <w:rPr>
                <w:b/>
                <w:sz w:val="22"/>
                <w:szCs w:val="22"/>
              </w:rPr>
              <w:t>Plant and sow</w:t>
            </w:r>
          </w:p>
        </w:tc>
      </w:tr>
      <w:tr w:rsidR="00D42BC2" w:rsidRPr="000E2B5A" w:rsidTr="005E7B5F">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C2" w:rsidRPr="000E2B5A" w:rsidRDefault="00D42BC2" w:rsidP="00D42BC2"/>
        </w:tc>
        <w:tc>
          <w:tcPr>
            <w:tcW w:w="1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D42BC2">
            <w:pPr>
              <w:autoSpaceDE w:val="0"/>
              <w:autoSpaceDN w:val="0"/>
              <w:adjustRightInd w:val="0"/>
              <w:rPr>
                <w:sz w:val="22"/>
                <w:szCs w:val="22"/>
              </w:rPr>
            </w:pPr>
            <w:r w:rsidRPr="000E2B5A">
              <w:rPr>
                <w:sz w:val="22"/>
                <w:szCs w:val="22"/>
              </w:rPr>
              <w:t>Tebeth</w:t>
            </w:r>
          </w:p>
          <w:p w:rsidR="00D42BC2" w:rsidRPr="000E2B5A" w:rsidRDefault="00D42BC2" w:rsidP="00D42BC2">
            <w:pPr>
              <w:autoSpaceDE w:val="0"/>
              <w:autoSpaceDN w:val="0"/>
              <w:adjustRightInd w:val="0"/>
              <w:rPr>
                <w:sz w:val="22"/>
                <w:szCs w:val="22"/>
              </w:rPr>
            </w:pPr>
            <w:r w:rsidRPr="000E2B5A">
              <w:rPr>
                <w:sz w:val="22"/>
                <w:szCs w:val="22"/>
              </w:rPr>
              <w:t>(January)</w:t>
            </w:r>
          </w:p>
        </w:tc>
        <w:tc>
          <w:tcPr>
            <w:tcW w:w="10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37"/>
              <w:rPr>
                <w:sz w:val="22"/>
                <w:szCs w:val="22"/>
              </w:rPr>
            </w:pPr>
            <w:r w:rsidRPr="000E2B5A">
              <w:rPr>
                <w:sz w:val="22"/>
                <w:szCs w:val="22"/>
              </w:rPr>
              <w:t>Winter</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5E7B5F">
            <w:pPr>
              <w:autoSpaceDE w:val="0"/>
              <w:autoSpaceDN w:val="0"/>
              <w:adjustRightInd w:val="0"/>
              <w:ind w:left="-108"/>
              <w:rPr>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D42BC2"/>
        </w:tc>
      </w:tr>
      <w:tr w:rsidR="00D42BC2" w:rsidRPr="000E2B5A" w:rsidTr="005E7B5F">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C2" w:rsidRPr="000E2B5A" w:rsidRDefault="00D42BC2" w:rsidP="00D42BC2"/>
        </w:tc>
        <w:tc>
          <w:tcPr>
            <w:tcW w:w="1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D42BC2">
            <w:pPr>
              <w:autoSpaceDE w:val="0"/>
              <w:autoSpaceDN w:val="0"/>
              <w:adjustRightInd w:val="0"/>
              <w:rPr>
                <w:sz w:val="22"/>
                <w:szCs w:val="22"/>
              </w:rPr>
            </w:pPr>
            <w:r w:rsidRPr="000E2B5A">
              <w:rPr>
                <w:sz w:val="22"/>
                <w:szCs w:val="22"/>
              </w:rPr>
              <w:t>Nissan</w:t>
            </w:r>
          </w:p>
        </w:tc>
        <w:tc>
          <w:tcPr>
            <w:tcW w:w="10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37"/>
              <w:rPr>
                <w:sz w:val="22"/>
                <w:szCs w:val="22"/>
              </w:rPr>
            </w:pPr>
            <w:r w:rsidRPr="000E2B5A">
              <w:rPr>
                <w:sz w:val="22"/>
                <w:szCs w:val="22"/>
              </w:rPr>
              <w:t>Spring (harvesting)</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108"/>
              <w:rPr>
                <w:sz w:val="22"/>
                <w:szCs w:val="22"/>
              </w:rPr>
            </w:pPr>
            <w:r w:rsidRPr="000E2B5A">
              <w:rPr>
                <w:sz w:val="22"/>
                <w:szCs w:val="22"/>
              </w:rPr>
              <w:t>Passover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D42BC2"/>
        </w:tc>
      </w:tr>
      <w:tr w:rsidR="00D42BC2" w:rsidRPr="000E2B5A" w:rsidTr="005E7B5F">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42BC2" w:rsidRPr="000E2B5A" w:rsidRDefault="00D42BC2" w:rsidP="00D42BC2"/>
        </w:tc>
        <w:tc>
          <w:tcPr>
            <w:tcW w:w="12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D42BC2">
            <w:pPr>
              <w:autoSpaceDE w:val="0"/>
              <w:autoSpaceDN w:val="0"/>
              <w:adjustRightInd w:val="0"/>
              <w:rPr>
                <w:sz w:val="22"/>
                <w:szCs w:val="22"/>
              </w:rPr>
            </w:pPr>
            <w:r w:rsidRPr="000E2B5A">
              <w:rPr>
                <w:sz w:val="22"/>
                <w:szCs w:val="22"/>
              </w:rPr>
              <w:t>Tammuz</w:t>
            </w:r>
          </w:p>
        </w:tc>
        <w:tc>
          <w:tcPr>
            <w:tcW w:w="106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5E7B5F">
            <w:pPr>
              <w:autoSpaceDE w:val="0"/>
              <w:autoSpaceDN w:val="0"/>
              <w:adjustRightInd w:val="0"/>
              <w:ind w:left="-37"/>
              <w:rPr>
                <w:sz w:val="22"/>
                <w:szCs w:val="22"/>
              </w:rPr>
            </w:pPr>
            <w:r w:rsidRPr="000E2B5A">
              <w:rPr>
                <w:sz w:val="22"/>
                <w:szCs w:val="22"/>
              </w:rPr>
              <w:t>Summer</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D42BC2" w:rsidRPr="000E2B5A" w:rsidRDefault="00D42BC2" w:rsidP="005E7B5F">
            <w:pPr>
              <w:autoSpaceDE w:val="0"/>
              <w:autoSpaceDN w:val="0"/>
              <w:adjustRightInd w:val="0"/>
              <w:ind w:left="-108"/>
              <w:rPr>
                <w:sz w:val="22"/>
                <w:szCs w:val="22"/>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D42BC2" w:rsidRPr="000E2B5A" w:rsidRDefault="00D42BC2" w:rsidP="00D42BC2">
            <w:r w:rsidRPr="000E2B5A">
              <w:rPr>
                <w:b/>
                <w:sz w:val="22"/>
                <w:szCs w:val="22"/>
              </w:rPr>
              <w:t>Huge harvest</w:t>
            </w:r>
          </w:p>
        </w:tc>
      </w:tr>
    </w:tbl>
    <w:p w:rsidR="005E7B5F" w:rsidRPr="000E2B5A" w:rsidRDefault="005E7B5F" w:rsidP="00D42BC2">
      <w:pPr>
        <w:rPr>
          <w:sz w:val="22"/>
          <w:szCs w:val="22"/>
          <w:lang w:val="en-AU"/>
        </w:rPr>
      </w:pPr>
    </w:p>
    <w:p w:rsidR="00D42BC2" w:rsidRPr="000E2B5A" w:rsidRDefault="00D42BC2" w:rsidP="00D42BC2">
      <w:pPr>
        <w:rPr>
          <w:sz w:val="22"/>
          <w:szCs w:val="22"/>
          <w:lang w:val="en-AU"/>
        </w:rPr>
      </w:pPr>
      <w:r w:rsidRPr="000E2B5A">
        <w:rPr>
          <w:sz w:val="22"/>
          <w:szCs w:val="22"/>
          <w:lang w:val="en-AU"/>
        </w:rPr>
        <w:t>The agricultural blessing was therefore a “sign” or token of the absolute defeat of the enemy and just as the fields would enjoy the blessing of “fruit” (cf. the desert blooming in Isa 35) so also the remnant would “</w:t>
      </w:r>
      <w:r w:rsidRPr="000E2B5A">
        <w:rPr>
          <w:sz w:val="22"/>
          <w:szCs w:val="22"/>
          <w:u w:val="single"/>
          <w:lang w:val="en-AU"/>
        </w:rPr>
        <w:t>take root downward, And bear fruit upward</w:t>
      </w:r>
      <w:r w:rsidR="005E7B5F" w:rsidRPr="000E2B5A">
        <w:rPr>
          <w:sz w:val="22"/>
          <w:szCs w:val="22"/>
          <w:lang w:val="en-AU"/>
        </w:rPr>
        <w:t xml:space="preserve">” (Isa </w:t>
      </w:r>
      <w:r w:rsidRPr="000E2B5A">
        <w:rPr>
          <w:sz w:val="22"/>
          <w:szCs w:val="22"/>
          <w:lang w:val="en-AU"/>
        </w:rPr>
        <w:t>37:31).</w:t>
      </w:r>
      <w:r w:rsidRPr="000E2B5A">
        <w:rPr>
          <w:sz w:val="22"/>
          <w:szCs w:val="22"/>
        </w:rPr>
        <w:t xml:space="preserve"> </w:t>
      </w:r>
      <w:r w:rsidRPr="000E2B5A">
        <w:rPr>
          <w:sz w:val="22"/>
          <w:szCs w:val="22"/>
          <w:lang w:val="en-AU"/>
        </w:rPr>
        <w:t>The Lord would preserve a people for Himself from among the Jerusalemites. This would include the Davidic line of kings, as He had promised (2 Sam 7:16; cf. Isa 9:6). His own zeal to remain true to His word and to bless His people would perform this (cf. 9:7; 59:17). It would not depend on the faithfulness of His people (Isa 37:32).</w:t>
      </w:r>
    </w:p>
    <w:p w:rsidR="00D42BC2" w:rsidRPr="000E2B5A" w:rsidRDefault="00D42BC2" w:rsidP="00D42BC2">
      <w:pPr>
        <w:rPr>
          <w:szCs w:val="36"/>
        </w:rPr>
      </w:pPr>
    </w:p>
    <w:p w:rsidR="00D42BC2" w:rsidRPr="000E2B5A" w:rsidRDefault="00D42BC2" w:rsidP="00D42BC2">
      <w:pPr>
        <w:rPr>
          <w:rFonts w:ascii="Bradley Hand ITC" w:hAnsi="Bradley Hand ITC"/>
          <w:b/>
          <w:sz w:val="28"/>
          <w:szCs w:val="28"/>
        </w:rPr>
      </w:pPr>
      <w:r w:rsidRPr="000E2B5A">
        <w:rPr>
          <w:rFonts w:ascii="Bradley Hand ITC" w:hAnsi="Bradley Hand ITC"/>
          <w:b/>
          <w:sz w:val="28"/>
          <w:szCs w:val="28"/>
        </w:rPr>
        <w:t>Assyrian Records</w:t>
      </w:r>
    </w:p>
    <w:p w:rsidR="00D42BC2" w:rsidRPr="000E2B5A" w:rsidRDefault="00D42BC2" w:rsidP="00D42BC2">
      <w:pPr>
        <w:autoSpaceDE w:val="0"/>
        <w:autoSpaceDN w:val="0"/>
        <w:adjustRightInd w:val="0"/>
        <w:rPr>
          <w:sz w:val="22"/>
          <w:szCs w:val="22"/>
        </w:rPr>
      </w:pPr>
      <w:r w:rsidRPr="000E2B5A">
        <w:rPr>
          <w:sz w:val="22"/>
          <w:szCs w:val="22"/>
        </w:rPr>
        <w:t xml:space="preserve">I contend that a </w:t>
      </w:r>
      <w:r w:rsidRPr="000E2B5A">
        <w:rPr>
          <w:b/>
          <w:sz w:val="22"/>
          <w:szCs w:val="22"/>
        </w:rPr>
        <w:t>Passover deliverance in 701</w:t>
      </w:r>
      <w:r w:rsidRPr="000E2B5A">
        <w:rPr>
          <w:sz w:val="22"/>
          <w:szCs w:val="22"/>
        </w:rPr>
        <w:t xml:space="preserve"> fits the historical data in the Assyrian annals as far as this can be ascertained. The Assyriologist L. D. Levine has analysed the Assyrian records and concluded that Sennacherib’s campaigning in Mesopotamia (known as his first and second campaigns) ended at the latest around August 702. This means the campaign in the Levant could in theory have started around September/October (Tishri) 702 after a month or two of rest. Most probably the campaign began in the October of 702 (autumn) with the “final phase” (invasion of Judah) occurring in the winter (thus giving an 8-9 month campaign). </w:t>
      </w:r>
    </w:p>
    <w:p w:rsidR="00D42BC2" w:rsidRPr="000E2B5A" w:rsidRDefault="00D42BC2" w:rsidP="00D42BC2">
      <w:pPr>
        <w:autoSpaceDE w:val="0"/>
        <w:autoSpaceDN w:val="0"/>
        <w:adjustRightInd w:val="0"/>
        <w:rPr>
          <w:sz w:val="22"/>
          <w:szCs w:val="28"/>
        </w:rPr>
      </w:pPr>
    </w:p>
    <w:p w:rsidR="00D42BC2" w:rsidRPr="000E2B5A" w:rsidRDefault="00D42BC2" w:rsidP="00D42BC2">
      <w:pPr>
        <w:autoSpaceDE w:val="0"/>
        <w:autoSpaceDN w:val="0"/>
        <w:adjustRightInd w:val="0"/>
        <w:rPr>
          <w:sz w:val="22"/>
          <w:szCs w:val="28"/>
        </w:rPr>
      </w:pPr>
      <w:r w:rsidRPr="000E2B5A">
        <w:rPr>
          <w:sz w:val="22"/>
          <w:szCs w:val="28"/>
        </w:rPr>
        <w:lastRenderedPageBreak/>
        <w:t xml:space="preserve">Sennacherib’s records show that he was an all-year campaigner in his early years and did not respect the usual “fighting season of the kings”. The final phase of the Levant campaign happened in Judah in the autumn/winter of </w:t>
      </w:r>
      <w:r w:rsidRPr="000E2B5A">
        <w:rPr>
          <w:b/>
          <w:sz w:val="22"/>
          <w:szCs w:val="28"/>
        </w:rPr>
        <w:t>702-701</w:t>
      </w:r>
      <w:r w:rsidRPr="000E2B5A">
        <w:rPr>
          <w:sz w:val="22"/>
          <w:szCs w:val="28"/>
        </w:rPr>
        <w:t xml:space="preserve"> and ended in the early spring of </w:t>
      </w:r>
      <w:r w:rsidRPr="000E2B5A">
        <w:rPr>
          <w:b/>
          <w:sz w:val="22"/>
          <w:szCs w:val="28"/>
        </w:rPr>
        <w:t>701</w:t>
      </w:r>
      <w:r w:rsidRPr="000E2B5A">
        <w:rPr>
          <w:sz w:val="22"/>
          <w:szCs w:val="28"/>
        </w:rPr>
        <w:t>. Strategically this makes sense because the battle with Egypt at El-Tekeh would have employed chariots which are difficult to operate in the winter months. The establishment of siege works does not necessitate the same manoeuvrability as cavalry engagements and this could be done in autumn or in winter. Assyrian camps outside of garrison cities would ensure restriction of movement in the countryside and the destruction/requisition of the harvest coupled with the prevention of sowing winter crops would effectively isolate the city of Jerusalem.</w:t>
      </w:r>
    </w:p>
    <w:p w:rsidR="00D42BC2" w:rsidRPr="000E2B5A" w:rsidRDefault="00D42BC2" w:rsidP="00D42BC2">
      <w:pPr>
        <w:autoSpaceDE w:val="0"/>
        <w:autoSpaceDN w:val="0"/>
        <w:adjustRightInd w:val="0"/>
        <w:rPr>
          <w:sz w:val="20"/>
          <w:szCs w:val="28"/>
        </w:rPr>
      </w:pPr>
    </w:p>
    <w:p w:rsidR="00D42BC2" w:rsidRPr="000E2B5A" w:rsidRDefault="00D42BC2" w:rsidP="00D42BC2">
      <w:pPr>
        <w:autoSpaceDE w:val="0"/>
        <w:autoSpaceDN w:val="0"/>
        <w:adjustRightInd w:val="0"/>
        <w:rPr>
          <w:szCs w:val="36"/>
        </w:rPr>
      </w:pPr>
      <w:r w:rsidRPr="000E2B5A">
        <w:rPr>
          <w:sz w:val="22"/>
          <w:szCs w:val="28"/>
        </w:rPr>
        <w:t>Sennacherib has “form” for employing the unorthodox strategy of conducting campaigns in winter rather than in the spring. In his first campaign against Babylonia he committed his troops in Jan/Feb on 20 Shebatu (expeditions at this time of year are unknown). The first campaign of Sennacherib is recorded in fullest detail on BM 113203 and its duplicates.</w:t>
      </w:r>
      <w:r w:rsidRPr="000E2B5A">
        <w:rPr>
          <w:rStyle w:val="FootnoteReference"/>
          <w:sz w:val="22"/>
          <w:szCs w:val="28"/>
        </w:rPr>
        <w:footnoteReference w:id="68"/>
      </w:r>
      <w:r w:rsidRPr="000E2B5A">
        <w:rPr>
          <w:sz w:val="22"/>
          <w:szCs w:val="28"/>
        </w:rPr>
        <w:t xml:space="preserve"> Levine notes the fact that Sennacherib commenced his campaign on 20 Shebatu (Jan/Feb).</w:t>
      </w:r>
      <w:r w:rsidRPr="000E2B5A">
        <w:rPr>
          <w:rStyle w:val="FootnoteReference"/>
          <w:sz w:val="22"/>
          <w:szCs w:val="28"/>
        </w:rPr>
        <w:footnoteReference w:id="69"/>
      </w:r>
      <w:r w:rsidRPr="000E2B5A">
        <w:rPr>
          <w:sz w:val="22"/>
          <w:szCs w:val="28"/>
        </w:rPr>
        <w:t xml:space="preserve">  During his campaign of 694-693 Sennacherib attempted to attack Madaktu in the month of Tebet (Dec/Jan), Levine notes that, “unusually severe weather forced him to retreat. The campaign of 694-693 ended as it had begun, with the weather playing a critical role”.</w:t>
      </w:r>
      <w:r w:rsidRPr="000E2B5A">
        <w:rPr>
          <w:rStyle w:val="FootnoteReference"/>
          <w:sz w:val="22"/>
          <w:szCs w:val="28"/>
        </w:rPr>
        <w:footnoteReference w:id="70"/>
      </w:r>
      <w:r w:rsidRPr="000E2B5A">
        <w:rPr>
          <w:sz w:val="22"/>
          <w:szCs w:val="28"/>
        </w:rPr>
        <w:t xml:space="preserve"> It is therefore not out of character to propose the placement of winter siege camps in the Levant as it seems to have formed part of Sennacherib’s overall military strategy to deny his opponents time to regroup (during the winter) and the disruption of the agricultural cycle probably also factored in this strategy. It is unlikely that besieged cities could survive for more than six months on their reserves, especially if the next harvest was non-existent. The Assyrians would either burn (or eat) the standing crops (in spring) and prevent the sowing of the winter crop. Even if reserve stores allowed for a six month siege, the besieged would emerge into a countryside that was devoid of food, depopulated and unproductive for at least another six months – this would ensure that a city like Jerusalem would not survive a second spring offensive.  </w:t>
      </w:r>
    </w:p>
    <w:p w:rsidR="005E7B5F" w:rsidRPr="000E2B5A" w:rsidRDefault="005E7B5F" w:rsidP="00D42BC2">
      <w:pPr>
        <w:rPr>
          <w:szCs w:val="36"/>
        </w:rPr>
      </w:pPr>
    </w:p>
    <w:p w:rsidR="0041278C" w:rsidRPr="000E2B5A" w:rsidRDefault="0041278C" w:rsidP="00D42BC2">
      <w:pPr>
        <w:rPr>
          <w:szCs w:val="36"/>
        </w:rPr>
      </w:pPr>
    </w:p>
    <w:p w:rsidR="00D42BC2" w:rsidRPr="000E2B5A" w:rsidRDefault="00D42BC2" w:rsidP="00D42BC2">
      <w:pPr>
        <w:rPr>
          <w:rFonts w:ascii="Bradley Hand ITC" w:hAnsi="Bradley Hand ITC"/>
          <w:b/>
          <w:sz w:val="28"/>
          <w:szCs w:val="36"/>
        </w:rPr>
      </w:pPr>
      <w:r w:rsidRPr="000E2B5A">
        <w:rPr>
          <w:rFonts w:ascii="Bradley Hand ITC" w:hAnsi="Bradley Hand ITC"/>
          <w:b/>
          <w:sz w:val="28"/>
          <w:szCs w:val="36"/>
        </w:rPr>
        <w:lastRenderedPageBreak/>
        <w:t>The Passover Deliverance in Isaiah 26</w:t>
      </w:r>
    </w:p>
    <w:p w:rsidR="00D42BC2" w:rsidRPr="000E2B5A" w:rsidRDefault="00D42BC2" w:rsidP="00D42BC2">
      <w:pPr>
        <w:rPr>
          <w:sz w:val="22"/>
          <w:szCs w:val="28"/>
        </w:rPr>
      </w:pPr>
      <w:r w:rsidRPr="000E2B5A">
        <w:rPr>
          <w:sz w:val="22"/>
          <w:szCs w:val="28"/>
        </w:rPr>
        <w:t>The background to Isaiah 26 is the Passover deliverance during the Assyrian crisis. The reference in the opening verses of the chapter is to a “song that will be sung in the land of Judah (praise)” and v. 2 is virtually a quote of Ps 118:19-20:</w:t>
      </w:r>
    </w:p>
    <w:p w:rsidR="0041278C" w:rsidRPr="000E2B5A" w:rsidRDefault="0041278C" w:rsidP="00D42BC2">
      <w:pPr>
        <w:rPr>
          <w:sz w:val="22"/>
          <w:szCs w:val="28"/>
        </w:rPr>
      </w:pPr>
    </w:p>
    <w:p w:rsidR="00D42BC2" w:rsidRPr="000E2B5A" w:rsidRDefault="00D42BC2" w:rsidP="00D42BC2">
      <w:pPr>
        <w:pStyle w:val="Quote"/>
        <w:rPr>
          <w:lang w:val="en-AU"/>
        </w:rPr>
      </w:pPr>
      <w:r w:rsidRPr="000E2B5A">
        <w:rPr>
          <w:lang w:val="en-AU"/>
        </w:rPr>
        <w:t xml:space="preserve">Open to me the gates of righteousness; I will go through them, </w:t>
      </w:r>
      <w:r w:rsidRPr="000E2B5A">
        <w:rPr>
          <w:i/>
          <w:lang w:val="en-AU"/>
        </w:rPr>
        <w:t>a</w:t>
      </w:r>
      <w:r w:rsidRPr="000E2B5A">
        <w:rPr>
          <w:i/>
          <w:iCs/>
          <w:lang w:val="en-AU"/>
        </w:rPr>
        <w:t xml:space="preserve">nd </w:t>
      </w:r>
      <w:r w:rsidRPr="000E2B5A">
        <w:rPr>
          <w:lang w:val="en-AU"/>
        </w:rPr>
        <w:t>I will praise the Lord.</w:t>
      </w:r>
      <w:r w:rsidRPr="000E2B5A">
        <w:t xml:space="preserve"> </w:t>
      </w:r>
      <w:r w:rsidRPr="000E2B5A">
        <w:rPr>
          <w:lang w:val="en-AU"/>
        </w:rPr>
        <w:t>This is the gate of the Lord, through which the righteous shall enter. (Ps</w:t>
      </w:r>
      <w:r w:rsidR="00A21A72" w:rsidRPr="000E2B5A">
        <w:rPr>
          <w:lang w:val="en-AU"/>
        </w:rPr>
        <w:t xml:space="preserve"> </w:t>
      </w:r>
      <w:r w:rsidRPr="000E2B5A">
        <w:rPr>
          <w:lang w:val="en-AU"/>
        </w:rPr>
        <w:t>118:19-20)</w:t>
      </w:r>
    </w:p>
    <w:p w:rsidR="00D42BC2" w:rsidRPr="000E2B5A" w:rsidRDefault="00D42BC2" w:rsidP="00D42BC2">
      <w:pPr>
        <w:ind w:left="1134" w:right="1134"/>
        <w:rPr>
          <w:sz w:val="28"/>
          <w:szCs w:val="28"/>
          <w:lang w:val="en-AU"/>
        </w:rPr>
      </w:pPr>
    </w:p>
    <w:p w:rsidR="00D42BC2" w:rsidRPr="000E2B5A" w:rsidRDefault="00D42BC2" w:rsidP="00D42BC2">
      <w:pPr>
        <w:pStyle w:val="Quote"/>
        <w:rPr>
          <w:lang w:val="en-AU"/>
        </w:rPr>
      </w:pPr>
      <w:r w:rsidRPr="000E2B5A">
        <w:rPr>
          <w:lang w:val="en-AU"/>
        </w:rPr>
        <w:t>Open the gates, that the righteous nation which keeps the truth may enter in. (Isa.26:2)</w:t>
      </w:r>
    </w:p>
    <w:p w:rsidR="00D42BC2" w:rsidRPr="000E2B5A" w:rsidRDefault="00D42BC2" w:rsidP="00D42BC2">
      <w:pPr>
        <w:rPr>
          <w:sz w:val="28"/>
          <w:szCs w:val="28"/>
        </w:rPr>
      </w:pPr>
    </w:p>
    <w:p w:rsidR="00D42BC2" w:rsidRPr="000E2B5A" w:rsidRDefault="00D42BC2" w:rsidP="00D42BC2">
      <w:pPr>
        <w:rPr>
          <w:sz w:val="22"/>
          <w:szCs w:val="28"/>
          <w:lang w:val="en-AU"/>
        </w:rPr>
      </w:pPr>
      <w:r w:rsidRPr="000E2B5A">
        <w:rPr>
          <w:sz w:val="22"/>
          <w:szCs w:val="28"/>
        </w:rPr>
        <w:t xml:space="preserve">Psalms 113-118 constitute the Hallel (Psalms of Praise) </w:t>
      </w:r>
      <w:r w:rsidRPr="000E2B5A">
        <w:rPr>
          <w:b/>
          <w:sz w:val="22"/>
          <w:szCs w:val="28"/>
        </w:rPr>
        <w:t>sung at the Jewish Passover</w:t>
      </w:r>
      <w:r w:rsidRPr="000E2B5A">
        <w:rPr>
          <w:sz w:val="22"/>
          <w:szCs w:val="28"/>
        </w:rPr>
        <w:t>.</w:t>
      </w:r>
      <w:r w:rsidRPr="000E2B5A">
        <w:rPr>
          <w:rStyle w:val="FootnoteReference"/>
          <w:sz w:val="22"/>
          <w:szCs w:val="28"/>
        </w:rPr>
        <w:footnoteReference w:id="71"/>
      </w:r>
      <w:r w:rsidR="00A21A72" w:rsidRPr="000E2B5A">
        <w:rPr>
          <w:sz w:val="22"/>
          <w:szCs w:val="28"/>
        </w:rPr>
        <w:t xml:space="preserve"> </w:t>
      </w:r>
      <w:r w:rsidR="00243E4A" w:rsidRPr="000E2B5A">
        <w:rPr>
          <w:sz w:val="22"/>
          <w:szCs w:val="22"/>
        </w:rPr>
        <w:t>Isaiah 30:29 also refers to singing on the Passover night; “</w:t>
      </w:r>
      <w:r w:rsidR="00243E4A" w:rsidRPr="000E2B5A">
        <w:rPr>
          <w:color w:val="auto"/>
          <w:sz w:val="22"/>
          <w:szCs w:val="22"/>
          <w:lang w:val="en-AU" w:eastAsia="en-GB"/>
        </w:rPr>
        <w:t xml:space="preserve">You shall have a song </w:t>
      </w:r>
      <w:r w:rsidR="00243E4A" w:rsidRPr="000E2B5A">
        <w:rPr>
          <w:b/>
          <w:color w:val="auto"/>
          <w:sz w:val="22"/>
          <w:szCs w:val="22"/>
          <w:lang w:val="en-AU" w:eastAsia="en-GB"/>
        </w:rPr>
        <w:t>as</w:t>
      </w:r>
      <w:r w:rsidR="00243E4A" w:rsidRPr="000E2B5A">
        <w:rPr>
          <w:color w:val="auto"/>
          <w:sz w:val="22"/>
          <w:szCs w:val="22"/>
          <w:lang w:val="en-AU" w:eastAsia="en-GB"/>
        </w:rPr>
        <w:t xml:space="preserve"> in the night </w:t>
      </w:r>
      <w:r w:rsidR="00243E4A" w:rsidRPr="000E2B5A">
        <w:rPr>
          <w:i/>
          <w:iCs/>
          <w:color w:val="auto"/>
          <w:sz w:val="22"/>
          <w:szCs w:val="22"/>
          <w:lang w:val="en-AU" w:eastAsia="en-GB"/>
        </w:rPr>
        <w:t xml:space="preserve">when </w:t>
      </w:r>
      <w:r w:rsidR="00243E4A" w:rsidRPr="000E2B5A">
        <w:rPr>
          <w:color w:val="auto"/>
          <w:sz w:val="22"/>
          <w:szCs w:val="22"/>
          <w:lang w:val="en-AU" w:eastAsia="en-GB"/>
        </w:rPr>
        <w:t xml:space="preserve">a holy festival is kept, And gladness of heart as when one goes with a flute, To come into the mountain of the Lord, To the Mighty One of Israel”. </w:t>
      </w:r>
      <w:r w:rsidR="00243E4A" w:rsidRPr="000E2B5A">
        <w:rPr>
          <w:sz w:val="22"/>
          <w:szCs w:val="22"/>
          <w:lang w:val="en-AU" w:eastAsia="en-AU"/>
        </w:rPr>
        <w:t>No longer would they only sing the “song of Moses” (Ex.15:1) on Passover but they would now also sing a “new song” (cf. Isa 42:10) composed to commemorate the latest Passover deliverance (cf. Ps 118:14). In a similar fashion the redeemed in Christ also sing a “new song” (Rev 14:3),which is also an adaptation (</w:t>
      </w:r>
      <w:r w:rsidR="00243E4A" w:rsidRPr="000E2B5A">
        <w:rPr>
          <w:b/>
          <w:bCs/>
          <w:sz w:val="22"/>
          <w:szCs w:val="22"/>
          <w:lang w:val="en-AU" w:eastAsia="en-AU"/>
        </w:rPr>
        <w:t>like/as</w:t>
      </w:r>
      <w:r w:rsidR="00243E4A" w:rsidRPr="000E2B5A">
        <w:rPr>
          <w:sz w:val="22"/>
          <w:szCs w:val="22"/>
          <w:lang w:val="en-AU" w:eastAsia="en-AU"/>
        </w:rPr>
        <w:t xml:space="preserve"> a song in the night) of the Passover song as this future version is designated “the song of Moses, the servant of God, and the song of the Lamb” (Rev 15:3). </w:t>
      </w:r>
      <w:r w:rsidRPr="000E2B5A">
        <w:rPr>
          <w:sz w:val="22"/>
          <w:szCs w:val="28"/>
        </w:rPr>
        <w:t xml:space="preserve">Psalm </w:t>
      </w:r>
      <w:r w:rsidR="00A21A72" w:rsidRPr="000E2B5A">
        <w:rPr>
          <w:sz w:val="22"/>
          <w:szCs w:val="28"/>
        </w:rPr>
        <w:t xml:space="preserve">118 </w:t>
      </w:r>
      <w:r w:rsidRPr="000E2B5A">
        <w:rPr>
          <w:sz w:val="22"/>
          <w:szCs w:val="28"/>
        </w:rPr>
        <w:t>celebrates the fact of Hezekiah’s reprieve “</w:t>
      </w:r>
      <w:r w:rsidRPr="000E2B5A">
        <w:rPr>
          <w:sz w:val="22"/>
          <w:szCs w:val="28"/>
          <w:lang w:val="en-AU"/>
        </w:rPr>
        <w:t>I shall not die, but live, and declare the works of the Lord” (v.</w:t>
      </w:r>
      <w:r w:rsidR="00A21A72" w:rsidRPr="000E2B5A">
        <w:rPr>
          <w:sz w:val="22"/>
          <w:szCs w:val="28"/>
          <w:lang w:val="en-AU"/>
        </w:rPr>
        <w:t xml:space="preserve"> </w:t>
      </w:r>
      <w:r w:rsidRPr="000E2B5A">
        <w:rPr>
          <w:sz w:val="22"/>
          <w:szCs w:val="28"/>
          <w:lang w:val="en-AU"/>
        </w:rPr>
        <w:t xml:space="preserve">17), and that he (together with the faithful) would enter into the gates of the temple and “sing my songs (i.e. Psalm 118) with stringed instruments all the days of our life, in the house of the Lord” (Isa 38:20). On the </w:t>
      </w:r>
      <w:r w:rsidRPr="000E2B5A">
        <w:rPr>
          <w:i/>
          <w:sz w:val="22"/>
          <w:szCs w:val="28"/>
          <w:lang w:val="en-AU"/>
        </w:rPr>
        <w:t>third day</w:t>
      </w:r>
      <w:r w:rsidR="00D93A97" w:rsidRPr="000E2B5A">
        <w:rPr>
          <w:i/>
          <w:sz w:val="22"/>
          <w:szCs w:val="28"/>
          <w:lang w:val="en-AU"/>
        </w:rPr>
        <w:t xml:space="preserve"> </w:t>
      </w:r>
      <w:r w:rsidR="00D93A97" w:rsidRPr="000E2B5A">
        <w:rPr>
          <w:sz w:val="22"/>
          <w:szCs w:val="28"/>
          <w:lang w:val="en-AU"/>
        </w:rPr>
        <w:t>after being told of his recovery</w:t>
      </w:r>
      <w:r w:rsidRPr="000E2B5A">
        <w:rPr>
          <w:sz w:val="22"/>
          <w:szCs w:val="28"/>
          <w:lang w:val="en-AU"/>
        </w:rPr>
        <w:t xml:space="preserve"> (2 Kgs 20:5, 8) Hezekiah arose from his sickbed and entered the Temple through the doors that he had unsealed at the beginning of his reformation (2 Chron 29:3).</w:t>
      </w:r>
    </w:p>
    <w:p w:rsidR="00D42BC2" w:rsidRPr="000E2B5A" w:rsidRDefault="00D42BC2" w:rsidP="00D42BC2">
      <w:pPr>
        <w:rPr>
          <w:sz w:val="22"/>
          <w:szCs w:val="28"/>
          <w:lang w:val="en-AU"/>
        </w:rPr>
      </w:pPr>
    </w:p>
    <w:p w:rsidR="00D42BC2" w:rsidRPr="000E2B5A" w:rsidRDefault="00D42BC2" w:rsidP="00D42BC2">
      <w:pPr>
        <w:rPr>
          <w:sz w:val="22"/>
          <w:szCs w:val="28"/>
          <w:lang w:val="en-AU"/>
        </w:rPr>
      </w:pPr>
      <w:r w:rsidRPr="000E2B5A">
        <w:rPr>
          <w:sz w:val="22"/>
          <w:szCs w:val="28"/>
          <w:lang w:val="en-AU"/>
        </w:rPr>
        <w:t>Hezekiah had been vindicated because he trusted in Yahweh in contrast to the lofty city (Nineveh) that had been “brought low” by the defeat of her armies (Isa 26:3-4) trodden down under the feet of the “poor and needy” (v. 5) the Suffering Servant of Isaiah 53 and another reference from the Passover Halel Psalms:</w:t>
      </w:r>
    </w:p>
    <w:p w:rsidR="00D42BC2" w:rsidRPr="000E2B5A" w:rsidRDefault="00D42BC2" w:rsidP="00D42BC2">
      <w:pPr>
        <w:rPr>
          <w:sz w:val="22"/>
          <w:szCs w:val="28"/>
          <w:lang w:val="en-AU"/>
        </w:rPr>
      </w:pPr>
      <w:r w:rsidRPr="000E2B5A">
        <w:rPr>
          <w:sz w:val="22"/>
          <w:szCs w:val="28"/>
          <w:lang w:val="en-AU"/>
        </w:rPr>
        <w:t xml:space="preserve">   </w:t>
      </w:r>
    </w:p>
    <w:p w:rsidR="00D42BC2" w:rsidRPr="000E2B5A" w:rsidRDefault="00D42BC2" w:rsidP="00D42BC2">
      <w:pPr>
        <w:pStyle w:val="Quote"/>
        <w:rPr>
          <w:lang w:val="en-AU"/>
        </w:rPr>
      </w:pPr>
      <w:r w:rsidRPr="000E2B5A">
        <w:rPr>
          <w:lang w:val="en-AU"/>
        </w:rPr>
        <w:lastRenderedPageBreak/>
        <w:t>He raises the poor out of the dust, a</w:t>
      </w:r>
      <w:r w:rsidRPr="000E2B5A">
        <w:rPr>
          <w:i/>
          <w:iCs/>
          <w:lang w:val="en-AU"/>
        </w:rPr>
        <w:t xml:space="preserve">nd </w:t>
      </w:r>
      <w:r w:rsidRPr="000E2B5A">
        <w:rPr>
          <w:lang w:val="en-AU"/>
        </w:rPr>
        <w:t>lifts the needy out of the ash heap (Ps 113:7)</w:t>
      </w:r>
    </w:p>
    <w:p w:rsidR="00D42BC2" w:rsidRPr="000E2B5A" w:rsidRDefault="00D42BC2" w:rsidP="00D42BC2">
      <w:pPr>
        <w:rPr>
          <w:sz w:val="22"/>
          <w:szCs w:val="28"/>
          <w:lang w:val="en-AU"/>
        </w:rPr>
      </w:pPr>
    </w:p>
    <w:p w:rsidR="00D42BC2" w:rsidRPr="000E2B5A" w:rsidRDefault="00D42BC2" w:rsidP="00D42BC2">
      <w:pPr>
        <w:rPr>
          <w:sz w:val="22"/>
          <w:szCs w:val="28"/>
        </w:rPr>
      </w:pPr>
      <w:r w:rsidRPr="000E2B5A">
        <w:rPr>
          <w:sz w:val="22"/>
          <w:szCs w:val="28"/>
        </w:rPr>
        <w:t xml:space="preserve">Hezekiah </w:t>
      </w:r>
      <w:r w:rsidR="00D93A97" w:rsidRPr="000E2B5A">
        <w:rPr>
          <w:sz w:val="22"/>
          <w:szCs w:val="28"/>
        </w:rPr>
        <w:t>was the Passover victim brought</w:t>
      </w:r>
      <w:r w:rsidRPr="000E2B5A">
        <w:rPr>
          <w:sz w:val="22"/>
          <w:szCs w:val="28"/>
        </w:rPr>
        <w:t xml:space="preserve"> “as a lamb to the slaughter” (Isa 53:7), but his hope was focused on Passover deliverance:</w:t>
      </w:r>
    </w:p>
    <w:p w:rsidR="00D42BC2" w:rsidRPr="000E2B5A" w:rsidRDefault="00D42BC2" w:rsidP="00D42BC2">
      <w:pPr>
        <w:rPr>
          <w:sz w:val="22"/>
          <w:szCs w:val="28"/>
        </w:rPr>
      </w:pPr>
    </w:p>
    <w:p w:rsidR="00D42BC2" w:rsidRPr="000E2B5A" w:rsidRDefault="00D42BC2" w:rsidP="00D42BC2">
      <w:pPr>
        <w:pStyle w:val="Quote"/>
        <w:rPr>
          <w:lang w:val="en-AU"/>
        </w:rPr>
      </w:pPr>
      <w:r w:rsidRPr="000E2B5A">
        <w:rPr>
          <w:lang w:val="en-AU"/>
        </w:rPr>
        <w:t xml:space="preserve">Yes, in the way of your judgments, O Lord, we have waited for You; The desire of </w:t>
      </w:r>
      <w:r w:rsidRPr="000E2B5A">
        <w:rPr>
          <w:i/>
          <w:iCs/>
          <w:lang w:val="en-AU"/>
        </w:rPr>
        <w:t xml:space="preserve">our </w:t>
      </w:r>
      <w:r w:rsidRPr="000E2B5A">
        <w:rPr>
          <w:lang w:val="en-AU"/>
        </w:rPr>
        <w:t xml:space="preserve">soul </w:t>
      </w:r>
      <w:r w:rsidRPr="000E2B5A">
        <w:rPr>
          <w:i/>
          <w:iCs/>
          <w:lang w:val="en-AU"/>
        </w:rPr>
        <w:t xml:space="preserve">is </w:t>
      </w:r>
      <w:r w:rsidRPr="000E2B5A">
        <w:rPr>
          <w:lang w:val="en-AU"/>
        </w:rPr>
        <w:t xml:space="preserve">for your </w:t>
      </w:r>
      <w:r w:rsidRPr="000E2B5A">
        <w:rPr>
          <w:u w:val="single"/>
          <w:lang w:val="en-AU"/>
        </w:rPr>
        <w:t>name</w:t>
      </w:r>
      <w:r w:rsidRPr="000E2B5A">
        <w:rPr>
          <w:lang w:val="en-AU"/>
        </w:rPr>
        <w:t xml:space="preserve"> And for the </w:t>
      </w:r>
      <w:r w:rsidRPr="000E2B5A">
        <w:rPr>
          <w:u w:val="single"/>
          <w:lang w:val="en-AU"/>
        </w:rPr>
        <w:t>remembrance</w:t>
      </w:r>
      <w:r w:rsidRPr="000E2B5A">
        <w:rPr>
          <w:lang w:val="en-AU"/>
        </w:rPr>
        <w:t xml:space="preserve"> (</w:t>
      </w:r>
      <w:r w:rsidRPr="000E2B5A">
        <w:rPr>
          <w:rFonts w:ascii="Bwhebb" w:hAnsi="Bwhebb"/>
          <w:sz w:val="28"/>
          <w:lang w:val="en-AU"/>
        </w:rPr>
        <w:t>rkz</w:t>
      </w:r>
      <w:r w:rsidRPr="000E2B5A">
        <w:rPr>
          <w:lang w:val="en-AU"/>
        </w:rPr>
        <w:t>) of You. (Isa 26:8)</w:t>
      </w:r>
    </w:p>
    <w:p w:rsidR="00D42BC2" w:rsidRPr="000E2B5A" w:rsidRDefault="00D42BC2" w:rsidP="00D42BC2">
      <w:pPr>
        <w:autoSpaceDE w:val="0"/>
        <w:autoSpaceDN w:val="0"/>
        <w:adjustRightInd w:val="0"/>
        <w:ind w:left="1134" w:right="1134"/>
        <w:rPr>
          <w:sz w:val="22"/>
          <w:szCs w:val="28"/>
          <w:lang w:val="en-AU"/>
        </w:rPr>
      </w:pPr>
    </w:p>
    <w:p w:rsidR="00D42BC2" w:rsidRPr="000E2B5A" w:rsidRDefault="00D42BC2" w:rsidP="00D42BC2">
      <w:pPr>
        <w:autoSpaceDE w:val="0"/>
        <w:autoSpaceDN w:val="0"/>
        <w:adjustRightInd w:val="0"/>
        <w:rPr>
          <w:sz w:val="22"/>
          <w:szCs w:val="28"/>
          <w:lang w:val="en-AU"/>
        </w:rPr>
      </w:pPr>
      <w:r w:rsidRPr="000E2B5A">
        <w:rPr>
          <w:sz w:val="22"/>
          <w:szCs w:val="28"/>
          <w:lang w:val="en-AU"/>
        </w:rPr>
        <w:t>The last phrase is a reference to the burning bush revelation in Exod 3:15,</w:t>
      </w:r>
    </w:p>
    <w:p w:rsidR="00D42BC2" w:rsidRPr="000E2B5A" w:rsidRDefault="00D42BC2" w:rsidP="00D42BC2">
      <w:pPr>
        <w:autoSpaceDE w:val="0"/>
        <w:autoSpaceDN w:val="0"/>
        <w:adjustRightInd w:val="0"/>
        <w:rPr>
          <w:sz w:val="22"/>
          <w:szCs w:val="28"/>
          <w:lang w:val="en-AU"/>
        </w:rPr>
      </w:pPr>
    </w:p>
    <w:p w:rsidR="00D42BC2" w:rsidRPr="000E2B5A" w:rsidRDefault="00D42BC2" w:rsidP="00D42BC2">
      <w:pPr>
        <w:pStyle w:val="Quote"/>
        <w:rPr>
          <w:lang w:val="en-AU"/>
        </w:rPr>
      </w:pPr>
      <w:r w:rsidRPr="000E2B5A">
        <w:rPr>
          <w:lang w:val="en-AU"/>
        </w:rPr>
        <w:t xml:space="preserve">This </w:t>
      </w:r>
      <w:r w:rsidRPr="000E2B5A">
        <w:rPr>
          <w:i/>
          <w:iCs/>
          <w:lang w:val="en-AU"/>
        </w:rPr>
        <w:t xml:space="preserve">is </w:t>
      </w:r>
      <w:r w:rsidRPr="000E2B5A">
        <w:rPr>
          <w:lang w:val="en-AU"/>
        </w:rPr>
        <w:t xml:space="preserve">my </w:t>
      </w:r>
      <w:r w:rsidRPr="000E2B5A">
        <w:rPr>
          <w:u w:val="single"/>
          <w:lang w:val="en-AU"/>
        </w:rPr>
        <w:t>name</w:t>
      </w:r>
      <w:r w:rsidRPr="000E2B5A">
        <w:rPr>
          <w:lang w:val="en-AU"/>
        </w:rPr>
        <w:t xml:space="preserve"> forever, and this </w:t>
      </w:r>
      <w:r w:rsidRPr="000E2B5A">
        <w:rPr>
          <w:i/>
          <w:iCs/>
          <w:lang w:val="en-AU"/>
        </w:rPr>
        <w:t xml:space="preserve">is </w:t>
      </w:r>
      <w:r w:rsidRPr="000E2B5A">
        <w:rPr>
          <w:lang w:val="en-AU"/>
        </w:rPr>
        <w:t xml:space="preserve">my </w:t>
      </w:r>
      <w:r w:rsidRPr="000E2B5A">
        <w:rPr>
          <w:u w:val="single"/>
          <w:lang w:val="en-AU"/>
        </w:rPr>
        <w:t>memorial</w:t>
      </w:r>
      <w:r w:rsidRPr="000E2B5A">
        <w:rPr>
          <w:lang w:val="en-AU"/>
        </w:rPr>
        <w:t xml:space="preserve"> (</w:t>
      </w:r>
      <w:r w:rsidRPr="000E2B5A">
        <w:rPr>
          <w:rFonts w:ascii="Bwhebb" w:hAnsi="Bwhebb"/>
          <w:sz w:val="28"/>
          <w:lang w:val="en-AU"/>
        </w:rPr>
        <w:t>rkz</w:t>
      </w:r>
      <w:r w:rsidRPr="000E2B5A">
        <w:rPr>
          <w:lang w:val="en-AU"/>
        </w:rPr>
        <w:t>) to all generations. (Exod 3:15)</w:t>
      </w:r>
    </w:p>
    <w:p w:rsidR="00D42BC2" w:rsidRPr="000E2B5A" w:rsidRDefault="00D42BC2" w:rsidP="00D42BC2">
      <w:pPr>
        <w:autoSpaceDE w:val="0"/>
        <w:autoSpaceDN w:val="0"/>
        <w:adjustRightInd w:val="0"/>
        <w:rPr>
          <w:sz w:val="22"/>
          <w:szCs w:val="28"/>
          <w:lang w:val="en-AU"/>
        </w:rPr>
      </w:pPr>
    </w:p>
    <w:p w:rsidR="00D42BC2" w:rsidRPr="000E2B5A" w:rsidRDefault="00D42BC2" w:rsidP="00D42BC2">
      <w:pPr>
        <w:autoSpaceDE w:val="0"/>
        <w:autoSpaceDN w:val="0"/>
        <w:adjustRightInd w:val="0"/>
        <w:rPr>
          <w:sz w:val="22"/>
          <w:szCs w:val="28"/>
          <w:lang w:val="en-AU"/>
        </w:rPr>
      </w:pPr>
      <w:r w:rsidRPr="000E2B5A">
        <w:rPr>
          <w:sz w:val="22"/>
          <w:szCs w:val="28"/>
        </w:rPr>
        <w:t xml:space="preserve">The revelation given to Moses concerned the </w:t>
      </w:r>
      <w:r w:rsidRPr="000E2B5A">
        <w:rPr>
          <w:b/>
          <w:sz w:val="22"/>
          <w:szCs w:val="28"/>
        </w:rPr>
        <w:t>Passover deliverance</w:t>
      </w:r>
      <w:r w:rsidRPr="000E2B5A">
        <w:rPr>
          <w:sz w:val="22"/>
          <w:szCs w:val="28"/>
        </w:rPr>
        <w:t xml:space="preserve"> from Egypt (v. 7). </w:t>
      </w:r>
      <w:r w:rsidRPr="000E2B5A">
        <w:rPr>
          <w:sz w:val="22"/>
          <w:szCs w:val="28"/>
          <w:lang w:val="en-AU"/>
        </w:rPr>
        <w:t xml:space="preserve">The Hebrew </w:t>
      </w:r>
      <w:r w:rsidRPr="000E2B5A">
        <w:rPr>
          <w:i/>
          <w:sz w:val="22"/>
          <w:szCs w:val="28"/>
          <w:lang w:val="en-AU"/>
        </w:rPr>
        <w:t>zēker</w:t>
      </w:r>
      <w:r w:rsidRPr="000E2B5A">
        <w:rPr>
          <w:sz w:val="22"/>
          <w:szCs w:val="28"/>
          <w:lang w:val="en-AU"/>
        </w:rPr>
        <w:t xml:space="preserve"> (</w:t>
      </w:r>
      <w:r w:rsidRPr="000E2B5A">
        <w:rPr>
          <w:rFonts w:ascii="Bwhebb" w:hAnsi="Bwhebb"/>
          <w:sz w:val="28"/>
          <w:szCs w:val="28"/>
          <w:lang w:val="en-AU"/>
        </w:rPr>
        <w:t>rkz</w:t>
      </w:r>
      <w:r w:rsidRPr="000E2B5A">
        <w:rPr>
          <w:sz w:val="22"/>
          <w:szCs w:val="28"/>
          <w:lang w:val="en-AU"/>
        </w:rPr>
        <w:t>) refers either to remembrance when it is associated with death (the fate of not being remembered, e.g. Isa 26:14), or as a parallel or synonym of “name” or “fame” particularly when used of God (Exod 3:15; Isa 26:8) in Ps 111:4 the</w:t>
      </w:r>
      <w:r w:rsidRPr="000E2B5A">
        <w:rPr>
          <w:i/>
          <w:sz w:val="22"/>
          <w:szCs w:val="28"/>
          <w:lang w:val="en-AU"/>
        </w:rPr>
        <w:t xml:space="preserve"> zēker</w:t>
      </w:r>
      <w:r w:rsidRPr="000E2B5A">
        <w:rPr>
          <w:sz w:val="22"/>
          <w:szCs w:val="28"/>
          <w:lang w:val="en-AU"/>
        </w:rPr>
        <w:t xml:space="preserve"> that God established for his wonders denotes proclamation of the Exodus.</w:t>
      </w:r>
      <w:r w:rsidRPr="000E2B5A">
        <w:rPr>
          <w:rStyle w:val="FootnoteReference"/>
          <w:sz w:val="22"/>
          <w:szCs w:val="28"/>
          <w:lang w:val="en-AU"/>
        </w:rPr>
        <w:footnoteReference w:id="72"/>
      </w:r>
      <w:r w:rsidRPr="000E2B5A">
        <w:rPr>
          <w:sz w:val="22"/>
          <w:szCs w:val="28"/>
          <w:lang w:val="en-AU"/>
        </w:rPr>
        <w:t xml:space="preserve">  Interestingly, both uses of </w:t>
      </w:r>
      <w:r w:rsidRPr="000E2B5A">
        <w:rPr>
          <w:i/>
          <w:sz w:val="22"/>
          <w:szCs w:val="28"/>
          <w:lang w:val="en-AU"/>
        </w:rPr>
        <w:t>zēker</w:t>
      </w:r>
      <w:r w:rsidRPr="000E2B5A">
        <w:rPr>
          <w:sz w:val="22"/>
          <w:szCs w:val="28"/>
          <w:lang w:val="en-AU"/>
        </w:rPr>
        <w:t xml:space="preserve"> are found in Isaiah 26, probably by way of contrast;</w:t>
      </w:r>
    </w:p>
    <w:p w:rsidR="00D42BC2" w:rsidRPr="000E2B5A" w:rsidRDefault="00D42BC2" w:rsidP="00D42BC2">
      <w:pPr>
        <w:autoSpaceDE w:val="0"/>
        <w:autoSpaceDN w:val="0"/>
        <w:adjustRightInd w:val="0"/>
        <w:rPr>
          <w:sz w:val="22"/>
          <w:szCs w:val="28"/>
          <w:lang w:val="en-AU"/>
        </w:rPr>
      </w:pPr>
    </w:p>
    <w:p w:rsidR="00D42BC2" w:rsidRPr="000E2B5A" w:rsidRDefault="00D42BC2" w:rsidP="00D42BC2">
      <w:pPr>
        <w:pStyle w:val="Quote"/>
        <w:rPr>
          <w:lang w:val="en-AU"/>
        </w:rPr>
      </w:pPr>
      <w:r w:rsidRPr="000E2B5A">
        <w:rPr>
          <w:lang w:val="en-AU"/>
        </w:rPr>
        <w:t xml:space="preserve">O Lord our God, masters besides You Have had dominion over us; </w:t>
      </w:r>
      <w:r w:rsidRPr="000E2B5A">
        <w:rPr>
          <w:i/>
          <w:iCs/>
          <w:lang w:val="en-AU"/>
        </w:rPr>
        <w:t xml:space="preserve">But </w:t>
      </w:r>
      <w:r w:rsidRPr="000E2B5A">
        <w:rPr>
          <w:lang w:val="en-AU"/>
        </w:rPr>
        <w:t xml:space="preserve">by you only we make </w:t>
      </w:r>
      <w:r w:rsidRPr="000E2B5A">
        <w:rPr>
          <w:u w:val="single"/>
          <w:lang w:val="en-AU"/>
        </w:rPr>
        <w:t>mention</w:t>
      </w:r>
      <w:r w:rsidRPr="000E2B5A">
        <w:rPr>
          <w:rFonts w:ascii="Arial" w:hAnsi="Arial"/>
          <w:lang w:val="en-AU"/>
        </w:rPr>
        <w:t xml:space="preserve"> </w:t>
      </w:r>
      <w:r w:rsidRPr="000E2B5A">
        <w:rPr>
          <w:lang w:val="en-AU"/>
        </w:rPr>
        <w:t>(</w:t>
      </w:r>
      <w:r w:rsidRPr="000E2B5A">
        <w:rPr>
          <w:rFonts w:ascii="Bwhebb" w:hAnsi="Bwhebb"/>
          <w:sz w:val="28"/>
          <w:lang w:val="en-AU"/>
        </w:rPr>
        <w:t>rkz</w:t>
      </w:r>
      <w:r w:rsidRPr="000E2B5A">
        <w:rPr>
          <w:lang w:val="en-AU"/>
        </w:rPr>
        <w:t>)</w:t>
      </w:r>
      <w:r w:rsidRPr="000E2B5A">
        <w:rPr>
          <w:b/>
          <w:bCs/>
          <w:lang w:val="en-AU"/>
        </w:rPr>
        <w:t xml:space="preserve"> </w:t>
      </w:r>
      <w:r w:rsidRPr="000E2B5A">
        <w:rPr>
          <w:u w:val="single"/>
          <w:lang w:val="en-AU"/>
        </w:rPr>
        <w:t>of your</w:t>
      </w:r>
      <w:r w:rsidRPr="000E2B5A">
        <w:rPr>
          <w:rFonts w:ascii="Arial" w:hAnsi="Arial"/>
          <w:u w:val="single"/>
          <w:lang w:val="en-AU"/>
        </w:rPr>
        <w:t xml:space="preserve"> </w:t>
      </w:r>
      <w:r w:rsidRPr="000E2B5A">
        <w:rPr>
          <w:u w:val="single"/>
          <w:lang w:val="en-AU"/>
        </w:rPr>
        <w:t>name.</w:t>
      </w:r>
      <w:r w:rsidRPr="000E2B5A">
        <w:rPr>
          <w:i/>
          <w:iCs/>
          <w:lang w:val="en-AU"/>
        </w:rPr>
        <w:t xml:space="preserve"> They are </w:t>
      </w:r>
      <w:r w:rsidRPr="000E2B5A">
        <w:rPr>
          <w:lang w:val="en-AU"/>
        </w:rPr>
        <w:t xml:space="preserve">dead, they will not live; </w:t>
      </w:r>
      <w:r w:rsidRPr="000E2B5A">
        <w:rPr>
          <w:i/>
          <w:iCs/>
          <w:lang w:val="en-AU"/>
        </w:rPr>
        <w:t xml:space="preserve">they are </w:t>
      </w:r>
      <w:r w:rsidRPr="000E2B5A">
        <w:rPr>
          <w:lang w:val="en-AU"/>
        </w:rPr>
        <w:t xml:space="preserve">deceased, they will not rise. Therefore you have punished and destroyed them, and made all their </w:t>
      </w:r>
      <w:r w:rsidRPr="000E2B5A">
        <w:rPr>
          <w:u w:val="single"/>
          <w:lang w:val="en-AU"/>
        </w:rPr>
        <w:t>memory</w:t>
      </w:r>
      <w:r w:rsidRPr="000E2B5A">
        <w:rPr>
          <w:lang w:val="en-AU"/>
        </w:rPr>
        <w:t xml:space="preserve"> (</w:t>
      </w:r>
      <w:r w:rsidRPr="000E2B5A">
        <w:rPr>
          <w:rFonts w:ascii="Bwhebb" w:hAnsi="Bwhebb"/>
          <w:sz w:val="28"/>
          <w:szCs w:val="28"/>
          <w:lang w:val="en-AU"/>
        </w:rPr>
        <w:t>rkz</w:t>
      </w:r>
      <w:r w:rsidRPr="000E2B5A">
        <w:rPr>
          <w:lang w:val="en-AU"/>
        </w:rPr>
        <w:t>)</w:t>
      </w:r>
      <w:r w:rsidRPr="000E2B5A">
        <w:rPr>
          <w:b/>
          <w:bCs/>
          <w:lang w:val="en-AU"/>
        </w:rPr>
        <w:t xml:space="preserve"> </w:t>
      </w:r>
      <w:r w:rsidRPr="000E2B5A">
        <w:rPr>
          <w:lang w:val="en-AU"/>
        </w:rPr>
        <w:t>to perish. (Isa 26:13-14)</w:t>
      </w:r>
    </w:p>
    <w:p w:rsidR="00D42BC2" w:rsidRPr="000E2B5A" w:rsidRDefault="00D42BC2" w:rsidP="00D42BC2">
      <w:pPr>
        <w:autoSpaceDE w:val="0"/>
        <w:autoSpaceDN w:val="0"/>
        <w:adjustRightInd w:val="0"/>
        <w:ind w:left="1134" w:right="1134"/>
        <w:rPr>
          <w:rFonts w:ascii="Arial" w:hAnsi="Arial"/>
          <w:sz w:val="20"/>
          <w:lang w:val="en-AU"/>
        </w:rPr>
      </w:pPr>
    </w:p>
    <w:p w:rsidR="00D42BC2" w:rsidRPr="000E2B5A" w:rsidRDefault="00D42BC2" w:rsidP="00D42BC2">
      <w:pPr>
        <w:rPr>
          <w:sz w:val="22"/>
          <w:szCs w:val="28"/>
          <w:lang w:val="en-AU"/>
        </w:rPr>
      </w:pPr>
      <w:r w:rsidRPr="000E2B5A">
        <w:rPr>
          <w:sz w:val="22"/>
          <w:szCs w:val="28"/>
          <w:lang w:val="en-AU"/>
        </w:rPr>
        <w:t xml:space="preserve">The contrast is between the memorial of </w:t>
      </w:r>
      <w:r w:rsidRPr="000E2B5A">
        <w:rPr>
          <w:i/>
          <w:sz w:val="22"/>
          <w:szCs w:val="28"/>
          <w:lang w:val="en-AU"/>
        </w:rPr>
        <w:t>Yahweh</w:t>
      </w:r>
      <w:r w:rsidRPr="000E2B5A">
        <w:rPr>
          <w:sz w:val="22"/>
          <w:szCs w:val="28"/>
          <w:lang w:val="en-AU"/>
        </w:rPr>
        <w:t xml:space="preserve"> which lives on in the resurrected Hezekiah and the memory of Ashur who is destroyed together with his worshippers.</w:t>
      </w:r>
      <w:r w:rsidRPr="000E2B5A">
        <w:rPr>
          <w:rFonts w:ascii="Arial" w:hAnsi="Arial"/>
          <w:sz w:val="20"/>
          <w:lang w:val="en-AU"/>
        </w:rPr>
        <w:t xml:space="preserve"> </w:t>
      </w:r>
      <w:r w:rsidRPr="000E2B5A">
        <w:rPr>
          <w:sz w:val="22"/>
          <w:szCs w:val="28"/>
          <w:lang w:val="en-AU"/>
        </w:rPr>
        <w:t xml:space="preserve">The </w:t>
      </w:r>
      <w:r w:rsidRPr="000E2B5A">
        <w:rPr>
          <w:rStyle w:val="Emphasis"/>
          <w:sz w:val="22"/>
          <w:szCs w:val="28"/>
        </w:rPr>
        <w:t xml:space="preserve">nominative form of </w:t>
      </w:r>
      <w:r w:rsidRPr="000E2B5A">
        <w:rPr>
          <w:i/>
          <w:sz w:val="22"/>
          <w:szCs w:val="28"/>
          <w:lang w:val="en-AU"/>
        </w:rPr>
        <w:t>zēker</w:t>
      </w:r>
      <w:r w:rsidRPr="000E2B5A">
        <w:rPr>
          <w:sz w:val="22"/>
          <w:szCs w:val="28"/>
          <w:lang w:val="en-AU"/>
        </w:rPr>
        <w:t xml:space="preserve"> is </w:t>
      </w:r>
      <w:r w:rsidRPr="000E2B5A">
        <w:rPr>
          <w:i/>
          <w:sz w:val="22"/>
          <w:szCs w:val="28"/>
          <w:lang w:val="en-AU"/>
        </w:rPr>
        <w:t>zikkārôn</w:t>
      </w:r>
      <w:r w:rsidRPr="000E2B5A">
        <w:rPr>
          <w:sz w:val="22"/>
          <w:szCs w:val="28"/>
          <w:lang w:val="en-AU"/>
        </w:rPr>
        <w:t xml:space="preserve"> </w:t>
      </w:r>
      <w:r w:rsidRPr="000E2B5A">
        <w:rPr>
          <w:sz w:val="28"/>
          <w:szCs w:val="28"/>
          <w:lang w:val="en-AU"/>
        </w:rPr>
        <w:t>(</w:t>
      </w:r>
      <w:r w:rsidRPr="000E2B5A">
        <w:rPr>
          <w:rFonts w:ascii="Bwhebb" w:hAnsi="Bwhebb" w:cs="Bwhebb"/>
          <w:sz w:val="28"/>
          <w:szCs w:val="28"/>
          <w:lang w:val="en-AU"/>
        </w:rPr>
        <w:t>!w</w:t>
      </w:r>
      <w:r w:rsidRPr="000E2B5A">
        <w:rPr>
          <w:rFonts w:ascii="Bwhebb" w:hAnsi="Bwhebb"/>
          <w:sz w:val="28"/>
          <w:szCs w:val="28"/>
          <w:lang w:val="en-AU"/>
        </w:rPr>
        <w:t>rkz</w:t>
      </w:r>
      <w:r w:rsidRPr="000E2B5A">
        <w:rPr>
          <w:sz w:val="22"/>
          <w:szCs w:val="28"/>
          <w:lang w:val="en-AU"/>
        </w:rPr>
        <w:t>) and is translated as “memorial”  in Exodus 12 in reference to the Passover:</w:t>
      </w:r>
    </w:p>
    <w:p w:rsidR="00D42BC2" w:rsidRPr="000E2B5A" w:rsidRDefault="00D42BC2" w:rsidP="00D42BC2">
      <w:pPr>
        <w:autoSpaceDE w:val="0"/>
        <w:autoSpaceDN w:val="0"/>
        <w:adjustRightInd w:val="0"/>
        <w:rPr>
          <w:sz w:val="22"/>
          <w:szCs w:val="28"/>
          <w:lang w:val="en-AU"/>
        </w:rPr>
      </w:pPr>
    </w:p>
    <w:p w:rsidR="00D42BC2" w:rsidRPr="000E2B5A" w:rsidRDefault="00D42BC2" w:rsidP="00D42BC2">
      <w:pPr>
        <w:pStyle w:val="Quote"/>
        <w:rPr>
          <w:lang w:val="en-AU"/>
        </w:rPr>
      </w:pPr>
      <w:r w:rsidRPr="000E2B5A">
        <w:rPr>
          <w:lang w:val="en-AU"/>
        </w:rPr>
        <w:t xml:space="preserve">So </w:t>
      </w:r>
      <w:r w:rsidRPr="000E2B5A">
        <w:rPr>
          <w:u w:val="single"/>
          <w:lang w:val="en-AU"/>
        </w:rPr>
        <w:t>this day</w:t>
      </w:r>
      <w:r w:rsidRPr="000E2B5A">
        <w:rPr>
          <w:lang w:val="en-AU"/>
        </w:rPr>
        <w:t xml:space="preserve"> shall be to you a </w:t>
      </w:r>
      <w:r w:rsidRPr="000E2B5A">
        <w:rPr>
          <w:u w:val="single"/>
          <w:lang w:val="en-AU"/>
        </w:rPr>
        <w:t>memorial</w:t>
      </w:r>
      <w:r w:rsidRPr="000E2B5A">
        <w:rPr>
          <w:lang w:val="en-AU"/>
        </w:rPr>
        <w:t xml:space="preserve"> (</w:t>
      </w:r>
      <w:r w:rsidRPr="000E2B5A">
        <w:rPr>
          <w:rFonts w:ascii="Bwhebb" w:hAnsi="Bwhebb" w:cs="Bwhebb"/>
          <w:sz w:val="28"/>
          <w:lang w:val="en-AU"/>
        </w:rPr>
        <w:t>!A</w:t>
      </w:r>
      <w:r w:rsidRPr="000E2B5A">
        <w:rPr>
          <w:rFonts w:ascii="Bwhebb" w:hAnsi="Bwhebb"/>
          <w:sz w:val="28"/>
          <w:lang w:val="en-AU"/>
        </w:rPr>
        <w:t>rkz</w:t>
      </w:r>
      <w:r w:rsidRPr="000E2B5A">
        <w:rPr>
          <w:lang w:val="en-AU"/>
        </w:rPr>
        <w:t>); and you shall keep it as a feast to the Lord throughout your generations. (Exod 12:14)</w:t>
      </w:r>
    </w:p>
    <w:p w:rsidR="00D42BC2" w:rsidRPr="000E2B5A" w:rsidRDefault="00D42BC2" w:rsidP="00D42BC2">
      <w:pPr>
        <w:ind w:left="1134" w:right="1134"/>
        <w:rPr>
          <w:sz w:val="22"/>
          <w:szCs w:val="28"/>
          <w:lang w:val="en-AU"/>
        </w:rPr>
      </w:pPr>
    </w:p>
    <w:p w:rsidR="00D42BC2" w:rsidRPr="000E2B5A" w:rsidRDefault="00D42BC2" w:rsidP="00D42BC2">
      <w:pPr>
        <w:rPr>
          <w:sz w:val="22"/>
          <w:szCs w:val="28"/>
          <w:lang w:val="en-AU"/>
        </w:rPr>
      </w:pPr>
      <w:r w:rsidRPr="000E2B5A">
        <w:rPr>
          <w:sz w:val="22"/>
          <w:szCs w:val="28"/>
          <w:lang w:val="en-AU"/>
        </w:rPr>
        <w:t xml:space="preserve">Just as </w:t>
      </w:r>
      <w:r w:rsidRPr="000E2B5A">
        <w:rPr>
          <w:b/>
          <w:sz w:val="22"/>
          <w:szCs w:val="28"/>
          <w:lang w:val="en-AU"/>
        </w:rPr>
        <w:t>the name</w:t>
      </w:r>
      <w:r w:rsidRPr="000E2B5A">
        <w:rPr>
          <w:sz w:val="22"/>
          <w:szCs w:val="28"/>
          <w:lang w:val="en-AU"/>
        </w:rPr>
        <w:t xml:space="preserve"> was a memorial “to all generations” so also </w:t>
      </w:r>
      <w:r w:rsidRPr="000E2B5A">
        <w:rPr>
          <w:b/>
          <w:sz w:val="22"/>
          <w:szCs w:val="28"/>
          <w:lang w:val="en-AU"/>
        </w:rPr>
        <w:t>this day</w:t>
      </w:r>
      <w:r w:rsidRPr="000E2B5A">
        <w:rPr>
          <w:sz w:val="22"/>
          <w:szCs w:val="28"/>
          <w:lang w:val="en-AU"/>
        </w:rPr>
        <w:t xml:space="preserve"> (Passover) was a memorial “throughout your generations”, thereby linking the name of Yahweh indelibly with the Passover feast. Hezekiah was waiting (hoping) for </w:t>
      </w:r>
      <w:r w:rsidRPr="000E2B5A">
        <w:rPr>
          <w:sz w:val="22"/>
          <w:szCs w:val="28"/>
          <w:lang w:val="en-AU"/>
        </w:rPr>
        <w:lastRenderedPageBreak/>
        <w:t>Yahweh’s “judgements” against Assyria just as Yahweh had wrought “great judgements” (Exod 6:6) against Egypt.</w:t>
      </w:r>
      <w:r w:rsidRPr="000E2B5A">
        <w:rPr>
          <w:rStyle w:val="FootnoteReference"/>
          <w:sz w:val="22"/>
          <w:szCs w:val="28"/>
          <w:lang w:val="en-AU"/>
        </w:rPr>
        <w:footnoteReference w:id="73"/>
      </w:r>
      <w:r w:rsidRPr="000E2B5A">
        <w:rPr>
          <w:sz w:val="22"/>
          <w:szCs w:val="28"/>
          <w:lang w:val="en-AU"/>
        </w:rPr>
        <w:t xml:space="preserve"> </w:t>
      </w:r>
    </w:p>
    <w:p w:rsidR="00D42BC2" w:rsidRPr="000E2B5A" w:rsidRDefault="00D42BC2" w:rsidP="00D42BC2">
      <w:pPr>
        <w:rPr>
          <w:sz w:val="22"/>
          <w:szCs w:val="22"/>
          <w:lang w:val="en-AU"/>
        </w:rPr>
      </w:pPr>
    </w:p>
    <w:p w:rsidR="00D42BC2" w:rsidRPr="000E2B5A" w:rsidRDefault="00D42BC2" w:rsidP="00D42BC2">
      <w:pPr>
        <w:rPr>
          <w:sz w:val="22"/>
          <w:szCs w:val="22"/>
          <w:lang w:val="en-AU"/>
        </w:rPr>
      </w:pPr>
      <w:r w:rsidRPr="000E2B5A">
        <w:rPr>
          <w:sz w:val="22"/>
          <w:szCs w:val="22"/>
          <w:lang w:val="en-AU"/>
        </w:rPr>
        <w:t>The children of Israel were instructed to keep the Passover memorial and instruct their childre</w:t>
      </w:r>
      <w:r w:rsidR="00545312" w:rsidRPr="000E2B5A">
        <w:rPr>
          <w:sz w:val="22"/>
          <w:szCs w:val="22"/>
          <w:lang w:val="en-AU"/>
        </w:rPr>
        <w:t xml:space="preserve">n as to its significance (2 Cor </w:t>
      </w:r>
      <w:r w:rsidRPr="000E2B5A">
        <w:rPr>
          <w:sz w:val="22"/>
          <w:szCs w:val="22"/>
          <w:lang w:val="en-AU"/>
        </w:rPr>
        <w:t xml:space="preserve">11:24). The </w:t>
      </w:r>
      <w:r w:rsidRPr="000E2B5A">
        <w:rPr>
          <w:i/>
          <w:sz w:val="22"/>
          <w:szCs w:val="22"/>
          <w:lang w:val="en-AU"/>
        </w:rPr>
        <w:t>desire</w:t>
      </w:r>
      <w:r w:rsidRPr="000E2B5A">
        <w:rPr>
          <w:sz w:val="22"/>
          <w:szCs w:val="22"/>
          <w:lang w:val="en-AU"/>
        </w:rPr>
        <w:t xml:space="preserve"> of Hezekiah’s soul (life) was to the Yahweh name and the keeping of the memorial. As the Hezekiah Psalm declares,</w:t>
      </w:r>
    </w:p>
    <w:p w:rsidR="00D42BC2" w:rsidRPr="000E2B5A" w:rsidRDefault="00D42BC2" w:rsidP="00D42BC2">
      <w:pPr>
        <w:rPr>
          <w:sz w:val="22"/>
          <w:szCs w:val="22"/>
          <w:lang w:val="en-AU"/>
        </w:rPr>
      </w:pPr>
    </w:p>
    <w:p w:rsidR="00D42BC2" w:rsidRPr="000E2B5A" w:rsidRDefault="00D42BC2" w:rsidP="00D42BC2">
      <w:pPr>
        <w:pStyle w:val="Quote"/>
        <w:rPr>
          <w:lang w:val="en-AU"/>
        </w:rPr>
      </w:pPr>
      <w:r w:rsidRPr="000E2B5A">
        <w:rPr>
          <w:lang w:val="en-AU"/>
        </w:rPr>
        <w:t xml:space="preserve">Shall your lovingkindness be declared in the grave? </w:t>
      </w:r>
      <w:r w:rsidRPr="000E2B5A">
        <w:rPr>
          <w:i/>
          <w:iCs/>
          <w:lang w:val="en-AU"/>
        </w:rPr>
        <w:t xml:space="preserve">Or </w:t>
      </w:r>
      <w:r w:rsidRPr="000E2B5A">
        <w:rPr>
          <w:lang w:val="en-AU"/>
        </w:rPr>
        <w:t xml:space="preserve">your faithfulness in the place of destruction? (Ps </w:t>
      </w:r>
      <w:r w:rsidRPr="000E2B5A">
        <w:rPr>
          <w:szCs w:val="22"/>
          <w:lang w:val="en-AU"/>
        </w:rPr>
        <w:t>88:11)</w:t>
      </w:r>
    </w:p>
    <w:p w:rsidR="00D42BC2" w:rsidRPr="000E2B5A" w:rsidRDefault="00D42BC2" w:rsidP="00D42BC2">
      <w:pPr>
        <w:rPr>
          <w:sz w:val="22"/>
          <w:szCs w:val="22"/>
          <w:lang w:val="en-AU"/>
        </w:rPr>
      </w:pPr>
    </w:p>
    <w:p w:rsidR="00D42BC2" w:rsidRPr="000E2B5A" w:rsidRDefault="00D42BC2" w:rsidP="00D42BC2">
      <w:pPr>
        <w:rPr>
          <w:sz w:val="22"/>
          <w:szCs w:val="22"/>
          <w:lang w:val="en-AU"/>
        </w:rPr>
      </w:pPr>
      <w:r w:rsidRPr="000E2B5A">
        <w:rPr>
          <w:sz w:val="22"/>
          <w:szCs w:val="22"/>
          <w:lang w:val="en-AU"/>
        </w:rPr>
        <w:t>In the same manner it was Jesus’ desire to praise the name and keep the memorial:</w:t>
      </w:r>
      <w:r w:rsidRPr="000E2B5A">
        <w:rPr>
          <w:sz w:val="22"/>
          <w:szCs w:val="22"/>
        </w:rPr>
        <w:t xml:space="preserve"> “</w:t>
      </w:r>
      <w:r w:rsidRPr="000E2B5A">
        <w:rPr>
          <w:sz w:val="22"/>
          <w:szCs w:val="22"/>
          <w:lang w:val="en-AU"/>
        </w:rPr>
        <w:t xml:space="preserve">With </w:t>
      </w:r>
      <w:r w:rsidRPr="000E2B5A">
        <w:rPr>
          <w:i/>
          <w:iCs/>
          <w:sz w:val="22"/>
          <w:szCs w:val="22"/>
          <w:lang w:val="en-AU"/>
        </w:rPr>
        <w:t>fervent desire</w:t>
      </w:r>
      <w:r w:rsidRPr="000E2B5A">
        <w:rPr>
          <w:sz w:val="22"/>
          <w:szCs w:val="22"/>
          <w:lang w:val="en-AU"/>
        </w:rPr>
        <w:t xml:space="preserve"> </w:t>
      </w:r>
      <w:r w:rsidRPr="000E2B5A">
        <w:rPr>
          <w:sz w:val="22"/>
          <w:szCs w:val="22"/>
          <w:u w:val="single"/>
          <w:lang w:val="en-AU"/>
        </w:rPr>
        <w:t>I have desired</w:t>
      </w:r>
      <w:r w:rsidRPr="000E2B5A">
        <w:rPr>
          <w:sz w:val="22"/>
          <w:szCs w:val="22"/>
          <w:lang w:val="en-AU"/>
        </w:rPr>
        <w:t xml:space="preserve"> to eat this Passover with you before I suffer” (Luke 22:15).</w:t>
      </w:r>
    </w:p>
    <w:p w:rsidR="00D42BC2" w:rsidRPr="000E2B5A" w:rsidRDefault="00D42BC2" w:rsidP="00D42BC2">
      <w:pPr>
        <w:rPr>
          <w:sz w:val="22"/>
          <w:szCs w:val="22"/>
          <w:lang w:val="en-AU"/>
        </w:rPr>
      </w:pPr>
    </w:p>
    <w:p w:rsidR="00D42BC2" w:rsidRPr="000E2B5A" w:rsidRDefault="00D42BC2" w:rsidP="00D42BC2">
      <w:pPr>
        <w:pStyle w:val="Quote"/>
        <w:rPr>
          <w:lang w:val="en-AU"/>
        </w:rPr>
      </w:pPr>
      <w:r w:rsidRPr="000E2B5A">
        <w:rPr>
          <w:lang w:val="en-AU"/>
        </w:rPr>
        <w:t xml:space="preserve">With my soul I have desired You in </w:t>
      </w:r>
      <w:r w:rsidRPr="000E2B5A">
        <w:rPr>
          <w:u w:val="single"/>
          <w:lang w:val="en-AU"/>
        </w:rPr>
        <w:t>the night</w:t>
      </w:r>
      <w:r w:rsidRPr="000E2B5A">
        <w:rPr>
          <w:lang w:val="en-AU"/>
        </w:rPr>
        <w:t xml:space="preserve">, Yes, by my spirit within me </w:t>
      </w:r>
      <w:r w:rsidRPr="000E2B5A">
        <w:rPr>
          <w:u w:val="single"/>
          <w:lang w:val="en-AU"/>
        </w:rPr>
        <w:t>I will seek You early</w:t>
      </w:r>
      <w:r w:rsidRPr="000E2B5A">
        <w:rPr>
          <w:lang w:val="en-AU"/>
        </w:rPr>
        <w:t xml:space="preserve">; For when Your judgments </w:t>
      </w:r>
      <w:r w:rsidRPr="000E2B5A">
        <w:rPr>
          <w:i/>
          <w:iCs/>
          <w:lang w:val="en-AU"/>
        </w:rPr>
        <w:t xml:space="preserve">are </w:t>
      </w:r>
      <w:r w:rsidRPr="000E2B5A">
        <w:rPr>
          <w:lang w:val="en-AU"/>
        </w:rPr>
        <w:t>in the earth, The inhabitants of the world will learn righteousness. (Isa 26:9)</w:t>
      </w:r>
    </w:p>
    <w:p w:rsidR="00D42BC2" w:rsidRPr="000E2B5A" w:rsidRDefault="00D42BC2" w:rsidP="00D42BC2">
      <w:pPr>
        <w:rPr>
          <w:sz w:val="22"/>
          <w:szCs w:val="28"/>
        </w:rPr>
      </w:pPr>
    </w:p>
    <w:p w:rsidR="00D42BC2" w:rsidRPr="000E2B5A" w:rsidRDefault="00D42BC2" w:rsidP="00D42BC2">
      <w:pPr>
        <w:rPr>
          <w:sz w:val="22"/>
          <w:szCs w:val="28"/>
        </w:rPr>
      </w:pPr>
      <w:r w:rsidRPr="000E2B5A">
        <w:rPr>
          <w:sz w:val="22"/>
          <w:szCs w:val="28"/>
        </w:rPr>
        <w:t xml:space="preserve">This is the Passover </w:t>
      </w:r>
      <w:r w:rsidRPr="000E2B5A">
        <w:rPr>
          <w:sz w:val="22"/>
          <w:szCs w:val="28"/>
          <w:u w:val="single"/>
        </w:rPr>
        <w:t>night</w:t>
      </w:r>
      <w:r w:rsidRPr="000E2B5A">
        <w:rPr>
          <w:sz w:val="22"/>
          <w:szCs w:val="28"/>
        </w:rPr>
        <w:t xml:space="preserve">; God’s judgements against the enemy become apparent </w:t>
      </w:r>
      <w:r w:rsidRPr="000E2B5A">
        <w:rPr>
          <w:sz w:val="22"/>
          <w:szCs w:val="28"/>
          <w:u w:val="single"/>
        </w:rPr>
        <w:t>early in the morning</w:t>
      </w:r>
      <w:r w:rsidRPr="000E2B5A">
        <w:rPr>
          <w:sz w:val="22"/>
          <w:szCs w:val="28"/>
        </w:rPr>
        <w:t xml:space="preserve"> (Hezekiah raised/the Assyrians destroyed):</w:t>
      </w:r>
    </w:p>
    <w:p w:rsidR="00D42BC2" w:rsidRPr="000E2B5A" w:rsidRDefault="00D42BC2" w:rsidP="00D42BC2">
      <w:pPr>
        <w:rPr>
          <w:sz w:val="22"/>
          <w:szCs w:val="28"/>
        </w:rPr>
      </w:pPr>
    </w:p>
    <w:p w:rsidR="00D42BC2" w:rsidRPr="000E2B5A" w:rsidRDefault="00D42BC2" w:rsidP="00D42BC2">
      <w:pPr>
        <w:pStyle w:val="Quote"/>
        <w:rPr>
          <w:szCs w:val="28"/>
        </w:rPr>
      </w:pPr>
      <w:r w:rsidRPr="000E2B5A">
        <w:rPr>
          <w:szCs w:val="28"/>
        </w:rPr>
        <w:t xml:space="preserve">And it came to pass on a certain night that the angel of the Lord went out, and killed in the camp of the Assyrians one hundred and eighty-five thousand; and when people arose </w:t>
      </w:r>
      <w:r w:rsidRPr="000E2B5A">
        <w:rPr>
          <w:szCs w:val="28"/>
          <w:u w:val="single"/>
        </w:rPr>
        <w:t>early in the morning</w:t>
      </w:r>
      <w:r w:rsidRPr="000E2B5A">
        <w:rPr>
          <w:szCs w:val="28"/>
        </w:rPr>
        <w:t>, there were the corpses -- all dead.</w:t>
      </w:r>
      <w:r w:rsidRPr="000E2B5A">
        <w:t xml:space="preserve"> </w:t>
      </w:r>
      <w:r w:rsidRPr="000E2B5A">
        <w:rPr>
          <w:szCs w:val="28"/>
        </w:rPr>
        <w:t>(2 Kgs 19:35)</w:t>
      </w:r>
    </w:p>
    <w:p w:rsidR="00D42BC2" w:rsidRPr="000E2B5A" w:rsidRDefault="00D42BC2" w:rsidP="00D42BC2">
      <w:pPr>
        <w:ind w:left="1134" w:right="1134"/>
        <w:rPr>
          <w:sz w:val="22"/>
          <w:szCs w:val="28"/>
        </w:rPr>
      </w:pPr>
    </w:p>
    <w:p w:rsidR="00D42BC2" w:rsidRPr="000E2B5A" w:rsidRDefault="00D42BC2" w:rsidP="00D42BC2">
      <w:pPr>
        <w:pStyle w:val="Quote"/>
        <w:rPr>
          <w:lang w:val="en-AU"/>
        </w:rPr>
      </w:pPr>
      <w:r w:rsidRPr="000E2B5A">
        <w:rPr>
          <w:lang w:val="en-AU"/>
        </w:rPr>
        <w:t xml:space="preserve">Now on the first </w:t>
      </w:r>
      <w:r w:rsidRPr="000E2B5A">
        <w:rPr>
          <w:i/>
          <w:iCs/>
          <w:lang w:val="en-AU"/>
        </w:rPr>
        <w:t xml:space="preserve">day </w:t>
      </w:r>
      <w:r w:rsidRPr="000E2B5A">
        <w:rPr>
          <w:lang w:val="en-AU"/>
        </w:rPr>
        <w:t xml:space="preserve">of the week, </w:t>
      </w:r>
      <w:r w:rsidRPr="000E2B5A">
        <w:rPr>
          <w:u w:val="single"/>
          <w:lang w:val="en-AU"/>
        </w:rPr>
        <w:t>very early in the morning</w:t>
      </w:r>
      <w:r w:rsidRPr="000E2B5A">
        <w:rPr>
          <w:lang w:val="en-AU"/>
        </w:rPr>
        <w:t xml:space="preserve">, they, and certain </w:t>
      </w:r>
      <w:r w:rsidRPr="000E2B5A">
        <w:rPr>
          <w:i/>
          <w:iCs/>
          <w:lang w:val="en-AU"/>
        </w:rPr>
        <w:t xml:space="preserve">other women </w:t>
      </w:r>
      <w:r w:rsidRPr="000E2B5A">
        <w:rPr>
          <w:lang w:val="en-AU"/>
        </w:rPr>
        <w:t>with them, came to the tomb bringing the spices which they had prepared.</w:t>
      </w:r>
      <w:r w:rsidRPr="000E2B5A">
        <w:t xml:space="preserve"> </w:t>
      </w:r>
      <w:r w:rsidRPr="000E2B5A">
        <w:rPr>
          <w:lang w:val="en-AU"/>
        </w:rPr>
        <w:t>But they found the stone rolled away from the tomb. (Luke 24:1-2)</w:t>
      </w:r>
    </w:p>
    <w:p w:rsidR="00D42BC2" w:rsidRPr="000E2B5A" w:rsidRDefault="00D42BC2" w:rsidP="00D42BC2">
      <w:pPr>
        <w:autoSpaceDE w:val="0"/>
        <w:autoSpaceDN w:val="0"/>
        <w:adjustRightInd w:val="0"/>
        <w:ind w:left="1134" w:right="1134"/>
        <w:rPr>
          <w:sz w:val="22"/>
          <w:szCs w:val="28"/>
          <w:lang w:val="en-AU"/>
        </w:rPr>
      </w:pPr>
    </w:p>
    <w:p w:rsidR="00D42BC2" w:rsidRPr="000E2B5A" w:rsidRDefault="00D42BC2" w:rsidP="00D42BC2">
      <w:pPr>
        <w:pStyle w:val="Quote"/>
        <w:rPr>
          <w:lang w:val="en-AU"/>
        </w:rPr>
      </w:pPr>
      <w:r w:rsidRPr="000E2B5A">
        <w:rPr>
          <w:lang w:val="en-AU"/>
        </w:rPr>
        <w:t>As a woman with child is in pain and cries out in her pangs, When she draws near the time of her delivery, So have we been in Your sight, O Lord.</w:t>
      </w:r>
      <w:r w:rsidRPr="000E2B5A">
        <w:t xml:space="preserve"> </w:t>
      </w:r>
      <w:r w:rsidRPr="000E2B5A">
        <w:rPr>
          <w:lang w:val="en-AU"/>
        </w:rPr>
        <w:t>We have been with child, we have been in pain; We have, as it were, brought forth wind; We have not accomplished any deliverance in the earth, Nor have the inhabitants of the world fallen.</w:t>
      </w:r>
      <w:r w:rsidRPr="000E2B5A">
        <w:t xml:space="preserve"> </w:t>
      </w:r>
      <w:r w:rsidRPr="000E2B5A">
        <w:rPr>
          <w:lang w:val="en-AU"/>
        </w:rPr>
        <w:t xml:space="preserve">Your dead shall live; </w:t>
      </w:r>
      <w:r w:rsidRPr="000E2B5A">
        <w:rPr>
          <w:i/>
          <w:iCs/>
          <w:lang w:val="en-AU"/>
        </w:rPr>
        <w:t xml:space="preserve">Together with </w:t>
      </w:r>
      <w:r w:rsidRPr="000E2B5A">
        <w:rPr>
          <w:lang w:val="en-AU"/>
        </w:rPr>
        <w:t xml:space="preserve">my dead body they shall arise. Awake and sing, you who dwell in dust; For your dew </w:t>
      </w:r>
      <w:r w:rsidRPr="000E2B5A">
        <w:rPr>
          <w:i/>
          <w:iCs/>
          <w:lang w:val="en-AU"/>
        </w:rPr>
        <w:t xml:space="preserve">is like </w:t>
      </w:r>
      <w:r w:rsidRPr="000E2B5A">
        <w:rPr>
          <w:lang w:val="en-AU"/>
        </w:rPr>
        <w:t xml:space="preserve">the dew of herbs, And the earth shall cast out the dead. </w:t>
      </w:r>
      <w:r w:rsidRPr="000E2B5A">
        <w:t xml:space="preserve">Come, my </w:t>
      </w:r>
      <w:r w:rsidRPr="000E2B5A">
        <w:lastRenderedPageBreak/>
        <w:t>people, enter your chambers, And shut your doors behind you; Hide yourself, as it were, for a little moment, Until the indignation is past.</w:t>
      </w:r>
      <w:r w:rsidRPr="000E2B5A">
        <w:rPr>
          <w:lang w:val="en-AU"/>
        </w:rPr>
        <w:t xml:space="preserve"> (Isa 26:17-20)</w:t>
      </w:r>
    </w:p>
    <w:p w:rsidR="00D42BC2" w:rsidRPr="000E2B5A" w:rsidRDefault="00D42BC2" w:rsidP="00D42BC2">
      <w:pPr>
        <w:ind w:right="1134"/>
        <w:rPr>
          <w:sz w:val="22"/>
          <w:szCs w:val="28"/>
          <w:lang w:val="en-AU"/>
        </w:rPr>
      </w:pPr>
    </w:p>
    <w:p w:rsidR="00D42BC2" w:rsidRPr="000E2B5A" w:rsidRDefault="00D42BC2" w:rsidP="00D42BC2">
      <w:pPr>
        <w:rPr>
          <w:sz w:val="22"/>
          <w:szCs w:val="28"/>
          <w:lang w:val="en-AU"/>
        </w:rPr>
      </w:pPr>
      <w:r w:rsidRPr="000E2B5A">
        <w:rPr>
          <w:sz w:val="22"/>
          <w:szCs w:val="28"/>
          <w:lang w:val="en-AU"/>
        </w:rPr>
        <w:t xml:space="preserve">The woman who died in childbirth is Rachel giving birth to the son-of-sorrow renamed the son-of-the-right-hand. The delivery of the “child” happened despite (not because of) the nation’s best efforts.  </w:t>
      </w:r>
    </w:p>
    <w:p w:rsidR="00D42BC2" w:rsidRPr="000E2B5A" w:rsidRDefault="00D42BC2" w:rsidP="00D42BC2">
      <w:pPr>
        <w:rPr>
          <w:sz w:val="22"/>
          <w:szCs w:val="28"/>
          <w:lang w:val="en-AU"/>
        </w:rPr>
      </w:pPr>
    </w:p>
    <w:p w:rsidR="00D42BC2" w:rsidRPr="000E2B5A" w:rsidRDefault="00D42BC2" w:rsidP="00D42BC2">
      <w:pPr>
        <w:pStyle w:val="Quote"/>
        <w:rPr>
          <w:lang w:val="en-AU"/>
        </w:rPr>
      </w:pPr>
      <w:r w:rsidRPr="000E2B5A">
        <w:rPr>
          <w:lang w:val="en-AU"/>
        </w:rPr>
        <w:t xml:space="preserve">Thus says Hezekiah: ‘This day </w:t>
      </w:r>
      <w:r w:rsidRPr="000E2B5A">
        <w:rPr>
          <w:i/>
          <w:iCs/>
          <w:lang w:val="en-AU"/>
        </w:rPr>
        <w:t xml:space="preserve">is </w:t>
      </w:r>
      <w:r w:rsidRPr="000E2B5A">
        <w:rPr>
          <w:lang w:val="en-AU"/>
        </w:rPr>
        <w:t xml:space="preserve">a day of trouble and rebuke and blasphemy; for the children have come to birth, but </w:t>
      </w:r>
      <w:r w:rsidRPr="000E2B5A">
        <w:rPr>
          <w:i/>
          <w:iCs/>
          <w:lang w:val="en-AU"/>
        </w:rPr>
        <w:t xml:space="preserve">there is </w:t>
      </w:r>
      <w:r w:rsidRPr="000E2B5A">
        <w:rPr>
          <w:lang w:val="en-AU"/>
        </w:rPr>
        <w:t xml:space="preserve">no strength to bring them forth’. </w:t>
      </w:r>
      <w:r w:rsidR="0051058D" w:rsidRPr="000E2B5A">
        <w:rPr>
          <w:lang w:val="en-AU"/>
        </w:rPr>
        <w:t xml:space="preserve">(Isa </w:t>
      </w:r>
      <w:r w:rsidRPr="000E2B5A">
        <w:rPr>
          <w:lang w:val="en-AU"/>
        </w:rPr>
        <w:t>37:3)</w:t>
      </w:r>
    </w:p>
    <w:p w:rsidR="00D42BC2" w:rsidRPr="000E2B5A" w:rsidRDefault="00D42BC2" w:rsidP="00D42BC2">
      <w:pPr>
        <w:rPr>
          <w:sz w:val="22"/>
          <w:szCs w:val="22"/>
          <w:lang w:val="en-AU"/>
        </w:rPr>
      </w:pPr>
    </w:p>
    <w:p w:rsidR="00D42BC2" w:rsidRPr="000E2B5A" w:rsidRDefault="00D42BC2" w:rsidP="00D42BC2">
      <w:pPr>
        <w:rPr>
          <w:sz w:val="22"/>
          <w:szCs w:val="22"/>
          <w:lang w:val="en-AU"/>
        </w:rPr>
      </w:pPr>
      <w:r w:rsidRPr="000E2B5A">
        <w:rPr>
          <w:sz w:val="22"/>
          <w:szCs w:val="22"/>
          <w:lang w:val="en-AU"/>
        </w:rPr>
        <w:t>The “resurrection” of Hezekiah (</w:t>
      </w:r>
      <w:r w:rsidRPr="000E2B5A">
        <w:rPr>
          <w:sz w:val="22"/>
          <w:szCs w:val="22"/>
          <w:u w:val="single"/>
          <w:lang w:val="en-AU"/>
        </w:rPr>
        <w:t>my dead body</w:t>
      </w:r>
      <w:r w:rsidRPr="000E2B5A">
        <w:rPr>
          <w:sz w:val="22"/>
          <w:szCs w:val="22"/>
          <w:lang w:val="en-AU"/>
        </w:rPr>
        <w:t>) heralded the resurrection of the faithful remnant (</w:t>
      </w:r>
      <w:r w:rsidRPr="000E2B5A">
        <w:rPr>
          <w:sz w:val="22"/>
          <w:szCs w:val="22"/>
          <w:u w:val="single"/>
          <w:lang w:val="en-AU"/>
        </w:rPr>
        <w:t>your dead shall live</w:t>
      </w:r>
      <w:r w:rsidRPr="000E2B5A">
        <w:rPr>
          <w:sz w:val="22"/>
          <w:szCs w:val="22"/>
          <w:lang w:val="en-AU"/>
        </w:rPr>
        <w:t xml:space="preserve">). The inhabitants of Jerusalem “hid in their chambers” (And none of you shall go out of the door of his house until morning; cf. Exod 12:22) “until the </w:t>
      </w:r>
      <w:r w:rsidRPr="000E2B5A">
        <w:rPr>
          <w:sz w:val="22"/>
          <w:szCs w:val="22"/>
        </w:rPr>
        <w:t>indignation</w:t>
      </w:r>
      <w:r w:rsidRPr="000E2B5A">
        <w:rPr>
          <w:sz w:val="22"/>
          <w:szCs w:val="22"/>
          <w:lang w:val="en-AU"/>
        </w:rPr>
        <w:t xml:space="preserve"> is over past” (KJV) – denoting the angel of death – the “destroyer” who acted as the avenger of blood on behalf of the slain (Isa 26:21). </w:t>
      </w:r>
    </w:p>
    <w:p w:rsidR="00D42BC2" w:rsidRPr="000E2B5A" w:rsidRDefault="00D42BC2" w:rsidP="00D42BC2">
      <w:pPr>
        <w:rPr>
          <w:sz w:val="22"/>
          <w:szCs w:val="22"/>
          <w:lang w:val="en-AU"/>
        </w:rPr>
      </w:pPr>
    </w:p>
    <w:p w:rsidR="00D42BC2" w:rsidRPr="000E2B5A" w:rsidRDefault="00D42BC2" w:rsidP="00D42BC2">
      <w:pPr>
        <w:pStyle w:val="Quote"/>
        <w:rPr>
          <w:iCs/>
          <w:lang w:val="en-AU"/>
        </w:rPr>
      </w:pPr>
      <w:r w:rsidRPr="000E2B5A">
        <w:rPr>
          <w:lang w:val="en-AU"/>
        </w:rPr>
        <w:t>For the Lord will pass through</w:t>
      </w:r>
      <w:r w:rsidRPr="000E2B5A">
        <w:rPr>
          <w:rFonts w:ascii="Arial" w:hAnsi="Arial"/>
          <w:lang w:val="en-AU"/>
        </w:rPr>
        <w:t xml:space="preserve"> </w:t>
      </w:r>
      <w:r w:rsidRPr="000E2B5A">
        <w:rPr>
          <w:lang w:val="en-AU"/>
        </w:rPr>
        <w:t>to strike the Egyptians; and when He sees the blood on the lintel and on the two doorposts, the Lord will pass over</w:t>
      </w:r>
      <w:r w:rsidRPr="000E2B5A">
        <w:rPr>
          <w:rFonts w:ascii="Arial" w:hAnsi="Arial"/>
          <w:lang w:val="en-AU"/>
        </w:rPr>
        <w:t xml:space="preserve"> </w:t>
      </w:r>
      <w:r w:rsidRPr="000E2B5A">
        <w:rPr>
          <w:lang w:val="en-AU"/>
        </w:rPr>
        <w:t xml:space="preserve">the door and not allow the destroyer to come into your houses to strike </w:t>
      </w:r>
      <w:r w:rsidRPr="000E2B5A">
        <w:rPr>
          <w:i/>
          <w:iCs/>
          <w:lang w:val="en-AU"/>
        </w:rPr>
        <w:t>you.</w:t>
      </w:r>
      <w:r w:rsidRPr="000E2B5A">
        <w:rPr>
          <w:iCs/>
          <w:lang w:val="en-AU"/>
        </w:rPr>
        <w:t>” (Exod 12:23)</w:t>
      </w:r>
    </w:p>
    <w:p w:rsidR="00D42BC2" w:rsidRPr="000E2B5A" w:rsidRDefault="00D42BC2" w:rsidP="00D42BC2">
      <w:pPr>
        <w:rPr>
          <w:sz w:val="22"/>
          <w:szCs w:val="28"/>
        </w:rPr>
      </w:pPr>
    </w:p>
    <w:p w:rsidR="00D42BC2" w:rsidRPr="000E2B5A" w:rsidRDefault="00D42BC2" w:rsidP="00D42BC2">
      <w:pPr>
        <w:autoSpaceDE w:val="0"/>
        <w:autoSpaceDN w:val="0"/>
        <w:adjustRightInd w:val="0"/>
        <w:rPr>
          <w:rFonts w:ascii="Bradley Hand ITC" w:hAnsi="Bradley Hand ITC"/>
          <w:b/>
          <w:iCs/>
          <w:sz w:val="28"/>
          <w:szCs w:val="36"/>
          <w:lang w:val="en-AU"/>
        </w:rPr>
      </w:pPr>
      <w:r w:rsidRPr="000E2B5A">
        <w:rPr>
          <w:rFonts w:ascii="Bradley Hand ITC" w:hAnsi="Bradley Hand ITC"/>
          <w:b/>
          <w:iCs/>
          <w:sz w:val="28"/>
          <w:szCs w:val="36"/>
          <w:lang w:val="en-AU"/>
        </w:rPr>
        <w:t>Conclusion</w:t>
      </w:r>
    </w:p>
    <w:p w:rsidR="00D42BC2" w:rsidRPr="000E2B5A" w:rsidRDefault="00D42BC2" w:rsidP="00D42BC2">
      <w:pPr>
        <w:autoSpaceDE w:val="0"/>
        <w:autoSpaceDN w:val="0"/>
        <w:adjustRightInd w:val="0"/>
        <w:rPr>
          <w:sz w:val="22"/>
          <w:szCs w:val="28"/>
        </w:rPr>
      </w:pPr>
      <w:r w:rsidRPr="000E2B5A">
        <w:rPr>
          <w:sz w:val="22"/>
          <w:szCs w:val="28"/>
          <w:lang w:val="en-AU"/>
        </w:rPr>
        <w:t>Isaiah 26 is not the only chapter that has the Passover as backdrop to Hezekiah’s deliverance.</w:t>
      </w:r>
      <w:r w:rsidRPr="000E2B5A">
        <w:rPr>
          <w:rStyle w:val="FootnoteReference"/>
          <w:sz w:val="22"/>
          <w:szCs w:val="28"/>
          <w:lang w:val="en-AU"/>
        </w:rPr>
        <w:footnoteReference w:id="74"/>
      </w:r>
      <w:r w:rsidRPr="000E2B5A">
        <w:rPr>
          <w:sz w:val="22"/>
          <w:szCs w:val="28"/>
          <w:lang w:val="en-AU"/>
        </w:rPr>
        <w:t xml:space="preserve"> Rabbinical tradition dates Hezekiah’s deliverance to the Passover: “</w:t>
      </w:r>
      <w:r w:rsidRPr="000E2B5A">
        <w:rPr>
          <w:sz w:val="22"/>
          <w:szCs w:val="28"/>
        </w:rPr>
        <w:t xml:space="preserve">When Rab-shakeh heard the singing of the Hallel he </w:t>
      </w:r>
      <w:r w:rsidRPr="000E2B5A">
        <w:rPr>
          <w:sz w:val="22"/>
          <w:szCs w:val="28"/>
          <w:lang w:val="en-GB"/>
        </w:rPr>
        <w:t>counselled</w:t>
      </w:r>
      <w:r w:rsidRPr="000E2B5A">
        <w:rPr>
          <w:sz w:val="22"/>
          <w:szCs w:val="28"/>
        </w:rPr>
        <w:t xml:space="preserve"> Sennacherib to withdraw from Jerusalem, as on this night-the first night of Passover-many miracles were wrought for Israel”.</w:t>
      </w:r>
      <w:r w:rsidRPr="000E2B5A">
        <w:rPr>
          <w:rStyle w:val="FootnoteReference"/>
          <w:sz w:val="22"/>
          <w:szCs w:val="28"/>
          <w:lang w:val="en-AU"/>
        </w:rPr>
        <w:t xml:space="preserve"> </w:t>
      </w:r>
      <w:r w:rsidRPr="000E2B5A">
        <w:rPr>
          <w:rStyle w:val="FootnoteReference"/>
          <w:sz w:val="22"/>
          <w:szCs w:val="28"/>
          <w:lang w:val="en-AU"/>
        </w:rPr>
        <w:footnoteReference w:id="75"/>
      </w:r>
      <w:r w:rsidRPr="000E2B5A">
        <w:rPr>
          <w:sz w:val="22"/>
          <w:szCs w:val="28"/>
          <w:lang w:val="en-AU"/>
        </w:rPr>
        <w:t xml:space="preserve"> Although the tradition is undoubtedly late and legendary it supports the biblical evidence that deliverance actually occurred on the Passover night.</w:t>
      </w:r>
      <w:r w:rsidRPr="000E2B5A">
        <w:rPr>
          <w:sz w:val="22"/>
          <w:szCs w:val="28"/>
        </w:rPr>
        <w:t xml:space="preserve"> The biblical data supports Passover deliverance and this does not contradict Assyrian sources or the </w:t>
      </w:r>
      <w:r w:rsidRPr="000E2B5A">
        <w:rPr>
          <w:i/>
          <w:sz w:val="22"/>
          <w:szCs w:val="28"/>
        </w:rPr>
        <w:t>modus operandi</w:t>
      </w:r>
      <w:r w:rsidRPr="000E2B5A">
        <w:rPr>
          <w:sz w:val="22"/>
          <w:szCs w:val="28"/>
        </w:rPr>
        <w:t xml:space="preserve"> of Sennacherib. At the commencement of his reign Hezekiah had re-instituted the feast of Passover and invited the northern tribes to celebrate the feast in Jerusalem. It is fitting that Hezekiah, together with the faithful who responded to his call, had been delivered on Passover.</w:t>
      </w:r>
    </w:p>
    <w:p w:rsidR="00A75A22" w:rsidRPr="000E2B5A" w:rsidRDefault="00A75A22" w:rsidP="00A75A22">
      <w:pPr>
        <w:autoSpaceDE w:val="0"/>
        <w:autoSpaceDN w:val="0"/>
        <w:adjustRightInd w:val="0"/>
        <w:rPr>
          <w:sz w:val="22"/>
          <w:szCs w:val="22"/>
          <w:lang w:val="en-AU"/>
        </w:rPr>
      </w:pPr>
    </w:p>
    <w:p w:rsidR="00794CCB" w:rsidRPr="000E2B5A" w:rsidRDefault="00794CCB" w:rsidP="00794CCB">
      <w:pPr>
        <w:autoSpaceDE w:val="0"/>
        <w:autoSpaceDN w:val="0"/>
        <w:adjustRightInd w:val="0"/>
        <w:jc w:val="center"/>
        <w:rPr>
          <w:rFonts w:ascii="Bradley Hand ITC" w:hAnsi="Bradley Hand ITC"/>
          <w:b/>
          <w:sz w:val="28"/>
          <w:szCs w:val="22"/>
          <w:lang w:val="en-AU"/>
        </w:rPr>
      </w:pPr>
      <w:r w:rsidRPr="000E2B5A">
        <w:rPr>
          <w:rFonts w:ascii="Bradley Hand ITC" w:hAnsi="Bradley Hand ITC"/>
          <w:b/>
          <w:sz w:val="28"/>
          <w:szCs w:val="22"/>
          <w:lang w:val="en-AU"/>
        </w:rPr>
        <w:lastRenderedPageBreak/>
        <w:t>Dating the Deliverance of Jerusalem</w:t>
      </w:r>
    </w:p>
    <w:p w:rsidR="00794CCB" w:rsidRPr="000E2B5A" w:rsidRDefault="00794CCB" w:rsidP="00794CCB">
      <w:pPr>
        <w:autoSpaceDE w:val="0"/>
        <w:autoSpaceDN w:val="0"/>
        <w:adjustRightInd w:val="0"/>
        <w:jc w:val="center"/>
        <w:rPr>
          <w:rFonts w:ascii="Bradley Hand ITC" w:hAnsi="Bradley Hand ITC"/>
          <w:b/>
          <w:sz w:val="28"/>
          <w:szCs w:val="22"/>
          <w:lang w:val="en-AU"/>
        </w:rPr>
      </w:pPr>
      <w:r w:rsidRPr="000E2B5A">
        <w:rPr>
          <w:rFonts w:ascii="Bradley Hand ITC" w:hAnsi="Bradley Hand ITC"/>
          <w:b/>
          <w:sz w:val="28"/>
          <w:szCs w:val="22"/>
          <w:lang w:val="en-AU"/>
        </w:rPr>
        <w:t>A. Perry</w:t>
      </w:r>
    </w:p>
    <w:p w:rsidR="00794CCB" w:rsidRPr="000E2B5A" w:rsidRDefault="00794CCB" w:rsidP="00794CCB">
      <w:pPr>
        <w:autoSpaceDE w:val="0"/>
        <w:autoSpaceDN w:val="0"/>
        <w:adjustRightInd w:val="0"/>
        <w:rPr>
          <w:sz w:val="22"/>
          <w:szCs w:val="22"/>
          <w:lang w:val="en-AU"/>
        </w:rPr>
      </w:pPr>
    </w:p>
    <w:p w:rsidR="00794CCB" w:rsidRPr="000E2B5A" w:rsidRDefault="00794CCB" w:rsidP="00794CCB">
      <w:pPr>
        <w:autoSpaceDE w:val="0"/>
        <w:autoSpaceDN w:val="0"/>
        <w:adjustRightInd w:val="0"/>
        <w:rPr>
          <w:rFonts w:ascii="Bradley Hand ITC" w:hAnsi="Bradley Hand ITC"/>
          <w:b/>
          <w:sz w:val="28"/>
          <w:szCs w:val="22"/>
          <w:lang w:val="en-AU"/>
        </w:rPr>
      </w:pPr>
      <w:r w:rsidRPr="000E2B5A">
        <w:rPr>
          <w:rFonts w:ascii="Bradley Hand ITC" w:hAnsi="Bradley Hand ITC"/>
          <w:b/>
          <w:sz w:val="28"/>
          <w:szCs w:val="22"/>
          <w:lang w:val="en-AU"/>
        </w:rPr>
        <w:t>Introduction</w:t>
      </w:r>
    </w:p>
    <w:p w:rsidR="00794CCB" w:rsidRPr="000E2B5A" w:rsidRDefault="00794CCB" w:rsidP="00794CCB">
      <w:pPr>
        <w:autoSpaceDE w:val="0"/>
        <w:autoSpaceDN w:val="0"/>
        <w:adjustRightInd w:val="0"/>
        <w:rPr>
          <w:sz w:val="22"/>
          <w:szCs w:val="22"/>
          <w:lang w:val="en-AU"/>
        </w:rPr>
      </w:pPr>
      <w:r w:rsidRPr="000E2B5A">
        <w:rPr>
          <w:sz w:val="22"/>
          <w:szCs w:val="22"/>
          <w:lang w:val="en-AU"/>
        </w:rPr>
        <w:t xml:space="preserve">The scholarly consensus is that </w:t>
      </w:r>
      <w:r w:rsidR="00A4620F" w:rsidRPr="000E2B5A">
        <w:rPr>
          <w:sz w:val="22"/>
          <w:szCs w:val="22"/>
          <w:lang w:val="en-AU"/>
        </w:rPr>
        <w:t xml:space="preserve">the </w:t>
      </w:r>
      <w:r w:rsidR="00277E56" w:rsidRPr="000E2B5A">
        <w:rPr>
          <w:sz w:val="22"/>
          <w:szCs w:val="22"/>
          <w:lang w:val="en-AU"/>
        </w:rPr>
        <w:t xml:space="preserve">third campaign of </w:t>
      </w:r>
      <w:r w:rsidR="00A4620F" w:rsidRPr="000E2B5A">
        <w:rPr>
          <w:sz w:val="22"/>
          <w:szCs w:val="22"/>
          <w:lang w:val="en-AU"/>
        </w:rPr>
        <w:t>Sennacherib</w:t>
      </w:r>
      <w:r w:rsidR="005D74CB" w:rsidRPr="000E2B5A">
        <w:rPr>
          <w:sz w:val="22"/>
          <w:szCs w:val="22"/>
          <w:lang w:val="en-AU"/>
        </w:rPr>
        <w:t>’</w:t>
      </w:r>
      <w:r w:rsidR="00A4620F" w:rsidRPr="000E2B5A">
        <w:rPr>
          <w:sz w:val="22"/>
          <w:szCs w:val="22"/>
          <w:lang w:val="en-AU"/>
        </w:rPr>
        <w:t xml:space="preserve">s </w:t>
      </w:r>
      <w:r w:rsidR="00277E56" w:rsidRPr="000E2B5A">
        <w:rPr>
          <w:sz w:val="22"/>
          <w:szCs w:val="22"/>
          <w:lang w:val="en-AU"/>
        </w:rPr>
        <w:t xml:space="preserve">reign (in Phoenicia, Philistia and Judah) happened in </w:t>
      </w:r>
      <w:r w:rsidRPr="000E2B5A">
        <w:rPr>
          <w:sz w:val="22"/>
          <w:szCs w:val="22"/>
          <w:lang w:val="en-AU"/>
        </w:rPr>
        <w:t>701 and that he left after a successful campaign towards the end of the year. What is the evidence and does the Bible agree or disagree</w:t>
      </w:r>
      <w:r w:rsidR="00A4620F" w:rsidRPr="000E2B5A">
        <w:rPr>
          <w:sz w:val="22"/>
          <w:szCs w:val="22"/>
          <w:lang w:val="en-AU"/>
        </w:rPr>
        <w:t xml:space="preserve"> with this date</w:t>
      </w:r>
      <w:r w:rsidRPr="000E2B5A">
        <w:rPr>
          <w:sz w:val="22"/>
          <w:szCs w:val="22"/>
          <w:lang w:val="en-AU"/>
        </w:rPr>
        <w:t>?</w:t>
      </w:r>
    </w:p>
    <w:p w:rsidR="00794CCB" w:rsidRPr="000E2B5A" w:rsidRDefault="00794CCB" w:rsidP="00794CCB">
      <w:pPr>
        <w:autoSpaceDE w:val="0"/>
        <w:autoSpaceDN w:val="0"/>
        <w:adjustRightInd w:val="0"/>
        <w:rPr>
          <w:sz w:val="22"/>
          <w:szCs w:val="22"/>
          <w:lang w:val="en-AU"/>
        </w:rPr>
      </w:pPr>
    </w:p>
    <w:p w:rsidR="00794CCB" w:rsidRPr="000E2B5A" w:rsidRDefault="00794CCB" w:rsidP="00794CCB">
      <w:pPr>
        <w:autoSpaceDE w:val="0"/>
        <w:autoSpaceDN w:val="0"/>
        <w:adjustRightInd w:val="0"/>
        <w:rPr>
          <w:rFonts w:ascii="Bradley Hand ITC" w:hAnsi="Bradley Hand ITC"/>
          <w:b/>
          <w:sz w:val="28"/>
          <w:szCs w:val="22"/>
          <w:lang w:val="en-AU"/>
        </w:rPr>
      </w:pPr>
      <w:r w:rsidRPr="000E2B5A">
        <w:rPr>
          <w:rFonts w:ascii="Bradley Hand ITC" w:hAnsi="Bradley Hand ITC"/>
          <w:b/>
          <w:sz w:val="28"/>
          <w:szCs w:val="22"/>
          <w:lang w:val="en-AU"/>
        </w:rPr>
        <w:t>Assyrian Records</w:t>
      </w:r>
    </w:p>
    <w:p w:rsidR="00794CCB" w:rsidRPr="000E2B5A" w:rsidRDefault="00794CCB" w:rsidP="00794CCB">
      <w:pPr>
        <w:autoSpaceDE w:val="0"/>
        <w:autoSpaceDN w:val="0"/>
        <w:adjustRightInd w:val="0"/>
        <w:rPr>
          <w:sz w:val="22"/>
          <w:szCs w:val="22"/>
          <w:lang w:val="en-AU"/>
        </w:rPr>
      </w:pPr>
      <w:r w:rsidRPr="000E2B5A">
        <w:rPr>
          <w:sz w:val="22"/>
          <w:szCs w:val="22"/>
          <w:lang w:val="en-AU"/>
        </w:rPr>
        <w:t xml:space="preserve">The Assyrian records do not </w:t>
      </w:r>
      <w:r w:rsidR="00A4620F" w:rsidRPr="000E2B5A">
        <w:rPr>
          <w:sz w:val="22"/>
          <w:szCs w:val="22"/>
          <w:lang w:val="en-AU"/>
        </w:rPr>
        <w:t xml:space="preserve">actually </w:t>
      </w:r>
      <w:r w:rsidRPr="000E2B5A">
        <w:rPr>
          <w:sz w:val="22"/>
          <w:szCs w:val="22"/>
          <w:lang w:val="en-AU"/>
        </w:rPr>
        <w:t xml:space="preserve">date the invasion of the Levant to 701 </w:t>
      </w:r>
      <w:r w:rsidR="00277E56" w:rsidRPr="000E2B5A">
        <w:rPr>
          <w:sz w:val="22"/>
          <w:szCs w:val="22"/>
          <w:lang w:val="en-AU"/>
        </w:rPr>
        <w:t xml:space="preserve">although some </w:t>
      </w:r>
      <w:r w:rsidRPr="000E2B5A">
        <w:rPr>
          <w:sz w:val="22"/>
          <w:szCs w:val="22"/>
          <w:lang w:val="en-AU"/>
        </w:rPr>
        <w:t>campaigns of the Assyrian kings</w:t>
      </w:r>
      <w:r w:rsidR="00277E56" w:rsidRPr="000E2B5A">
        <w:rPr>
          <w:sz w:val="22"/>
          <w:szCs w:val="22"/>
          <w:lang w:val="en-AU"/>
        </w:rPr>
        <w:t xml:space="preserve"> are dated</w:t>
      </w:r>
      <w:r w:rsidRPr="000E2B5A">
        <w:rPr>
          <w:sz w:val="22"/>
          <w:szCs w:val="22"/>
          <w:lang w:val="en-AU"/>
        </w:rPr>
        <w:t xml:space="preserve">. The </w:t>
      </w:r>
      <w:r w:rsidR="00277E56" w:rsidRPr="000E2B5A">
        <w:rPr>
          <w:sz w:val="22"/>
          <w:szCs w:val="22"/>
          <w:lang w:val="en-AU"/>
        </w:rPr>
        <w:t xml:space="preserve">reasoning </w:t>
      </w:r>
      <w:r w:rsidRPr="000E2B5A">
        <w:rPr>
          <w:sz w:val="22"/>
          <w:szCs w:val="22"/>
          <w:lang w:val="en-AU"/>
        </w:rPr>
        <w:t xml:space="preserve">that </w:t>
      </w:r>
      <w:r w:rsidR="00277E56" w:rsidRPr="000E2B5A">
        <w:rPr>
          <w:sz w:val="22"/>
          <w:szCs w:val="22"/>
          <w:lang w:val="en-AU"/>
        </w:rPr>
        <w:t xml:space="preserve">leads </w:t>
      </w:r>
      <w:r w:rsidRPr="000E2B5A">
        <w:rPr>
          <w:sz w:val="22"/>
          <w:szCs w:val="22"/>
          <w:lang w:val="en-AU"/>
        </w:rPr>
        <w:t xml:space="preserve">scholars </w:t>
      </w:r>
      <w:r w:rsidR="00277E56" w:rsidRPr="000E2B5A">
        <w:rPr>
          <w:sz w:val="22"/>
          <w:szCs w:val="22"/>
          <w:lang w:val="en-AU"/>
        </w:rPr>
        <w:t>to assign the campaign to</w:t>
      </w:r>
      <w:r w:rsidRPr="000E2B5A">
        <w:rPr>
          <w:sz w:val="22"/>
          <w:szCs w:val="22"/>
          <w:lang w:val="en-AU"/>
        </w:rPr>
        <w:t xml:space="preserve"> 701 </w:t>
      </w:r>
      <w:r w:rsidR="00277E56" w:rsidRPr="000E2B5A">
        <w:rPr>
          <w:sz w:val="22"/>
          <w:szCs w:val="22"/>
          <w:lang w:val="en-AU"/>
        </w:rPr>
        <w:t xml:space="preserve">is </w:t>
      </w:r>
      <w:r w:rsidR="009F5669" w:rsidRPr="000E2B5A">
        <w:rPr>
          <w:sz w:val="22"/>
          <w:szCs w:val="22"/>
          <w:lang w:val="en-AU"/>
        </w:rPr>
        <w:t>four</w:t>
      </w:r>
      <w:r w:rsidR="00277E56" w:rsidRPr="000E2B5A">
        <w:rPr>
          <w:sz w:val="22"/>
          <w:szCs w:val="22"/>
          <w:lang w:val="en-AU"/>
        </w:rPr>
        <w:t xml:space="preserve">fold: </w:t>
      </w:r>
      <w:r w:rsidR="002E0945" w:rsidRPr="000E2B5A">
        <w:rPr>
          <w:sz w:val="22"/>
          <w:szCs w:val="22"/>
          <w:lang w:val="en-AU"/>
        </w:rPr>
        <w:t xml:space="preserve">first, </w:t>
      </w:r>
      <w:r w:rsidR="00277E56" w:rsidRPr="000E2B5A">
        <w:rPr>
          <w:sz w:val="22"/>
          <w:szCs w:val="22"/>
          <w:lang w:val="en-AU"/>
        </w:rPr>
        <w:t>Sennacherib</w:t>
      </w:r>
      <w:r w:rsidR="005D74CB" w:rsidRPr="000E2B5A">
        <w:rPr>
          <w:sz w:val="22"/>
          <w:szCs w:val="22"/>
          <w:lang w:val="en-AU"/>
        </w:rPr>
        <w:t>’</w:t>
      </w:r>
      <w:r w:rsidR="00277E56" w:rsidRPr="000E2B5A">
        <w:rPr>
          <w:sz w:val="22"/>
          <w:szCs w:val="22"/>
          <w:lang w:val="en-AU"/>
        </w:rPr>
        <w:t xml:space="preserve">s </w:t>
      </w:r>
      <w:r w:rsidR="002E0945" w:rsidRPr="000E2B5A">
        <w:rPr>
          <w:sz w:val="22"/>
          <w:szCs w:val="22"/>
          <w:lang w:val="en-AU"/>
        </w:rPr>
        <w:t xml:space="preserve">second campaign in the north of Mesopotamia needs enough time to have completed </w:t>
      </w:r>
      <w:r w:rsidR="00686F82" w:rsidRPr="000E2B5A">
        <w:rPr>
          <w:sz w:val="22"/>
          <w:szCs w:val="22"/>
          <w:lang w:val="en-AU"/>
        </w:rPr>
        <w:t xml:space="preserve">in </w:t>
      </w:r>
      <w:r w:rsidR="002E0945" w:rsidRPr="000E2B5A">
        <w:rPr>
          <w:sz w:val="22"/>
          <w:szCs w:val="22"/>
          <w:lang w:val="en-AU"/>
        </w:rPr>
        <w:t xml:space="preserve">702; </w:t>
      </w:r>
      <w:r w:rsidR="00686F82" w:rsidRPr="000E2B5A">
        <w:rPr>
          <w:sz w:val="22"/>
          <w:szCs w:val="22"/>
          <w:lang w:val="en-AU"/>
        </w:rPr>
        <w:t>secondly, he needs to have enough time back in Nineveh in 702 for diplomacy with the Medes to take place and to oversee some civil building work;  thirdly</w:t>
      </w:r>
      <w:r w:rsidR="002E0945" w:rsidRPr="000E2B5A">
        <w:rPr>
          <w:sz w:val="22"/>
          <w:szCs w:val="22"/>
          <w:lang w:val="en-AU"/>
        </w:rPr>
        <w:t xml:space="preserve">, the normal time for beginning a campaign in Palestine was the spring and this means Sennacherib would have planned his military action to start after the winter of 702-701; and </w:t>
      </w:r>
      <w:r w:rsidR="00686F82" w:rsidRPr="000E2B5A">
        <w:rPr>
          <w:sz w:val="22"/>
          <w:szCs w:val="22"/>
          <w:lang w:val="en-AU"/>
        </w:rPr>
        <w:t>f</w:t>
      </w:r>
      <w:r w:rsidR="00A4620F" w:rsidRPr="000E2B5A">
        <w:rPr>
          <w:sz w:val="22"/>
          <w:szCs w:val="22"/>
          <w:lang w:val="en-AU"/>
        </w:rPr>
        <w:t>inally</w:t>
      </w:r>
      <w:r w:rsidR="002E0945" w:rsidRPr="000E2B5A">
        <w:rPr>
          <w:sz w:val="22"/>
          <w:szCs w:val="22"/>
          <w:lang w:val="en-AU"/>
        </w:rPr>
        <w:t xml:space="preserve">, the first written record of the third campaign is dated to 700, thereby making 701 the obvious year to allocate to the campaign. </w:t>
      </w:r>
    </w:p>
    <w:p w:rsidR="00AD73B0" w:rsidRPr="000E2B5A" w:rsidRDefault="00AD73B0" w:rsidP="00794CCB">
      <w:pPr>
        <w:autoSpaceDE w:val="0"/>
        <w:autoSpaceDN w:val="0"/>
        <w:adjustRightInd w:val="0"/>
        <w:rPr>
          <w:sz w:val="22"/>
          <w:szCs w:val="22"/>
          <w:lang w:val="en-AU"/>
        </w:rPr>
      </w:pPr>
    </w:p>
    <w:p w:rsidR="00A4620F" w:rsidRPr="000E2B5A" w:rsidRDefault="00A4620F" w:rsidP="00794CCB">
      <w:pPr>
        <w:autoSpaceDE w:val="0"/>
        <w:autoSpaceDN w:val="0"/>
        <w:adjustRightInd w:val="0"/>
        <w:rPr>
          <w:i/>
          <w:sz w:val="22"/>
          <w:szCs w:val="22"/>
          <w:lang w:val="en-AU"/>
        </w:rPr>
      </w:pPr>
      <w:r w:rsidRPr="000E2B5A">
        <w:rPr>
          <w:i/>
          <w:sz w:val="22"/>
          <w:szCs w:val="22"/>
          <w:lang w:val="en-AU"/>
        </w:rPr>
        <w:t>First Campaign</w:t>
      </w:r>
    </w:p>
    <w:p w:rsidR="00437A6A" w:rsidRPr="000E2B5A" w:rsidRDefault="00AD73B0" w:rsidP="00794CCB">
      <w:pPr>
        <w:autoSpaceDE w:val="0"/>
        <w:autoSpaceDN w:val="0"/>
        <w:adjustRightInd w:val="0"/>
        <w:rPr>
          <w:sz w:val="22"/>
          <w:szCs w:val="22"/>
          <w:lang w:val="en-AU"/>
        </w:rPr>
      </w:pPr>
      <w:r w:rsidRPr="000E2B5A">
        <w:rPr>
          <w:sz w:val="22"/>
          <w:szCs w:val="22"/>
          <w:lang w:val="en-AU"/>
        </w:rPr>
        <w:t>Sennacherib ascended the throne on 18</w:t>
      </w:r>
      <w:r w:rsidRPr="000E2B5A">
        <w:rPr>
          <w:sz w:val="22"/>
          <w:szCs w:val="22"/>
          <w:vertAlign w:val="superscript"/>
          <w:lang w:val="en-AU"/>
        </w:rPr>
        <w:t>th</w:t>
      </w:r>
      <w:r w:rsidRPr="000E2B5A">
        <w:rPr>
          <w:sz w:val="22"/>
          <w:szCs w:val="22"/>
          <w:lang w:val="en-AU"/>
        </w:rPr>
        <w:t xml:space="preserve"> Ab (July/August) 705. </w:t>
      </w:r>
      <w:r w:rsidR="00437A6A" w:rsidRPr="000E2B5A">
        <w:rPr>
          <w:sz w:val="22"/>
          <w:szCs w:val="22"/>
          <w:lang w:val="en-AU"/>
        </w:rPr>
        <w:t xml:space="preserve">The earliest record of the </w:t>
      </w:r>
      <w:r w:rsidRPr="000E2B5A">
        <w:rPr>
          <w:sz w:val="22"/>
          <w:szCs w:val="22"/>
          <w:lang w:val="en-AU"/>
        </w:rPr>
        <w:t xml:space="preserve">first </w:t>
      </w:r>
      <w:r w:rsidR="00437A6A" w:rsidRPr="000E2B5A">
        <w:rPr>
          <w:sz w:val="22"/>
          <w:szCs w:val="22"/>
          <w:lang w:val="en-AU"/>
        </w:rPr>
        <w:t xml:space="preserve">campaign </w:t>
      </w:r>
      <w:r w:rsidR="00E44D98" w:rsidRPr="000E2B5A">
        <w:rPr>
          <w:sz w:val="22"/>
          <w:szCs w:val="22"/>
          <w:lang w:val="en-AU"/>
        </w:rPr>
        <w:t xml:space="preserve">against Babylonia </w:t>
      </w:r>
      <w:r w:rsidR="00437A6A" w:rsidRPr="000E2B5A">
        <w:rPr>
          <w:sz w:val="22"/>
          <w:szCs w:val="22"/>
          <w:lang w:val="en-AU"/>
        </w:rPr>
        <w:t>(</w:t>
      </w:r>
      <w:r w:rsidR="008544FB" w:rsidRPr="000E2B5A">
        <w:rPr>
          <w:sz w:val="22"/>
          <w:szCs w:val="22"/>
          <w:lang w:val="en-AU"/>
        </w:rPr>
        <w:t>written early in</w:t>
      </w:r>
      <w:r w:rsidR="00437A6A" w:rsidRPr="000E2B5A">
        <w:rPr>
          <w:sz w:val="22"/>
          <w:szCs w:val="22"/>
          <w:lang w:val="en-AU"/>
        </w:rPr>
        <w:t xml:space="preserve"> 702</w:t>
      </w:r>
      <w:r w:rsidR="008544FB" w:rsidRPr="000E2B5A">
        <w:rPr>
          <w:sz w:val="22"/>
          <w:szCs w:val="22"/>
          <w:lang w:val="en-AU"/>
        </w:rPr>
        <w:t>, BM 113203</w:t>
      </w:r>
      <w:r w:rsidR="00437A6A" w:rsidRPr="000E2B5A">
        <w:rPr>
          <w:sz w:val="22"/>
          <w:szCs w:val="22"/>
          <w:lang w:val="en-AU"/>
        </w:rPr>
        <w:t xml:space="preserve">) dates the first campaign to the </w:t>
      </w:r>
      <w:r w:rsidR="005D74CB" w:rsidRPr="000E2B5A">
        <w:rPr>
          <w:sz w:val="22"/>
          <w:szCs w:val="22"/>
          <w:lang w:val="en-AU"/>
        </w:rPr>
        <w:t>“</w:t>
      </w:r>
      <w:r w:rsidR="00437A6A" w:rsidRPr="000E2B5A">
        <w:rPr>
          <w:sz w:val="22"/>
          <w:szCs w:val="22"/>
          <w:lang w:val="en-AU"/>
        </w:rPr>
        <w:t>beginning of his reign</w:t>
      </w:r>
      <w:r w:rsidR="005D74CB" w:rsidRPr="000E2B5A">
        <w:rPr>
          <w:sz w:val="22"/>
          <w:szCs w:val="22"/>
          <w:lang w:val="en-AU"/>
        </w:rPr>
        <w:t>”</w:t>
      </w:r>
      <w:r w:rsidR="00437A6A" w:rsidRPr="000E2B5A">
        <w:rPr>
          <w:sz w:val="22"/>
          <w:szCs w:val="22"/>
          <w:lang w:val="en-AU"/>
        </w:rPr>
        <w:t xml:space="preserve"> which </w:t>
      </w:r>
      <w:r w:rsidR="008544FB" w:rsidRPr="000E2B5A">
        <w:rPr>
          <w:sz w:val="22"/>
          <w:szCs w:val="22"/>
          <w:lang w:val="en-AU"/>
        </w:rPr>
        <w:t>is</w:t>
      </w:r>
      <w:r w:rsidR="00437A6A" w:rsidRPr="000E2B5A">
        <w:rPr>
          <w:sz w:val="22"/>
          <w:szCs w:val="22"/>
          <w:lang w:val="en-AU"/>
        </w:rPr>
        <w:t xml:space="preserve"> unlikely to refer to 703 and more likely to refer to his accession year 705 or his first regnal year 704.</w:t>
      </w:r>
      <w:r w:rsidR="00437A6A" w:rsidRPr="000E2B5A">
        <w:rPr>
          <w:rStyle w:val="FootnoteReference"/>
          <w:sz w:val="22"/>
          <w:szCs w:val="22"/>
          <w:lang w:val="en-AU"/>
        </w:rPr>
        <w:footnoteReference w:id="76"/>
      </w:r>
      <w:r w:rsidR="00437A6A" w:rsidRPr="000E2B5A">
        <w:rPr>
          <w:sz w:val="22"/>
          <w:szCs w:val="22"/>
          <w:lang w:val="en-AU"/>
        </w:rPr>
        <w:t xml:space="preserve"> </w:t>
      </w:r>
      <w:r w:rsidR="00451911" w:rsidRPr="000E2B5A">
        <w:rPr>
          <w:sz w:val="22"/>
          <w:szCs w:val="22"/>
          <w:lang w:val="en-AU"/>
        </w:rPr>
        <w:t>This</w:t>
      </w:r>
      <w:r w:rsidR="003730C2" w:rsidRPr="000E2B5A">
        <w:rPr>
          <w:sz w:val="22"/>
          <w:szCs w:val="22"/>
          <w:lang w:val="en-AU"/>
        </w:rPr>
        <w:t xml:space="preserve"> record of the campaign refers to a date when Sennacherib left Nineveh, the 20</w:t>
      </w:r>
      <w:r w:rsidR="003730C2" w:rsidRPr="000E2B5A">
        <w:rPr>
          <w:sz w:val="22"/>
          <w:szCs w:val="22"/>
          <w:vertAlign w:val="superscript"/>
          <w:lang w:val="en-AU"/>
        </w:rPr>
        <w:t>th</w:t>
      </w:r>
      <w:r w:rsidR="003730C2" w:rsidRPr="000E2B5A">
        <w:rPr>
          <w:sz w:val="22"/>
          <w:szCs w:val="22"/>
          <w:lang w:val="en-AU"/>
        </w:rPr>
        <w:t xml:space="preserve"> of Shabâtu which is best identified as Jan/Feb 704.</w:t>
      </w:r>
    </w:p>
    <w:p w:rsidR="00437A6A" w:rsidRPr="000E2B5A" w:rsidRDefault="00437A6A" w:rsidP="00794CCB">
      <w:pPr>
        <w:autoSpaceDE w:val="0"/>
        <w:autoSpaceDN w:val="0"/>
        <w:adjustRightInd w:val="0"/>
        <w:rPr>
          <w:sz w:val="22"/>
          <w:szCs w:val="22"/>
          <w:lang w:val="en-AU"/>
        </w:rPr>
      </w:pPr>
    </w:p>
    <w:p w:rsidR="00195D05" w:rsidRPr="000E2B5A" w:rsidRDefault="008544FB" w:rsidP="00794CCB">
      <w:pPr>
        <w:autoSpaceDE w:val="0"/>
        <w:autoSpaceDN w:val="0"/>
        <w:adjustRightInd w:val="0"/>
        <w:rPr>
          <w:sz w:val="22"/>
          <w:szCs w:val="22"/>
          <w:lang w:val="en-AU"/>
        </w:rPr>
      </w:pPr>
      <w:r w:rsidRPr="000E2B5A">
        <w:rPr>
          <w:sz w:val="22"/>
          <w:szCs w:val="22"/>
          <w:lang w:val="en-AU"/>
        </w:rPr>
        <w:t xml:space="preserve">Without listing all of the details of the first campaign, it came to an end with the installation of </w:t>
      </w:r>
      <w:r w:rsidR="00195D05" w:rsidRPr="000E2B5A">
        <w:rPr>
          <w:sz w:val="22"/>
          <w:szCs w:val="22"/>
          <w:lang w:val="en-AU"/>
        </w:rPr>
        <w:t xml:space="preserve">the puppet </w:t>
      </w:r>
      <w:r w:rsidRPr="000E2B5A">
        <w:rPr>
          <w:sz w:val="22"/>
          <w:szCs w:val="22"/>
          <w:lang w:val="en-AU"/>
        </w:rPr>
        <w:t>Bel-ibni upon the throne of Babylon</w:t>
      </w:r>
      <w:r w:rsidR="00195D05" w:rsidRPr="000E2B5A">
        <w:rPr>
          <w:sz w:val="22"/>
          <w:szCs w:val="22"/>
          <w:lang w:val="en-AU"/>
        </w:rPr>
        <w:t>. The extensive nature of the campaign requires Sennacherib to be active against Babylon and the south of Mesopotamia during 704 and 703. Babylonian records identify Bel-ibni</w:t>
      </w:r>
      <w:r w:rsidR="005D74CB" w:rsidRPr="000E2B5A">
        <w:rPr>
          <w:sz w:val="22"/>
          <w:szCs w:val="22"/>
          <w:lang w:val="en-AU"/>
        </w:rPr>
        <w:t>’</w:t>
      </w:r>
      <w:r w:rsidR="00195D05" w:rsidRPr="000E2B5A">
        <w:rPr>
          <w:sz w:val="22"/>
          <w:szCs w:val="22"/>
          <w:lang w:val="en-AU"/>
        </w:rPr>
        <w:t>s first</w:t>
      </w:r>
      <w:r w:rsidRPr="000E2B5A">
        <w:rPr>
          <w:sz w:val="22"/>
          <w:szCs w:val="22"/>
          <w:lang w:val="en-AU"/>
        </w:rPr>
        <w:t xml:space="preserve"> regnal year </w:t>
      </w:r>
      <w:r w:rsidR="00195D05" w:rsidRPr="000E2B5A">
        <w:rPr>
          <w:sz w:val="22"/>
          <w:szCs w:val="22"/>
          <w:lang w:val="en-AU"/>
        </w:rPr>
        <w:t xml:space="preserve">to be </w:t>
      </w:r>
      <w:r w:rsidRPr="000E2B5A">
        <w:rPr>
          <w:sz w:val="22"/>
          <w:szCs w:val="22"/>
          <w:lang w:val="en-AU"/>
        </w:rPr>
        <w:t>702-701</w:t>
      </w:r>
      <w:r w:rsidR="00195D05" w:rsidRPr="000E2B5A">
        <w:rPr>
          <w:sz w:val="22"/>
          <w:szCs w:val="22"/>
          <w:lang w:val="en-AU"/>
        </w:rPr>
        <w:t xml:space="preserve"> which means he was placed on the throne in 703 or at least before Nissan </w:t>
      </w:r>
      <w:r w:rsidR="00A4620F" w:rsidRPr="000E2B5A">
        <w:rPr>
          <w:sz w:val="22"/>
          <w:szCs w:val="22"/>
          <w:lang w:val="en-AU"/>
        </w:rPr>
        <w:t xml:space="preserve">(Mar/Apr) </w:t>
      </w:r>
      <w:r w:rsidR="00195D05" w:rsidRPr="000E2B5A">
        <w:rPr>
          <w:sz w:val="22"/>
          <w:szCs w:val="22"/>
          <w:lang w:val="en-AU"/>
        </w:rPr>
        <w:t>702</w:t>
      </w:r>
      <w:r w:rsidR="00A4620F" w:rsidRPr="000E2B5A">
        <w:rPr>
          <w:sz w:val="22"/>
          <w:szCs w:val="22"/>
          <w:lang w:val="en-AU"/>
        </w:rPr>
        <w:t>.</w:t>
      </w:r>
    </w:p>
    <w:p w:rsidR="008127F1" w:rsidRPr="000E2B5A" w:rsidRDefault="008127F1" w:rsidP="00794CCB">
      <w:pPr>
        <w:autoSpaceDE w:val="0"/>
        <w:autoSpaceDN w:val="0"/>
        <w:adjustRightInd w:val="0"/>
        <w:rPr>
          <w:sz w:val="22"/>
          <w:szCs w:val="22"/>
          <w:lang w:val="en-AU"/>
        </w:rPr>
      </w:pPr>
    </w:p>
    <w:p w:rsidR="00A4620F" w:rsidRPr="000E2B5A" w:rsidRDefault="00A4620F" w:rsidP="00794CCB">
      <w:pPr>
        <w:autoSpaceDE w:val="0"/>
        <w:autoSpaceDN w:val="0"/>
        <w:adjustRightInd w:val="0"/>
        <w:rPr>
          <w:sz w:val="22"/>
          <w:szCs w:val="22"/>
          <w:lang w:val="en-AU"/>
        </w:rPr>
      </w:pPr>
      <w:r w:rsidRPr="000E2B5A">
        <w:rPr>
          <w:i/>
          <w:sz w:val="22"/>
          <w:szCs w:val="22"/>
          <w:lang w:val="en-AU"/>
        </w:rPr>
        <w:lastRenderedPageBreak/>
        <w:t>Second Campaign</w:t>
      </w:r>
    </w:p>
    <w:p w:rsidR="00963939" w:rsidRPr="000E2B5A" w:rsidRDefault="008544FB" w:rsidP="00794CCB">
      <w:pPr>
        <w:autoSpaceDE w:val="0"/>
        <w:autoSpaceDN w:val="0"/>
        <w:adjustRightInd w:val="0"/>
        <w:rPr>
          <w:sz w:val="22"/>
          <w:szCs w:val="22"/>
          <w:lang w:val="en-AU"/>
        </w:rPr>
      </w:pPr>
      <w:r w:rsidRPr="000E2B5A">
        <w:rPr>
          <w:sz w:val="22"/>
          <w:szCs w:val="22"/>
          <w:lang w:val="en-AU"/>
        </w:rPr>
        <w:t xml:space="preserve">The second campaign could have started </w:t>
      </w:r>
      <w:r w:rsidR="00195D05" w:rsidRPr="000E2B5A">
        <w:rPr>
          <w:sz w:val="22"/>
          <w:szCs w:val="22"/>
          <w:lang w:val="en-AU"/>
        </w:rPr>
        <w:t xml:space="preserve">as early as late </w:t>
      </w:r>
      <w:r w:rsidRPr="000E2B5A">
        <w:rPr>
          <w:sz w:val="22"/>
          <w:szCs w:val="22"/>
          <w:lang w:val="en-AU"/>
        </w:rPr>
        <w:t xml:space="preserve">in 703 </w:t>
      </w:r>
      <w:r w:rsidR="00195D05" w:rsidRPr="000E2B5A">
        <w:rPr>
          <w:sz w:val="22"/>
          <w:szCs w:val="22"/>
          <w:lang w:val="en-AU"/>
        </w:rPr>
        <w:t>and it was in the north</w:t>
      </w:r>
      <w:r w:rsidR="00D10A23" w:rsidRPr="000E2B5A">
        <w:rPr>
          <w:sz w:val="22"/>
          <w:szCs w:val="22"/>
          <w:lang w:val="en-AU"/>
        </w:rPr>
        <w:t xml:space="preserve"> of Mesopotamia</w:t>
      </w:r>
      <w:r w:rsidR="00195D05" w:rsidRPr="000E2B5A">
        <w:rPr>
          <w:sz w:val="22"/>
          <w:szCs w:val="22"/>
          <w:lang w:val="en-AU"/>
        </w:rPr>
        <w:t xml:space="preserve">. It </w:t>
      </w:r>
      <w:r w:rsidR="00427AC8" w:rsidRPr="000E2B5A">
        <w:rPr>
          <w:sz w:val="22"/>
          <w:szCs w:val="22"/>
          <w:lang w:val="en-AU"/>
        </w:rPr>
        <w:t>was certainly in full swing in</w:t>
      </w:r>
      <w:r w:rsidR="00195D05" w:rsidRPr="000E2B5A">
        <w:rPr>
          <w:sz w:val="22"/>
          <w:szCs w:val="22"/>
          <w:lang w:val="en-AU"/>
        </w:rPr>
        <w:t xml:space="preserve"> 702 because it was </w:t>
      </w:r>
      <w:r w:rsidR="00963939" w:rsidRPr="000E2B5A">
        <w:rPr>
          <w:sz w:val="22"/>
          <w:szCs w:val="22"/>
          <w:lang w:val="en-AU"/>
        </w:rPr>
        <w:t xml:space="preserve">an extensive campaign </w:t>
      </w:r>
      <w:r w:rsidR="00195D05" w:rsidRPr="000E2B5A">
        <w:rPr>
          <w:sz w:val="22"/>
          <w:szCs w:val="22"/>
          <w:lang w:val="en-AU"/>
        </w:rPr>
        <w:t xml:space="preserve">and our first written record </w:t>
      </w:r>
      <w:r w:rsidR="00963939" w:rsidRPr="000E2B5A">
        <w:rPr>
          <w:sz w:val="22"/>
          <w:szCs w:val="22"/>
          <w:lang w:val="en-AU"/>
        </w:rPr>
        <w:t xml:space="preserve">of the campaign </w:t>
      </w:r>
      <w:r w:rsidR="00451911" w:rsidRPr="000E2B5A">
        <w:rPr>
          <w:sz w:val="22"/>
          <w:szCs w:val="22"/>
          <w:lang w:val="en-AU"/>
        </w:rPr>
        <w:t xml:space="preserve">along with a further record of the first campaign </w:t>
      </w:r>
      <w:r w:rsidR="00963939" w:rsidRPr="000E2B5A">
        <w:rPr>
          <w:sz w:val="22"/>
          <w:szCs w:val="22"/>
          <w:lang w:val="en-AU"/>
        </w:rPr>
        <w:t xml:space="preserve">is from Tishri </w:t>
      </w:r>
      <w:r w:rsidR="00427AC8" w:rsidRPr="000E2B5A">
        <w:rPr>
          <w:sz w:val="22"/>
          <w:szCs w:val="22"/>
          <w:lang w:val="en-AU"/>
        </w:rPr>
        <w:t>(Sep</w:t>
      </w:r>
      <w:r w:rsidR="009F5669" w:rsidRPr="000E2B5A">
        <w:rPr>
          <w:sz w:val="22"/>
          <w:szCs w:val="22"/>
          <w:lang w:val="en-AU"/>
        </w:rPr>
        <w:t>/Oct</w:t>
      </w:r>
      <w:r w:rsidR="00427AC8" w:rsidRPr="000E2B5A">
        <w:rPr>
          <w:sz w:val="22"/>
          <w:szCs w:val="22"/>
          <w:lang w:val="en-AU"/>
        </w:rPr>
        <w:t xml:space="preserve">) </w:t>
      </w:r>
      <w:r w:rsidR="00451911" w:rsidRPr="000E2B5A">
        <w:rPr>
          <w:sz w:val="22"/>
          <w:szCs w:val="22"/>
          <w:lang w:val="en-AU"/>
        </w:rPr>
        <w:t>702 (BM 123412).</w:t>
      </w:r>
    </w:p>
    <w:p w:rsidR="00451911" w:rsidRPr="000E2B5A" w:rsidRDefault="00451911" w:rsidP="00794CCB">
      <w:pPr>
        <w:autoSpaceDE w:val="0"/>
        <w:autoSpaceDN w:val="0"/>
        <w:adjustRightInd w:val="0"/>
        <w:rPr>
          <w:sz w:val="22"/>
          <w:szCs w:val="22"/>
          <w:lang w:val="en-AU"/>
        </w:rPr>
      </w:pPr>
    </w:p>
    <w:p w:rsidR="00451911" w:rsidRPr="000E2B5A" w:rsidRDefault="00451911" w:rsidP="00794CCB">
      <w:pPr>
        <w:autoSpaceDE w:val="0"/>
        <w:autoSpaceDN w:val="0"/>
        <w:adjustRightInd w:val="0"/>
        <w:rPr>
          <w:sz w:val="22"/>
          <w:szCs w:val="22"/>
          <w:lang w:val="en-AU"/>
        </w:rPr>
      </w:pPr>
      <w:r w:rsidRPr="000E2B5A">
        <w:rPr>
          <w:sz w:val="22"/>
          <w:szCs w:val="22"/>
          <w:lang w:val="en-AU"/>
        </w:rPr>
        <w:t>The scope of the campaign covers the following:</w:t>
      </w:r>
    </w:p>
    <w:p w:rsidR="00451911" w:rsidRPr="000E2B5A" w:rsidRDefault="00451911" w:rsidP="00794CCB">
      <w:pPr>
        <w:autoSpaceDE w:val="0"/>
        <w:autoSpaceDN w:val="0"/>
        <w:adjustRightInd w:val="0"/>
        <w:rPr>
          <w:sz w:val="22"/>
          <w:szCs w:val="22"/>
          <w:lang w:val="en-AU"/>
        </w:rPr>
      </w:pPr>
    </w:p>
    <w:p w:rsidR="00427AC8" w:rsidRPr="000E2B5A" w:rsidRDefault="001C5810" w:rsidP="00D0681F">
      <w:pPr>
        <w:pStyle w:val="ListParagraph"/>
        <w:numPr>
          <w:ilvl w:val="0"/>
          <w:numId w:val="17"/>
        </w:numPr>
        <w:autoSpaceDE w:val="0"/>
        <w:autoSpaceDN w:val="0"/>
        <w:adjustRightInd w:val="0"/>
        <w:spacing w:after="0"/>
        <w:ind w:left="360"/>
        <w:rPr>
          <w:sz w:val="22"/>
          <w:lang w:val="en-AU"/>
        </w:rPr>
      </w:pPr>
      <w:r w:rsidRPr="000E2B5A">
        <w:rPr>
          <w:sz w:val="22"/>
          <w:lang w:val="en-AU"/>
        </w:rPr>
        <w:t>Against the land of the Kassites and the Yasubigallains; in the mountains of t</w:t>
      </w:r>
      <w:r w:rsidR="009F5669" w:rsidRPr="000E2B5A">
        <w:rPr>
          <w:sz w:val="22"/>
          <w:lang w:val="en-AU"/>
        </w:rPr>
        <w:t>he north, in difficult terrain.</w:t>
      </w:r>
    </w:p>
    <w:p w:rsidR="00D0681F" w:rsidRPr="000E2B5A" w:rsidRDefault="00D0681F" w:rsidP="00D0681F">
      <w:pPr>
        <w:pStyle w:val="ListParagraph"/>
        <w:autoSpaceDE w:val="0"/>
        <w:autoSpaceDN w:val="0"/>
        <w:adjustRightInd w:val="0"/>
        <w:spacing w:after="0"/>
        <w:ind w:left="360"/>
        <w:rPr>
          <w:sz w:val="22"/>
          <w:lang w:val="en-AU"/>
        </w:rPr>
      </w:pPr>
    </w:p>
    <w:p w:rsidR="001C5810" w:rsidRPr="000E2B5A" w:rsidRDefault="001C5810" w:rsidP="00D0681F">
      <w:pPr>
        <w:pStyle w:val="ListParagraph"/>
        <w:numPr>
          <w:ilvl w:val="0"/>
          <w:numId w:val="17"/>
        </w:numPr>
        <w:autoSpaceDE w:val="0"/>
        <w:autoSpaceDN w:val="0"/>
        <w:adjustRightInd w:val="0"/>
        <w:spacing w:after="0"/>
        <w:ind w:left="360"/>
        <w:rPr>
          <w:sz w:val="22"/>
          <w:lang w:val="en-AU"/>
        </w:rPr>
      </w:pPr>
      <w:r w:rsidRPr="000E2B5A">
        <w:rPr>
          <w:sz w:val="22"/>
          <w:lang w:val="en-AU"/>
        </w:rPr>
        <w:t>Capital city, Bît-kilamzah besieged and then captured.</w:t>
      </w:r>
    </w:p>
    <w:p w:rsidR="001C5810" w:rsidRPr="000E2B5A" w:rsidRDefault="001C5810" w:rsidP="001C5810">
      <w:pPr>
        <w:autoSpaceDE w:val="0"/>
        <w:autoSpaceDN w:val="0"/>
        <w:adjustRightInd w:val="0"/>
        <w:rPr>
          <w:sz w:val="22"/>
          <w:szCs w:val="22"/>
          <w:lang w:val="en-AU"/>
        </w:rPr>
      </w:pPr>
    </w:p>
    <w:p w:rsidR="001C5810" w:rsidRPr="000E2B5A" w:rsidRDefault="001C5810" w:rsidP="00D0681F">
      <w:pPr>
        <w:pStyle w:val="ListParagraph"/>
        <w:numPr>
          <w:ilvl w:val="0"/>
          <w:numId w:val="17"/>
        </w:numPr>
        <w:autoSpaceDE w:val="0"/>
        <w:autoSpaceDN w:val="0"/>
        <w:adjustRightInd w:val="0"/>
        <w:spacing w:after="0"/>
        <w:ind w:left="360"/>
        <w:rPr>
          <w:sz w:val="22"/>
          <w:lang w:val="en-AU"/>
        </w:rPr>
      </w:pPr>
      <w:r w:rsidRPr="000E2B5A">
        <w:rPr>
          <w:sz w:val="22"/>
          <w:lang w:val="en-AU"/>
        </w:rPr>
        <w:t>Large deportation of the populace – resettled in other lands.</w:t>
      </w:r>
    </w:p>
    <w:p w:rsidR="001C5810" w:rsidRPr="000E2B5A" w:rsidRDefault="001C5810" w:rsidP="001C5810">
      <w:pPr>
        <w:autoSpaceDE w:val="0"/>
        <w:autoSpaceDN w:val="0"/>
        <w:adjustRightInd w:val="0"/>
        <w:rPr>
          <w:sz w:val="22"/>
          <w:szCs w:val="22"/>
          <w:lang w:val="en-AU"/>
        </w:rPr>
      </w:pPr>
    </w:p>
    <w:p w:rsidR="001C5810" w:rsidRPr="000E2B5A" w:rsidRDefault="001C5810" w:rsidP="00D0681F">
      <w:pPr>
        <w:pStyle w:val="ListParagraph"/>
        <w:numPr>
          <w:ilvl w:val="0"/>
          <w:numId w:val="17"/>
        </w:numPr>
        <w:autoSpaceDE w:val="0"/>
        <w:autoSpaceDN w:val="0"/>
        <w:adjustRightInd w:val="0"/>
        <w:spacing w:after="0"/>
        <w:ind w:left="360"/>
        <w:rPr>
          <w:sz w:val="22"/>
          <w:lang w:val="en-AU"/>
        </w:rPr>
      </w:pPr>
      <w:r w:rsidRPr="000E2B5A">
        <w:rPr>
          <w:sz w:val="22"/>
          <w:lang w:val="en-AU"/>
        </w:rPr>
        <w:t>Countless small cities destroyed.</w:t>
      </w:r>
    </w:p>
    <w:p w:rsidR="00D0681F" w:rsidRPr="000E2B5A" w:rsidRDefault="00D0681F" w:rsidP="00D0681F">
      <w:pPr>
        <w:autoSpaceDE w:val="0"/>
        <w:autoSpaceDN w:val="0"/>
        <w:adjustRightInd w:val="0"/>
        <w:rPr>
          <w:sz w:val="22"/>
          <w:lang w:val="en-AU"/>
        </w:rPr>
      </w:pPr>
    </w:p>
    <w:p w:rsidR="001C5810" w:rsidRPr="000E2B5A" w:rsidRDefault="001C5810" w:rsidP="00D0681F">
      <w:pPr>
        <w:pStyle w:val="ListParagraph"/>
        <w:numPr>
          <w:ilvl w:val="0"/>
          <w:numId w:val="17"/>
        </w:numPr>
        <w:autoSpaceDE w:val="0"/>
        <w:autoSpaceDN w:val="0"/>
        <w:adjustRightInd w:val="0"/>
        <w:spacing w:after="0"/>
        <w:ind w:left="360"/>
        <w:rPr>
          <w:sz w:val="22"/>
          <w:lang w:val="en-AU"/>
        </w:rPr>
      </w:pPr>
      <w:r w:rsidRPr="000E2B5A">
        <w:rPr>
          <w:sz w:val="22"/>
          <w:lang w:val="en-AU"/>
        </w:rPr>
        <w:t>Overran the land of Elippi; destroyed Marubishti and Akkuddu, the royal cities and 34 other strong cities and small cities.</w:t>
      </w:r>
    </w:p>
    <w:p w:rsidR="001C5810" w:rsidRPr="000E2B5A" w:rsidRDefault="001C5810" w:rsidP="001C5810">
      <w:pPr>
        <w:autoSpaceDE w:val="0"/>
        <w:autoSpaceDN w:val="0"/>
        <w:adjustRightInd w:val="0"/>
        <w:rPr>
          <w:sz w:val="22"/>
          <w:lang w:val="en-AU"/>
        </w:rPr>
      </w:pPr>
    </w:p>
    <w:p w:rsidR="001C5810" w:rsidRPr="000E2B5A" w:rsidRDefault="001C5810" w:rsidP="00D0681F">
      <w:pPr>
        <w:pStyle w:val="ListParagraph"/>
        <w:numPr>
          <w:ilvl w:val="0"/>
          <w:numId w:val="17"/>
        </w:numPr>
        <w:autoSpaceDE w:val="0"/>
        <w:autoSpaceDN w:val="0"/>
        <w:adjustRightInd w:val="0"/>
        <w:spacing w:after="0"/>
        <w:ind w:left="360"/>
        <w:rPr>
          <w:sz w:val="22"/>
          <w:lang w:val="en-AU"/>
        </w:rPr>
      </w:pPr>
      <w:r w:rsidRPr="000E2B5A">
        <w:rPr>
          <w:sz w:val="22"/>
          <w:lang w:val="en-AU"/>
        </w:rPr>
        <w:t>Subdued the district of Bît-Barrû, their strong cities and small cities; annexed the district to Assyria.</w:t>
      </w:r>
    </w:p>
    <w:p w:rsidR="00D0681F" w:rsidRPr="000E2B5A" w:rsidRDefault="00D0681F" w:rsidP="00794CCB">
      <w:pPr>
        <w:autoSpaceDE w:val="0"/>
        <w:autoSpaceDN w:val="0"/>
        <w:adjustRightInd w:val="0"/>
        <w:rPr>
          <w:sz w:val="22"/>
          <w:szCs w:val="22"/>
          <w:lang w:val="en-AU"/>
        </w:rPr>
      </w:pPr>
    </w:p>
    <w:p w:rsidR="00451911" w:rsidRPr="000E2B5A" w:rsidRDefault="00451911" w:rsidP="00794CCB">
      <w:pPr>
        <w:autoSpaceDE w:val="0"/>
        <w:autoSpaceDN w:val="0"/>
        <w:adjustRightInd w:val="0"/>
        <w:rPr>
          <w:sz w:val="22"/>
          <w:szCs w:val="22"/>
          <w:lang w:val="en-AU"/>
        </w:rPr>
      </w:pPr>
      <w:r w:rsidRPr="000E2B5A">
        <w:rPr>
          <w:sz w:val="22"/>
          <w:szCs w:val="22"/>
          <w:lang w:val="en-AU"/>
        </w:rPr>
        <w:t xml:space="preserve">In addition </w:t>
      </w:r>
      <w:r w:rsidR="001C5810" w:rsidRPr="000E2B5A">
        <w:rPr>
          <w:sz w:val="22"/>
          <w:szCs w:val="22"/>
          <w:lang w:val="en-AU"/>
        </w:rPr>
        <w:t>to this action, the re</w:t>
      </w:r>
      <w:r w:rsidRPr="000E2B5A">
        <w:rPr>
          <w:sz w:val="22"/>
          <w:szCs w:val="22"/>
          <w:lang w:val="en-AU"/>
        </w:rPr>
        <w:t>cord states that Sennacherib returned to Nineveh and entered into diplomatic negotiations with the Medes</w:t>
      </w:r>
      <w:r w:rsidR="00D10A23" w:rsidRPr="000E2B5A">
        <w:rPr>
          <w:sz w:val="22"/>
          <w:szCs w:val="22"/>
          <w:lang w:val="en-AU"/>
        </w:rPr>
        <w:t xml:space="preserve"> and engaged in some building work</w:t>
      </w:r>
      <w:r w:rsidRPr="000E2B5A">
        <w:rPr>
          <w:sz w:val="22"/>
          <w:szCs w:val="22"/>
          <w:lang w:val="en-AU"/>
        </w:rPr>
        <w:t>.</w:t>
      </w:r>
      <w:r w:rsidR="001C5810" w:rsidRPr="000E2B5A">
        <w:rPr>
          <w:rStyle w:val="FootnoteReference"/>
          <w:sz w:val="22"/>
          <w:szCs w:val="22"/>
          <w:lang w:val="en-AU"/>
        </w:rPr>
        <w:footnoteReference w:id="77"/>
      </w:r>
    </w:p>
    <w:p w:rsidR="00451911" w:rsidRPr="000E2B5A" w:rsidRDefault="00451911" w:rsidP="00794CCB">
      <w:pPr>
        <w:autoSpaceDE w:val="0"/>
        <w:autoSpaceDN w:val="0"/>
        <w:adjustRightInd w:val="0"/>
        <w:rPr>
          <w:sz w:val="22"/>
          <w:szCs w:val="22"/>
          <w:lang w:val="en-AU"/>
        </w:rPr>
      </w:pPr>
    </w:p>
    <w:p w:rsidR="00342D9F" w:rsidRPr="000E2B5A" w:rsidRDefault="00342D9F" w:rsidP="00794CCB">
      <w:pPr>
        <w:autoSpaceDE w:val="0"/>
        <w:autoSpaceDN w:val="0"/>
        <w:adjustRightInd w:val="0"/>
        <w:rPr>
          <w:i/>
          <w:sz w:val="22"/>
          <w:szCs w:val="22"/>
          <w:lang w:val="en-AU"/>
        </w:rPr>
      </w:pPr>
      <w:r w:rsidRPr="000E2B5A">
        <w:rPr>
          <w:i/>
          <w:sz w:val="22"/>
          <w:szCs w:val="22"/>
          <w:lang w:val="en-AU"/>
        </w:rPr>
        <w:t>Third Campaign</w:t>
      </w:r>
    </w:p>
    <w:p w:rsidR="009F5669" w:rsidRPr="000E2B5A" w:rsidRDefault="00963939" w:rsidP="00794CCB">
      <w:pPr>
        <w:autoSpaceDE w:val="0"/>
        <w:autoSpaceDN w:val="0"/>
        <w:adjustRightInd w:val="0"/>
        <w:rPr>
          <w:sz w:val="22"/>
          <w:szCs w:val="22"/>
          <w:lang w:val="en-AU"/>
        </w:rPr>
      </w:pPr>
      <w:r w:rsidRPr="000E2B5A">
        <w:rPr>
          <w:sz w:val="22"/>
          <w:szCs w:val="22"/>
          <w:lang w:val="en-AU"/>
        </w:rPr>
        <w:t>Sennacherib</w:t>
      </w:r>
      <w:r w:rsidR="005D74CB" w:rsidRPr="000E2B5A">
        <w:rPr>
          <w:sz w:val="22"/>
          <w:szCs w:val="22"/>
          <w:lang w:val="en-AU"/>
        </w:rPr>
        <w:t>’</w:t>
      </w:r>
      <w:r w:rsidRPr="000E2B5A">
        <w:rPr>
          <w:sz w:val="22"/>
          <w:szCs w:val="22"/>
          <w:lang w:val="en-AU"/>
        </w:rPr>
        <w:t>s campaign in the Levant could have started late in 702 but scholars have tended to opt for 701</w:t>
      </w:r>
      <w:r w:rsidR="00632577" w:rsidRPr="000E2B5A">
        <w:rPr>
          <w:sz w:val="22"/>
          <w:szCs w:val="22"/>
          <w:lang w:val="en-AU"/>
        </w:rPr>
        <w:t>,</w:t>
      </w:r>
      <w:r w:rsidRPr="000E2B5A">
        <w:rPr>
          <w:sz w:val="22"/>
          <w:szCs w:val="22"/>
          <w:lang w:val="en-AU"/>
        </w:rPr>
        <w:t xml:space="preserve"> allowing Sennacherib </w:t>
      </w:r>
      <w:r w:rsidR="00342D9F" w:rsidRPr="000E2B5A">
        <w:rPr>
          <w:sz w:val="22"/>
          <w:szCs w:val="22"/>
          <w:lang w:val="en-AU"/>
        </w:rPr>
        <w:t xml:space="preserve">and his elite troops </w:t>
      </w:r>
      <w:r w:rsidRPr="000E2B5A">
        <w:rPr>
          <w:sz w:val="22"/>
          <w:szCs w:val="22"/>
          <w:lang w:val="en-AU"/>
        </w:rPr>
        <w:t xml:space="preserve">some slack and rest time over the winter of 702-701. </w:t>
      </w:r>
      <w:r w:rsidR="00632577" w:rsidRPr="000E2B5A">
        <w:rPr>
          <w:sz w:val="22"/>
          <w:szCs w:val="22"/>
          <w:lang w:val="en-AU"/>
        </w:rPr>
        <w:t xml:space="preserve">The first written record of the campaign is the Rassam Cylinder from 700, which has further encouraged scholars to date the invasion to 701. </w:t>
      </w:r>
    </w:p>
    <w:p w:rsidR="009F5669" w:rsidRPr="000E2B5A" w:rsidRDefault="009F5669" w:rsidP="00794CCB">
      <w:pPr>
        <w:autoSpaceDE w:val="0"/>
        <w:autoSpaceDN w:val="0"/>
        <w:adjustRightInd w:val="0"/>
        <w:rPr>
          <w:sz w:val="22"/>
          <w:szCs w:val="22"/>
          <w:lang w:val="en-AU"/>
        </w:rPr>
      </w:pPr>
    </w:p>
    <w:p w:rsidR="00AD73B0" w:rsidRPr="000E2B5A" w:rsidRDefault="00342D9F" w:rsidP="00794CCB">
      <w:pPr>
        <w:autoSpaceDE w:val="0"/>
        <w:autoSpaceDN w:val="0"/>
        <w:adjustRightInd w:val="0"/>
        <w:rPr>
          <w:sz w:val="22"/>
          <w:szCs w:val="22"/>
          <w:lang w:val="en-AU"/>
        </w:rPr>
      </w:pPr>
      <w:r w:rsidRPr="000E2B5A">
        <w:rPr>
          <w:sz w:val="22"/>
          <w:szCs w:val="22"/>
          <w:lang w:val="en-AU"/>
        </w:rPr>
        <w:t>A</w:t>
      </w:r>
      <w:r w:rsidR="00963939" w:rsidRPr="000E2B5A">
        <w:rPr>
          <w:sz w:val="22"/>
          <w:szCs w:val="22"/>
          <w:lang w:val="en-AU"/>
        </w:rPr>
        <w:t xml:space="preserve"> campaign in the West would have involved different </w:t>
      </w:r>
      <w:r w:rsidRPr="000E2B5A">
        <w:rPr>
          <w:sz w:val="22"/>
          <w:szCs w:val="22"/>
          <w:lang w:val="en-AU"/>
        </w:rPr>
        <w:t>locally mobilised divisions;</w:t>
      </w:r>
      <w:r w:rsidR="00EE0728" w:rsidRPr="000E2B5A">
        <w:rPr>
          <w:rStyle w:val="FootnoteReference"/>
          <w:sz w:val="22"/>
          <w:szCs w:val="22"/>
          <w:lang w:val="en-AU"/>
        </w:rPr>
        <w:footnoteReference w:id="78"/>
      </w:r>
      <w:r w:rsidR="00963939" w:rsidRPr="000E2B5A">
        <w:rPr>
          <w:sz w:val="22"/>
          <w:szCs w:val="22"/>
          <w:lang w:val="en-AU"/>
        </w:rPr>
        <w:t xml:space="preserve"> Sennacherib </w:t>
      </w:r>
      <w:r w:rsidRPr="000E2B5A">
        <w:rPr>
          <w:sz w:val="22"/>
          <w:szCs w:val="22"/>
          <w:lang w:val="en-AU"/>
        </w:rPr>
        <w:t xml:space="preserve">and his elite contingents </w:t>
      </w:r>
      <w:r w:rsidR="00963939" w:rsidRPr="000E2B5A">
        <w:rPr>
          <w:sz w:val="22"/>
          <w:szCs w:val="22"/>
          <w:lang w:val="en-AU"/>
        </w:rPr>
        <w:t xml:space="preserve">would have joined </w:t>
      </w:r>
      <w:r w:rsidRPr="000E2B5A">
        <w:rPr>
          <w:sz w:val="22"/>
          <w:szCs w:val="22"/>
          <w:lang w:val="en-AU"/>
        </w:rPr>
        <w:t>such</w:t>
      </w:r>
      <w:r w:rsidR="00963939" w:rsidRPr="000E2B5A">
        <w:rPr>
          <w:sz w:val="22"/>
          <w:szCs w:val="22"/>
          <w:lang w:val="en-AU"/>
        </w:rPr>
        <w:t xml:space="preserve"> forces in the West. </w:t>
      </w:r>
      <w:r w:rsidRPr="000E2B5A">
        <w:rPr>
          <w:sz w:val="22"/>
          <w:szCs w:val="22"/>
          <w:lang w:val="en-AU"/>
        </w:rPr>
        <w:lastRenderedPageBreak/>
        <w:t xml:space="preserve">Locally based forces </w:t>
      </w:r>
      <w:r w:rsidR="00963939" w:rsidRPr="000E2B5A">
        <w:rPr>
          <w:sz w:val="22"/>
          <w:szCs w:val="22"/>
          <w:lang w:val="en-AU"/>
        </w:rPr>
        <w:t xml:space="preserve">may well have been conducting </w:t>
      </w:r>
      <w:r w:rsidRPr="000E2B5A">
        <w:rPr>
          <w:sz w:val="22"/>
          <w:szCs w:val="22"/>
          <w:lang w:val="en-AU"/>
        </w:rPr>
        <w:t xml:space="preserve">softening-up </w:t>
      </w:r>
      <w:r w:rsidR="00963939" w:rsidRPr="000E2B5A">
        <w:rPr>
          <w:sz w:val="22"/>
          <w:szCs w:val="22"/>
          <w:lang w:val="en-AU"/>
        </w:rPr>
        <w:t>operations in 702.</w:t>
      </w:r>
      <w:r w:rsidR="00EE0728" w:rsidRPr="000E2B5A">
        <w:rPr>
          <w:rStyle w:val="FootnoteReference"/>
          <w:sz w:val="22"/>
          <w:szCs w:val="22"/>
          <w:lang w:val="en-AU"/>
        </w:rPr>
        <w:footnoteReference w:id="79"/>
      </w:r>
      <w:r w:rsidR="00963939" w:rsidRPr="000E2B5A">
        <w:rPr>
          <w:sz w:val="22"/>
          <w:szCs w:val="22"/>
          <w:lang w:val="en-AU"/>
        </w:rPr>
        <w:t xml:space="preserve"> </w:t>
      </w:r>
      <w:r w:rsidR="00EE0728" w:rsidRPr="000E2B5A">
        <w:rPr>
          <w:sz w:val="22"/>
          <w:szCs w:val="22"/>
          <w:lang w:val="en-AU"/>
        </w:rPr>
        <w:t xml:space="preserve"> When Sennacherib joined the army is not noted, nor is the progress of the </w:t>
      </w:r>
      <w:r w:rsidR="00632577" w:rsidRPr="000E2B5A">
        <w:rPr>
          <w:sz w:val="22"/>
          <w:szCs w:val="22"/>
          <w:lang w:val="en-AU"/>
        </w:rPr>
        <w:t xml:space="preserve">subsequent </w:t>
      </w:r>
      <w:r w:rsidR="00EE0728" w:rsidRPr="000E2B5A">
        <w:rPr>
          <w:sz w:val="22"/>
          <w:szCs w:val="22"/>
          <w:lang w:val="en-AU"/>
        </w:rPr>
        <w:t>campaign dated</w:t>
      </w:r>
      <w:r w:rsidR="00632577" w:rsidRPr="000E2B5A">
        <w:rPr>
          <w:sz w:val="22"/>
          <w:szCs w:val="22"/>
          <w:lang w:val="en-AU"/>
        </w:rPr>
        <w:t>, but i</w:t>
      </w:r>
      <w:r w:rsidR="00EE0728" w:rsidRPr="000E2B5A">
        <w:rPr>
          <w:sz w:val="22"/>
          <w:szCs w:val="22"/>
          <w:lang w:val="en-AU"/>
        </w:rPr>
        <w:t>t was extensive</w:t>
      </w:r>
      <w:r w:rsidR="00632577" w:rsidRPr="000E2B5A">
        <w:rPr>
          <w:sz w:val="22"/>
          <w:szCs w:val="22"/>
          <w:lang w:val="en-AU"/>
        </w:rPr>
        <w:t xml:space="preserve"> taking in Phoenicia, Philistia, a battle with Egypt on the coast, as well as the siege of Lachish, the blockade of Jerusalem and the overrun and deportation of Judah</w:t>
      </w:r>
      <w:r w:rsidR="00EE0728" w:rsidRPr="000E2B5A">
        <w:rPr>
          <w:sz w:val="22"/>
          <w:szCs w:val="22"/>
          <w:lang w:val="en-AU"/>
        </w:rPr>
        <w:t xml:space="preserve">. </w:t>
      </w:r>
      <w:r w:rsidR="00574105" w:rsidRPr="000E2B5A">
        <w:rPr>
          <w:sz w:val="22"/>
          <w:szCs w:val="22"/>
          <w:lang w:val="en-AU"/>
        </w:rPr>
        <w:t xml:space="preserve">As far as the Assyrian </w:t>
      </w:r>
      <w:r w:rsidRPr="000E2B5A">
        <w:rPr>
          <w:sz w:val="22"/>
          <w:szCs w:val="22"/>
          <w:lang w:val="en-AU"/>
        </w:rPr>
        <w:t>records go, and allowing for a</w:t>
      </w:r>
      <w:r w:rsidR="00574105" w:rsidRPr="000E2B5A">
        <w:rPr>
          <w:sz w:val="22"/>
          <w:szCs w:val="22"/>
          <w:lang w:val="en-AU"/>
        </w:rPr>
        <w:t xml:space="preserve"> </w:t>
      </w:r>
      <w:r w:rsidR="009B6096" w:rsidRPr="000E2B5A">
        <w:rPr>
          <w:sz w:val="22"/>
          <w:szCs w:val="22"/>
          <w:lang w:val="en-AU"/>
        </w:rPr>
        <w:t>winter</w:t>
      </w:r>
      <w:r w:rsidRPr="000E2B5A">
        <w:rPr>
          <w:sz w:val="22"/>
          <w:szCs w:val="22"/>
          <w:lang w:val="en-AU"/>
        </w:rPr>
        <w:t xml:space="preserve"> of rest</w:t>
      </w:r>
      <w:r w:rsidR="00574105" w:rsidRPr="000E2B5A">
        <w:rPr>
          <w:sz w:val="22"/>
          <w:szCs w:val="22"/>
          <w:lang w:val="en-AU"/>
        </w:rPr>
        <w:t>, the best reconstruction is that the campaign began</w:t>
      </w:r>
      <w:r w:rsidR="00D10A23" w:rsidRPr="000E2B5A">
        <w:rPr>
          <w:sz w:val="22"/>
          <w:szCs w:val="22"/>
          <w:lang w:val="en-AU"/>
        </w:rPr>
        <w:t xml:space="preserve"> proper</w:t>
      </w:r>
      <w:r w:rsidR="00574105" w:rsidRPr="000E2B5A">
        <w:rPr>
          <w:sz w:val="22"/>
          <w:szCs w:val="22"/>
          <w:lang w:val="en-AU"/>
        </w:rPr>
        <w:t xml:space="preserve"> in the </w:t>
      </w:r>
      <w:r w:rsidR="009B6096" w:rsidRPr="000E2B5A">
        <w:rPr>
          <w:sz w:val="22"/>
          <w:szCs w:val="22"/>
          <w:lang w:val="en-AU"/>
        </w:rPr>
        <w:t>spring</w:t>
      </w:r>
      <w:r w:rsidR="00574105" w:rsidRPr="000E2B5A">
        <w:rPr>
          <w:sz w:val="22"/>
          <w:szCs w:val="22"/>
          <w:lang w:val="en-AU"/>
        </w:rPr>
        <w:t xml:space="preserve"> of 701 and lasted through the </w:t>
      </w:r>
      <w:r w:rsidR="009B6096" w:rsidRPr="000E2B5A">
        <w:rPr>
          <w:sz w:val="22"/>
          <w:szCs w:val="22"/>
          <w:lang w:val="en-AU"/>
        </w:rPr>
        <w:t>summer</w:t>
      </w:r>
      <w:r w:rsidR="00574105" w:rsidRPr="000E2B5A">
        <w:rPr>
          <w:sz w:val="22"/>
          <w:szCs w:val="22"/>
          <w:lang w:val="en-AU"/>
        </w:rPr>
        <w:t xml:space="preserve"> into </w:t>
      </w:r>
      <w:r w:rsidR="009B6096" w:rsidRPr="000E2B5A">
        <w:rPr>
          <w:sz w:val="22"/>
          <w:szCs w:val="22"/>
          <w:lang w:val="en-AU"/>
        </w:rPr>
        <w:t>autumn</w:t>
      </w:r>
      <w:r w:rsidR="00574105" w:rsidRPr="000E2B5A">
        <w:rPr>
          <w:sz w:val="22"/>
          <w:szCs w:val="22"/>
          <w:lang w:val="en-AU"/>
        </w:rPr>
        <w:t>.</w:t>
      </w:r>
    </w:p>
    <w:p w:rsidR="00574105" w:rsidRPr="000E2B5A" w:rsidRDefault="00574105" w:rsidP="00794CCB">
      <w:pPr>
        <w:autoSpaceDE w:val="0"/>
        <w:autoSpaceDN w:val="0"/>
        <w:adjustRightInd w:val="0"/>
        <w:rPr>
          <w:sz w:val="22"/>
          <w:szCs w:val="22"/>
          <w:lang w:val="en-AU"/>
        </w:rPr>
      </w:pPr>
    </w:p>
    <w:p w:rsidR="00574105" w:rsidRPr="000E2B5A" w:rsidRDefault="00574105" w:rsidP="00794CCB">
      <w:pPr>
        <w:autoSpaceDE w:val="0"/>
        <w:autoSpaceDN w:val="0"/>
        <w:adjustRightInd w:val="0"/>
        <w:rPr>
          <w:rFonts w:ascii="Bradley Hand ITC" w:hAnsi="Bradley Hand ITC"/>
          <w:b/>
          <w:sz w:val="28"/>
          <w:szCs w:val="22"/>
          <w:lang w:val="en-AU"/>
        </w:rPr>
      </w:pPr>
      <w:r w:rsidRPr="000E2B5A">
        <w:rPr>
          <w:rFonts w:ascii="Bradley Hand ITC" w:hAnsi="Bradley Hand ITC"/>
          <w:b/>
          <w:sz w:val="28"/>
          <w:szCs w:val="22"/>
          <w:lang w:val="en-AU"/>
        </w:rPr>
        <w:t>Biblical Records</w:t>
      </w:r>
    </w:p>
    <w:p w:rsidR="00574105" w:rsidRPr="000E2B5A" w:rsidRDefault="00574105" w:rsidP="00794CCB">
      <w:pPr>
        <w:autoSpaceDE w:val="0"/>
        <w:autoSpaceDN w:val="0"/>
        <w:adjustRightInd w:val="0"/>
        <w:rPr>
          <w:sz w:val="22"/>
          <w:szCs w:val="22"/>
          <w:lang w:val="en-AU"/>
        </w:rPr>
      </w:pPr>
      <w:r w:rsidRPr="000E2B5A">
        <w:rPr>
          <w:sz w:val="22"/>
          <w:szCs w:val="22"/>
          <w:lang w:val="en-AU"/>
        </w:rPr>
        <w:t>The invasion of Judah is dated in two Biblical texts in Isaiah:</w:t>
      </w:r>
    </w:p>
    <w:p w:rsidR="00574105" w:rsidRPr="000E2B5A" w:rsidRDefault="00574105" w:rsidP="00794CCB">
      <w:pPr>
        <w:autoSpaceDE w:val="0"/>
        <w:autoSpaceDN w:val="0"/>
        <w:adjustRightInd w:val="0"/>
        <w:rPr>
          <w:sz w:val="22"/>
          <w:szCs w:val="22"/>
          <w:lang w:val="en-AU"/>
        </w:rPr>
      </w:pPr>
    </w:p>
    <w:p w:rsidR="00AC2616" w:rsidRPr="000E2B5A" w:rsidRDefault="00AC2616" w:rsidP="00AC2616">
      <w:pPr>
        <w:pStyle w:val="Quote"/>
        <w:rPr>
          <w:lang w:eastAsia="en-GB"/>
        </w:rPr>
      </w:pPr>
      <w:r w:rsidRPr="000E2B5A">
        <w:rPr>
          <w:lang w:eastAsia="en-GB"/>
        </w:rPr>
        <w:t xml:space="preserve">Woe to Ariel, to Ariel, the city </w:t>
      </w:r>
      <w:r w:rsidRPr="000E2B5A">
        <w:rPr>
          <w:i/>
          <w:iCs/>
          <w:lang w:eastAsia="en-GB"/>
        </w:rPr>
        <w:t xml:space="preserve">where </w:t>
      </w:r>
      <w:r w:rsidRPr="000E2B5A">
        <w:rPr>
          <w:lang w:eastAsia="en-GB"/>
        </w:rPr>
        <w:t xml:space="preserve">David dwelt! </w:t>
      </w:r>
      <w:r w:rsidRPr="000E2B5A">
        <w:rPr>
          <w:u w:val="single"/>
          <w:lang w:eastAsia="en-GB"/>
        </w:rPr>
        <w:t xml:space="preserve">add ye year </w:t>
      </w:r>
      <w:r w:rsidR="006A1596" w:rsidRPr="000E2B5A">
        <w:rPr>
          <w:u w:val="single"/>
          <w:lang w:eastAsia="en-GB"/>
        </w:rPr>
        <w:t>upon</w:t>
      </w:r>
      <w:r w:rsidRPr="000E2B5A">
        <w:rPr>
          <w:u w:val="single"/>
          <w:lang w:eastAsia="en-GB"/>
        </w:rPr>
        <w:t xml:space="preserve"> year</w:t>
      </w:r>
      <w:r w:rsidRPr="000E2B5A">
        <w:rPr>
          <w:lang w:eastAsia="en-GB"/>
        </w:rPr>
        <w:t xml:space="preserve">; let </w:t>
      </w:r>
      <w:r w:rsidR="006A1596" w:rsidRPr="000E2B5A">
        <w:rPr>
          <w:lang w:eastAsia="en-GB"/>
        </w:rPr>
        <w:t>the feast</w:t>
      </w:r>
      <w:r w:rsidR="000F5CF4" w:rsidRPr="000E2B5A">
        <w:rPr>
          <w:lang w:eastAsia="en-GB"/>
        </w:rPr>
        <w:t>s</w:t>
      </w:r>
      <w:r w:rsidR="006A1596" w:rsidRPr="000E2B5A">
        <w:rPr>
          <w:lang w:eastAsia="en-GB"/>
        </w:rPr>
        <w:t xml:space="preserve"> run their round</w:t>
      </w:r>
      <w:r w:rsidRPr="000E2B5A">
        <w:rPr>
          <w:lang w:eastAsia="en-GB"/>
        </w:rPr>
        <w:t>. Isa 29:1 (KJV</w:t>
      </w:r>
      <w:r w:rsidR="006A1596" w:rsidRPr="000E2B5A">
        <w:rPr>
          <w:lang w:eastAsia="en-GB"/>
        </w:rPr>
        <w:t xml:space="preserve"> revised</w:t>
      </w:r>
      <w:r w:rsidRPr="000E2B5A">
        <w:rPr>
          <w:lang w:eastAsia="en-GB"/>
        </w:rPr>
        <w:t>)</w:t>
      </w:r>
    </w:p>
    <w:p w:rsidR="00AC2616" w:rsidRPr="000E2B5A" w:rsidRDefault="00AC2616" w:rsidP="00AC2616">
      <w:pPr>
        <w:pStyle w:val="Quote"/>
        <w:rPr>
          <w:lang w:eastAsia="en-GB"/>
        </w:rPr>
      </w:pPr>
    </w:p>
    <w:p w:rsidR="00AC2616" w:rsidRPr="000E2B5A" w:rsidRDefault="00AC2616" w:rsidP="00AC2616">
      <w:pPr>
        <w:pStyle w:val="Quote"/>
        <w:rPr>
          <w:szCs w:val="22"/>
          <w:lang w:val="en-AU"/>
        </w:rPr>
      </w:pPr>
      <w:r w:rsidRPr="000E2B5A">
        <w:rPr>
          <w:lang w:eastAsia="en-GB"/>
        </w:rPr>
        <w:t xml:space="preserve">And this </w:t>
      </w:r>
      <w:r w:rsidRPr="000E2B5A">
        <w:rPr>
          <w:i/>
          <w:iCs/>
          <w:lang w:eastAsia="en-GB"/>
        </w:rPr>
        <w:t xml:space="preserve">shall be </w:t>
      </w:r>
      <w:r w:rsidRPr="000E2B5A">
        <w:rPr>
          <w:lang w:eastAsia="en-GB"/>
        </w:rPr>
        <w:t xml:space="preserve">a sign unto thee, Ye shall eat </w:t>
      </w:r>
      <w:r w:rsidRPr="000E2B5A">
        <w:rPr>
          <w:i/>
          <w:iCs/>
          <w:lang w:eastAsia="en-GB"/>
        </w:rPr>
        <w:t xml:space="preserve">this </w:t>
      </w:r>
      <w:r w:rsidRPr="000E2B5A">
        <w:rPr>
          <w:lang w:eastAsia="en-GB"/>
        </w:rPr>
        <w:t>year such as groweth of itself; and the second year that which springeth of the same: and in the third year sow ye, and reap, and plant vineyards, and eat the fruit thereof. Isa 37:30 (KJV)</w:t>
      </w:r>
    </w:p>
    <w:p w:rsidR="00574105" w:rsidRPr="000E2B5A" w:rsidRDefault="00574105" w:rsidP="00794CCB">
      <w:pPr>
        <w:autoSpaceDE w:val="0"/>
        <w:autoSpaceDN w:val="0"/>
        <w:adjustRightInd w:val="0"/>
        <w:rPr>
          <w:sz w:val="22"/>
          <w:szCs w:val="22"/>
          <w:lang w:val="en-AU"/>
        </w:rPr>
      </w:pPr>
    </w:p>
    <w:p w:rsidR="00A75A22" w:rsidRPr="000E2B5A" w:rsidRDefault="00AC2616" w:rsidP="0014388F">
      <w:pPr>
        <w:rPr>
          <w:sz w:val="22"/>
          <w:lang w:val="en-GB"/>
        </w:rPr>
      </w:pPr>
      <w:r w:rsidRPr="000E2B5A">
        <w:rPr>
          <w:sz w:val="22"/>
          <w:lang w:val="en-GB"/>
        </w:rPr>
        <w:t>The first text reflects the turning of the year when Passover was celebrated. The tone is that o</w:t>
      </w:r>
      <w:r w:rsidR="00791714" w:rsidRPr="000E2B5A">
        <w:rPr>
          <w:sz w:val="22"/>
          <w:lang w:val="en-GB"/>
        </w:rPr>
        <w:t>f</w:t>
      </w:r>
      <w:r w:rsidRPr="000E2B5A">
        <w:rPr>
          <w:sz w:val="22"/>
          <w:lang w:val="en-GB"/>
        </w:rPr>
        <w:t xml:space="preserve"> a warning to the people: trouble was coming whether or not they </w:t>
      </w:r>
      <w:r w:rsidR="006A1596" w:rsidRPr="000E2B5A">
        <w:rPr>
          <w:sz w:val="22"/>
          <w:lang w:val="en-GB"/>
        </w:rPr>
        <w:t>observed their feasts</w:t>
      </w:r>
      <w:r w:rsidRPr="000E2B5A">
        <w:rPr>
          <w:sz w:val="22"/>
          <w:lang w:val="en-GB"/>
        </w:rPr>
        <w:t>. The trouble is further specified in Isa 29:3,</w:t>
      </w:r>
    </w:p>
    <w:p w:rsidR="00AC2616" w:rsidRPr="000E2B5A" w:rsidRDefault="00AC2616" w:rsidP="0014388F">
      <w:pPr>
        <w:rPr>
          <w:sz w:val="22"/>
          <w:lang w:val="en-GB"/>
        </w:rPr>
      </w:pPr>
    </w:p>
    <w:p w:rsidR="00AC2616" w:rsidRPr="000E2B5A" w:rsidRDefault="00AC2616" w:rsidP="00AC2616">
      <w:pPr>
        <w:pStyle w:val="Quote"/>
      </w:pPr>
      <w:r w:rsidRPr="000E2B5A">
        <w:rPr>
          <w:lang w:eastAsia="en-GB"/>
        </w:rPr>
        <w:t xml:space="preserve">And I will camp against thee round about, and will lay </w:t>
      </w:r>
      <w:r w:rsidRPr="000E2B5A">
        <w:rPr>
          <w:u w:val="single"/>
          <w:lang w:eastAsia="en-GB"/>
        </w:rPr>
        <w:t>siege</w:t>
      </w:r>
      <w:r w:rsidRPr="000E2B5A">
        <w:rPr>
          <w:lang w:eastAsia="en-GB"/>
        </w:rPr>
        <w:t xml:space="preserve"> against thee with a mount, and I will raise forts against thee. Isa 29:3 (KJV)</w:t>
      </w:r>
    </w:p>
    <w:p w:rsidR="00632577" w:rsidRPr="000E2B5A" w:rsidRDefault="00632577" w:rsidP="0014388F">
      <w:pPr>
        <w:rPr>
          <w:sz w:val="22"/>
          <w:lang w:val="en-GB"/>
        </w:rPr>
      </w:pPr>
    </w:p>
    <w:p w:rsidR="00AC2616" w:rsidRPr="000E2B5A" w:rsidRDefault="00AC2616" w:rsidP="0014388F">
      <w:pPr>
        <w:rPr>
          <w:sz w:val="22"/>
          <w:lang w:val="en-GB"/>
        </w:rPr>
      </w:pPr>
      <w:r w:rsidRPr="000E2B5A">
        <w:rPr>
          <w:sz w:val="22"/>
          <w:lang w:val="en-GB"/>
        </w:rPr>
        <w:t>This is a reference to the siege (blockade) of Jerusalem and it is as yet future to the Passover of 701</w:t>
      </w:r>
      <w:r w:rsidR="00FD1EF4" w:rsidRPr="000E2B5A">
        <w:rPr>
          <w:sz w:val="22"/>
          <w:lang w:val="en-GB"/>
        </w:rPr>
        <w:t xml:space="preserve"> (Nissan)</w:t>
      </w:r>
      <w:r w:rsidRPr="000E2B5A">
        <w:rPr>
          <w:sz w:val="22"/>
          <w:lang w:val="en-GB"/>
        </w:rPr>
        <w:t>.</w:t>
      </w:r>
      <w:r w:rsidR="00342D9F" w:rsidRPr="000E2B5A">
        <w:rPr>
          <w:sz w:val="22"/>
          <w:lang w:val="en-GB"/>
        </w:rPr>
        <w:t xml:space="preserve"> The proposal that </w:t>
      </w:r>
      <w:r w:rsidR="00D10A23" w:rsidRPr="000E2B5A">
        <w:rPr>
          <w:sz w:val="22"/>
          <w:lang w:val="en-GB"/>
        </w:rPr>
        <w:t>the prophecy</w:t>
      </w:r>
      <w:r w:rsidR="00342D9F" w:rsidRPr="000E2B5A">
        <w:rPr>
          <w:sz w:val="22"/>
          <w:lang w:val="en-GB"/>
        </w:rPr>
        <w:t xml:space="preserve"> was uttered around Passover 702 is unlikely because Sennacherib is in the east and in the middle of what </w:t>
      </w:r>
      <w:r w:rsidR="00D10A23" w:rsidRPr="000E2B5A">
        <w:rPr>
          <w:sz w:val="22"/>
          <w:lang w:val="en-GB"/>
        </w:rPr>
        <w:t>we know as</w:t>
      </w:r>
      <w:r w:rsidR="00342D9F" w:rsidRPr="000E2B5A">
        <w:rPr>
          <w:sz w:val="22"/>
          <w:lang w:val="en-GB"/>
        </w:rPr>
        <w:t xml:space="preserve"> his second campaign. The language of Isaiah 29 is of an imminent threat and fulfilment: the Assyrian army is already active in the area.</w:t>
      </w:r>
    </w:p>
    <w:p w:rsidR="004A5A23" w:rsidRPr="000E2B5A" w:rsidRDefault="004A5A23" w:rsidP="0014388F">
      <w:pPr>
        <w:rPr>
          <w:sz w:val="22"/>
          <w:lang w:val="en-GB"/>
        </w:rPr>
      </w:pPr>
      <w:r w:rsidRPr="000E2B5A">
        <w:rPr>
          <w:sz w:val="22"/>
          <w:lang w:val="en-GB"/>
        </w:rPr>
        <w:lastRenderedPageBreak/>
        <w:t xml:space="preserve">What sort of considerations supports this reading? </w:t>
      </w:r>
      <w:r w:rsidR="00342D9F" w:rsidRPr="000E2B5A">
        <w:rPr>
          <w:sz w:val="22"/>
          <w:lang w:val="en-GB"/>
        </w:rPr>
        <w:t>First, i</w:t>
      </w:r>
      <w:r w:rsidRPr="000E2B5A">
        <w:rPr>
          <w:sz w:val="22"/>
          <w:lang w:val="en-GB"/>
        </w:rPr>
        <w:t xml:space="preserve">s the phrase </w:t>
      </w:r>
      <w:r w:rsidR="005D74CB" w:rsidRPr="000E2B5A">
        <w:rPr>
          <w:sz w:val="22"/>
          <w:lang w:val="en-GB"/>
        </w:rPr>
        <w:t>“</w:t>
      </w:r>
      <w:r w:rsidRPr="000E2B5A">
        <w:rPr>
          <w:sz w:val="22"/>
          <w:lang w:val="en-GB"/>
        </w:rPr>
        <w:t>add ye year to year</w:t>
      </w:r>
      <w:r w:rsidR="005D74CB" w:rsidRPr="000E2B5A">
        <w:rPr>
          <w:sz w:val="22"/>
          <w:lang w:val="en-GB"/>
        </w:rPr>
        <w:t>”</w:t>
      </w:r>
      <w:r w:rsidRPr="000E2B5A">
        <w:rPr>
          <w:sz w:val="22"/>
          <w:lang w:val="en-GB"/>
        </w:rPr>
        <w:t xml:space="preserve"> indicative of the Nissan-Nissan calendar or the Tishri-Tishri calendar? We can adduce the following:</w:t>
      </w:r>
    </w:p>
    <w:p w:rsidR="004A5A23" w:rsidRPr="000E2B5A" w:rsidRDefault="004A5A23" w:rsidP="0014388F">
      <w:pPr>
        <w:rPr>
          <w:sz w:val="22"/>
          <w:lang w:val="en-GB"/>
        </w:rPr>
      </w:pPr>
    </w:p>
    <w:p w:rsidR="004A5A23" w:rsidRPr="000E2B5A" w:rsidRDefault="004A5A23" w:rsidP="007C3C5A">
      <w:pPr>
        <w:pStyle w:val="ListParagraph"/>
        <w:numPr>
          <w:ilvl w:val="0"/>
          <w:numId w:val="16"/>
        </w:numPr>
        <w:spacing w:after="0"/>
        <w:ind w:left="360"/>
        <w:rPr>
          <w:sz w:val="22"/>
        </w:rPr>
      </w:pPr>
      <w:r w:rsidRPr="000E2B5A">
        <w:rPr>
          <w:sz w:val="22"/>
        </w:rPr>
        <w:t xml:space="preserve">Nissan was to be the beginning of months in the year, established by the Law (Exod 12:2); we have no reason to suppose that this </w:t>
      </w:r>
      <w:r w:rsidR="00D10A23" w:rsidRPr="000E2B5A">
        <w:rPr>
          <w:b/>
          <w:sz w:val="22"/>
        </w:rPr>
        <w:t xml:space="preserve">religious </w:t>
      </w:r>
      <w:r w:rsidRPr="000E2B5A">
        <w:rPr>
          <w:b/>
          <w:sz w:val="22"/>
        </w:rPr>
        <w:t>calendar</w:t>
      </w:r>
      <w:r w:rsidRPr="000E2B5A">
        <w:rPr>
          <w:sz w:val="22"/>
        </w:rPr>
        <w:t xml:space="preserve"> was not operative in Hezekiah</w:t>
      </w:r>
      <w:r w:rsidR="005D74CB" w:rsidRPr="000E2B5A">
        <w:rPr>
          <w:sz w:val="22"/>
        </w:rPr>
        <w:t>’</w:t>
      </w:r>
      <w:r w:rsidRPr="000E2B5A">
        <w:rPr>
          <w:sz w:val="22"/>
        </w:rPr>
        <w:t>s day. He sought to be faithful to the Law.</w:t>
      </w:r>
    </w:p>
    <w:p w:rsidR="004A5A23" w:rsidRPr="000E2B5A" w:rsidRDefault="004A5A23" w:rsidP="004A5A23">
      <w:pPr>
        <w:rPr>
          <w:sz w:val="22"/>
          <w:lang w:val="en-GB"/>
        </w:rPr>
      </w:pPr>
    </w:p>
    <w:p w:rsidR="004A5A23" w:rsidRPr="000E2B5A" w:rsidRDefault="004A5A23" w:rsidP="007C3C5A">
      <w:pPr>
        <w:pStyle w:val="ListParagraph"/>
        <w:numPr>
          <w:ilvl w:val="0"/>
          <w:numId w:val="16"/>
        </w:numPr>
        <w:spacing w:after="0"/>
        <w:ind w:left="360"/>
        <w:rPr>
          <w:sz w:val="22"/>
        </w:rPr>
      </w:pPr>
      <w:r w:rsidRPr="000E2B5A">
        <w:rPr>
          <w:sz w:val="22"/>
        </w:rPr>
        <w:t xml:space="preserve">The phrase </w:t>
      </w:r>
      <w:r w:rsidR="00332136" w:rsidRPr="000E2B5A">
        <w:rPr>
          <w:sz w:val="22"/>
        </w:rPr>
        <w:t>refers to</w:t>
      </w:r>
      <w:r w:rsidRPr="000E2B5A">
        <w:rPr>
          <w:sz w:val="22"/>
        </w:rPr>
        <w:t xml:space="preserve"> </w:t>
      </w:r>
      <w:r w:rsidR="005D74CB" w:rsidRPr="000E2B5A">
        <w:rPr>
          <w:sz w:val="22"/>
        </w:rPr>
        <w:t>“</w:t>
      </w:r>
      <w:r w:rsidRPr="000E2B5A">
        <w:rPr>
          <w:sz w:val="22"/>
        </w:rPr>
        <w:t>adding</w:t>
      </w:r>
      <w:r w:rsidR="005D74CB" w:rsidRPr="000E2B5A">
        <w:rPr>
          <w:sz w:val="22"/>
        </w:rPr>
        <w:t>”</w:t>
      </w:r>
      <w:r w:rsidRPr="000E2B5A">
        <w:rPr>
          <w:sz w:val="22"/>
        </w:rPr>
        <w:t xml:space="preserve"> the years</w:t>
      </w:r>
      <w:r w:rsidR="00332136" w:rsidRPr="000E2B5A">
        <w:rPr>
          <w:sz w:val="22"/>
        </w:rPr>
        <w:t>; i</w:t>
      </w:r>
      <w:r w:rsidRPr="000E2B5A">
        <w:rPr>
          <w:sz w:val="22"/>
        </w:rPr>
        <w:t xml:space="preserve">t is addressed to the people rather than the king, and so it is unlikely to be about the king adding the years in respect of his reign, i.e. incrementing the total from the </w:t>
      </w:r>
      <w:r w:rsidR="007C3C5A" w:rsidRPr="000E2B5A">
        <w:rPr>
          <w:sz w:val="22"/>
        </w:rPr>
        <w:t>thirteenth to the fourteenth</w:t>
      </w:r>
      <w:r w:rsidRPr="000E2B5A">
        <w:rPr>
          <w:sz w:val="22"/>
        </w:rPr>
        <w:t xml:space="preserve"> year in Hezekiah</w:t>
      </w:r>
      <w:r w:rsidR="005D74CB" w:rsidRPr="000E2B5A">
        <w:rPr>
          <w:sz w:val="22"/>
        </w:rPr>
        <w:t>’</w:t>
      </w:r>
      <w:r w:rsidRPr="000E2B5A">
        <w:rPr>
          <w:sz w:val="22"/>
        </w:rPr>
        <w:t xml:space="preserve">s case. It is </w:t>
      </w:r>
      <w:r w:rsidRPr="000E2B5A">
        <w:rPr>
          <w:b/>
          <w:sz w:val="22"/>
        </w:rPr>
        <w:t>not a regnal count</w:t>
      </w:r>
      <w:r w:rsidRPr="000E2B5A">
        <w:rPr>
          <w:sz w:val="22"/>
        </w:rPr>
        <w:t>.</w:t>
      </w:r>
    </w:p>
    <w:p w:rsidR="004A5A23" w:rsidRPr="000E2B5A" w:rsidRDefault="004A5A23" w:rsidP="004A5A23">
      <w:pPr>
        <w:rPr>
          <w:sz w:val="22"/>
          <w:lang w:val="en-GB"/>
        </w:rPr>
      </w:pPr>
    </w:p>
    <w:p w:rsidR="004A5A23" w:rsidRPr="000E2B5A" w:rsidRDefault="004A5A23" w:rsidP="004A5A23">
      <w:pPr>
        <w:pStyle w:val="ListParagraph"/>
        <w:numPr>
          <w:ilvl w:val="0"/>
          <w:numId w:val="16"/>
        </w:numPr>
        <w:ind w:left="360"/>
        <w:rPr>
          <w:sz w:val="22"/>
        </w:rPr>
      </w:pPr>
      <w:r w:rsidRPr="000E2B5A">
        <w:rPr>
          <w:sz w:val="22"/>
        </w:rPr>
        <w:t xml:space="preserve">The </w:t>
      </w:r>
      <w:r w:rsidRPr="000E2B5A">
        <w:rPr>
          <w:b/>
          <w:sz w:val="22"/>
        </w:rPr>
        <w:t>agricultural year</w:t>
      </w:r>
      <w:r w:rsidR="0023319B" w:rsidRPr="000E2B5A">
        <w:rPr>
          <w:rStyle w:val="FootnoteReference"/>
          <w:sz w:val="22"/>
        </w:rPr>
        <w:footnoteReference w:id="80"/>
      </w:r>
      <w:r w:rsidRPr="000E2B5A">
        <w:rPr>
          <w:sz w:val="22"/>
        </w:rPr>
        <w:t xml:space="preserve"> ran fro</w:t>
      </w:r>
      <w:r w:rsidR="00342D9F" w:rsidRPr="000E2B5A">
        <w:rPr>
          <w:sz w:val="22"/>
        </w:rPr>
        <w:t>m Tishri to Tishri and this wa</w:t>
      </w:r>
      <w:r w:rsidR="00DE7F9A" w:rsidRPr="000E2B5A">
        <w:rPr>
          <w:sz w:val="22"/>
        </w:rPr>
        <w:t>s</w:t>
      </w:r>
      <w:r w:rsidR="00342D9F" w:rsidRPr="000E2B5A">
        <w:rPr>
          <w:sz w:val="22"/>
        </w:rPr>
        <w:t xml:space="preserve"> </w:t>
      </w:r>
      <w:r w:rsidR="00CD7850" w:rsidRPr="000E2B5A">
        <w:rPr>
          <w:sz w:val="22"/>
        </w:rPr>
        <w:t xml:space="preserve">demarcated in groups of seven (the sabbatical system). The refrain </w:t>
      </w:r>
      <w:r w:rsidR="005D74CB" w:rsidRPr="000E2B5A">
        <w:rPr>
          <w:sz w:val="22"/>
        </w:rPr>
        <w:t>“</w:t>
      </w:r>
      <w:r w:rsidR="006A1596" w:rsidRPr="000E2B5A">
        <w:rPr>
          <w:sz w:val="22"/>
        </w:rPr>
        <w:t>year upon year (</w:t>
      </w:r>
      <w:r w:rsidR="006A1596" w:rsidRPr="000E2B5A">
        <w:rPr>
          <w:rFonts w:ascii="Bwhebb" w:hAnsi="Bwhebb" w:cs="Bwhebb"/>
          <w:sz w:val="28"/>
          <w:szCs w:val="36"/>
          <w:lang w:eastAsia="en-GB" w:bidi="he-IL"/>
        </w:rPr>
        <w:t>hnv l[ hnv</w:t>
      </w:r>
      <w:r w:rsidR="006A1596" w:rsidRPr="000E2B5A">
        <w:rPr>
          <w:sz w:val="22"/>
        </w:rPr>
        <w:t>)</w:t>
      </w:r>
      <w:r w:rsidR="005D74CB" w:rsidRPr="000E2B5A">
        <w:rPr>
          <w:sz w:val="22"/>
        </w:rPr>
        <w:t>”</w:t>
      </w:r>
      <w:r w:rsidR="006A1596" w:rsidRPr="000E2B5A">
        <w:rPr>
          <w:sz w:val="22"/>
        </w:rPr>
        <w:t xml:space="preserve"> doesn</w:t>
      </w:r>
      <w:r w:rsidR="005D74CB" w:rsidRPr="000E2B5A">
        <w:rPr>
          <w:sz w:val="22"/>
        </w:rPr>
        <w:t>’</w:t>
      </w:r>
      <w:r w:rsidR="006A1596" w:rsidRPr="000E2B5A">
        <w:rPr>
          <w:sz w:val="22"/>
        </w:rPr>
        <w:t xml:space="preserve">t suggest a relatively short seven year counting system but rather the system that stretched back to Moses. </w:t>
      </w:r>
    </w:p>
    <w:p w:rsidR="006A1596" w:rsidRPr="000E2B5A" w:rsidRDefault="006A1596" w:rsidP="006A1596">
      <w:pPr>
        <w:pStyle w:val="ListParagraph"/>
        <w:rPr>
          <w:sz w:val="22"/>
        </w:rPr>
      </w:pPr>
    </w:p>
    <w:p w:rsidR="006A1596" w:rsidRPr="000E2B5A" w:rsidRDefault="006A1596" w:rsidP="007C3C5A">
      <w:pPr>
        <w:pStyle w:val="ListParagraph"/>
        <w:numPr>
          <w:ilvl w:val="0"/>
          <w:numId w:val="16"/>
        </w:numPr>
        <w:spacing w:after="0"/>
        <w:ind w:left="360"/>
        <w:rPr>
          <w:sz w:val="22"/>
        </w:rPr>
      </w:pPr>
      <w:r w:rsidRPr="000E2B5A">
        <w:rPr>
          <w:sz w:val="22"/>
        </w:rPr>
        <w:t xml:space="preserve">The first feast of </w:t>
      </w:r>
      <w:r w:rsidR="00775B12" w:rsidRPr="000E2B5A">
        <w:rPr>
          <w:sz w:val="22"/>
        </w:rPr>
        <w:t xml:space="preserve">the year was Passover (Exod 12:14; </w:t>
      </w:r>
      <w:r w:rsidR="005D74CB" w:rsidRPr="000E2B5A">
        <w:rPr>
          <w:sz w:val="22"/>
        </w:rPr>
        <w:t>“</w:t>
      </w:r>
      <w:r w:rsidR="00775B12" w:rsidRPr="000E2B5A">
        <w:rPr>
          <w:sz w:val="22"/>
          <w:lang w:eastAsia="en-GB" w:bidi="he-IL"/>
        </w:rPr>
        <w:t>and ye shall keep it a feast to the L</w:t>
      </w:r>
      <w:r w:rsidR="005258A8" w:rsidRPr="000E2B5A">
        <w:rPr>
          <w:sz w:val="22"/>
          <w:lang w:eastAsia="en-GB" w:bidi="he-IL"/>
        </w:rPr>
        <w:t>ord</w:t>
      </w:r>
      <w:r w:rsidR="00775B12" w:rsidRPr="000E2B5A">
        <w:rPr>
          <w:sz w:val="22"/>
          <w:lang w:eastAsia="en-GB" w:bidi="he-IL"/>
        </w:rPr>
        <w:t xml:space="preserve"> throughout your generations</w:t>
      </w:r>
      <w:r w:rsidR="005D74CB" w:rsidRPr="000E2B5A">
        <w:rPr>
          <w:sz w:val="22"/>
          <w:lang w:eastAsia="en-GB" w:bidi="he-IL"/>
        </w:rPr>
        <w:t>”</w:t>
      </w:r>
      <w:r w:rsidR="00775B12" w:rsidRPr="000E2B5A">
        <w:rPr>
          <w:sz w:val="22"/>
          <w:lang w:eastAsia="en-GB" w:bidi="he-IL"/>
        </w:rPr>
        <w:t>).</w:t>
      </w:r>
      <w:r w:rsidR="005258A8" w:rsidRPr="000E2B5A">
        <w:rPr>
          <w:sz w:val="22"/>
          <w:lang w:eastAsia="en-GB" w:bidi="he-IL"/>
        </w:rPr>
        <w:t xml:space="preserve"> The harvest feast was at the end of the agricultural year but in the seventh month of the </w:t>
      </w:r>
      <w:r w:rsidR="00332136" w:rsidRPr="000E2B5A">
        <w:rPr>
          <w:sz w:val="22"/>
          <w:lang w:eastAsia="en-GB" w:bidi="he-IL"/>
        </w:rPr>
        <w:t>religious</w:t>
      </w:r>
      <w:r w:rsidR="005258A8" w:rsidRPr="000E2B5A">
        <w:rPr>
          <w:sz w:val="22"/>
          <w:lang w:eastAsia="en-GB" w:bidi="he-IL"/>
        </w:rPr>
        <w:t xml:space="preserve"> year ((Lev 23:39). The comment about adding years is therefore unlikely to be made at the end of the agricultural year but at the beginning of the </w:t>
      </w:r>
      <w:r w:rsidR="00332136" w:rsidRPr="000E2B5A">
        <w:rPr>
          <w:b/>
          <w:sz w:val="22"/>
          <w:lang w:eastAsia="en-GB" w:bidi="he-IL"/>
        </w:rPr>
        <w:t>religious</w:t>
      </w:r>
      <w:r w:rsidR="005258A8" w:rsidRPr="000E2B5A">
        <w:rPr>
          <w:b/>
          <w:sz w:val="22"/>
          <w:lang w:eastAsia="en-GB" w:bidi="he-IL"/>
        </w:rPr>
        <w:t xml:space="preserve"> year</w:t>
      </w:r>
      <w:r w:rsidR="005258A8" w:rsidRPr="000E2B5A">
        <w:rPr>
          <w:sz w:val="22"/>
          <w:lang w:eastAsia="en-GB" w:bidi="he-IL"/>
        </w:rPr>
        <w:t xml:space="preserve"> (Nissan) when the annual feasts began (cf. Deut 16;16).</w:t>
      </w:r>
    </w:p>
    <w:p w:rsidR="00332136" w:rsidRPr="000E2B5A" w:rsidRDefault="00332136" w:rsidP="00332136">
      <w:pPr>
        <w:pStyle w:val="ListParagraph"/>
        <w:rPr>
          <w:sz w:val="22"/>
        </w:rPr>
      </w:pPr>
    </w:p>
    <w:p w:rsidR="00332136" w:rsidRPr="000E2B5A" w:rsidRDefault="000F5CF4" w:rsidP="007C3C5A">
      <w:pPr>
        <w:pStyle w:val="ListParagraph"/>
        <w:numPr>
          <w:ilvl w:val="0"/>
          <w:numId w:val="16"/>
        </w:numPr>
        <w:spacing w:after="0"/>
        <w:ind w:left="360"/>
        <w:rPr>
          <w:sz w:val="22"/>
        </w:rPr>
      </w:pPr>
      <w:r w:rsidRPr="000E2B5A">
        <w:rPr>
          <w:sz w:val="22"/>
        </w:rPr>
        <w:t>The phrase “let the feasts run their round” (RSV) suggests the beginning of the cycle of feasts and not the seventh month in that cycle.</w:t>
      </w:r>
    </w:p>
    <w:p w:rsidR="007C3C5A" w:rsidRPr="000E2B5A" w:rsidRDefault="007C3C5A" w:rsidP="00DE7F9A">
      <w:pPr>
        <w:rPr>
          <w:sz w:val="22"/>
        </w:rPr>
      </w:pPr>
    </w:p>
    <w:p w:rsidR="005258A8" w:rsidRPr="000E2B5A" w:rsidRDefault="00DE7F9A" w:rsidP="00DE7F9A">
      <w:pPr>
        <w:rPr>
          <w:sz w:val="22"/>
        </w:rPr>
      </w:pPr>
      <w:r w:rsidRPr="000E2B5A">
        <w:rPr>
          <w:sz w:val="22"/>
        </w:rPr>
        <w:t xml:space="preserve">We can be certain that Isaiah 29 is from the turn of the year (Nissan). Can we be sure that it is from Nissan 701 or it is it </w:t>
      </w:r>
      <w:r w:rsidR="00332136" w:rsidRPr="000E2B5A">
        <w:rPr>
          <w:sz w:val="22"/>
        </w:rPr>
        <w:t xml:space="preserve">earlier </w:t>
      </w:r>
      <w:r w:rsidRPr="000E2B5A">
        <w:rPr>
          <w:sz w:val="22"/>
        </w:rPr>
        <w:t>from Nissan 702? The following considerations support a date for the prophecy around Nissan 701:</w:t>
      </w:r>
    </w:p>
    <w:p w:rsidR="00D0681F" w:rsidRPr="000E2B5A" w:rsidRDefault="00D0681F" w:rsidP="00DE7F9A">
      <w:pPr>
        <w:rPr>
          <w:sz w:val="22"/>
        </w:rPr>
      </w:pPr>
    </w:p>
    <w:p w:rsidR="00DE0576" w:rsidRPr="000E2B5A" w:rsidRDefault="006A5D18" w:rsidP="00AD6E54">
      <w:pPr>
        <w:pStyle w:val="ListParagraph"/>
        <w:numPr>
          <w:ilvl w:val="0"/>
          <w:numId w:val="31"/>
        </w:numPr>
        <w:spacing w:after="0"/>
        <w:ind w:left="360"/>
        <w:rPr>
          <w:sz w:val="22"/>
        </w:rPr>
      </w:pPr>
      <w:r w:rsidRPr="000E2B5A">
        <w:rPr>
          <w:sz w:val="22"/>
        </w:rPr>
        <w:t>The sequence of Isaiah’s chapters shows a progression</w:t>
      </w:r>
      <w:r w:rsidR="00DE0576" w:rsidRPr="000E2B5A">
        <w:rPr>
          <w:sz w:val="22"/>
        </w:rPr>
        <w:t xml:space="preserve"> of events. Isaiah 28:15 indexes that chapter to a time when there is the imminent threat of an </w:t>
      </w:r>
      <w:r w:rsidR="00DE0576" w:rsidRPr="000E2B5A">
        <w:rPr>
          <w:sz w:val="22"/>
        </w:rPr>
        <w:lastRenderedPageBreak/>
        <w:t xml:space="preserve">overflowing scourge passing through the land; in response the rulers of Jerusalem had made treaty agreements. The tenor of the oracles in Isaiah 28 is prospective, for instance, </w:t>
      </w:r>
      <w:r w:rsidR="00DE0576" w:rsidRPr="000E2B5A">
        <w:rPr>
          <w:i/>
          <w:sz w:val="22"/>
        </w:rPr>
        <w:t>when</w:t>
      </w:r>
      <w:r w:rsidR="00DE0576" w:rsidRPr="000E2B5A">
        <w:rPr>
          <w:sz w:val="22"/>
        </w:rPr>
        <w:t xml:space="preserve"> the county is overrun it will be a vexation to read the daily reports (v. 19), and God has </w:t>
      </w:r>
      <w:r w:rsidR="00DE0576" w:rsidRPr="000E2B5A">
        <w:rPr>
          <w:i/>
          <w:sz w:val="22"/>
        </w:rPr>
        <w:t>yet</w:t>
      </w:r>
      <w:r w:rsidR="00DE0576" w:rsidRPr="000E2B5A">
        <w:rPr>
          <w:sz w:val="22"/>
        </w:rPr>
        <w:t xml:space="preserve"> to bring to pass his strange act (v. 21). This fits a time when the Assyrian army is building its forces and supplies in the north ready for attack. Given that Sennacherib and his elite guard are in the east in Nissan 702, this suggests that Isa 29:1 is from Nissan 701.</w:t>
      </w:r>
    </w:p>
    <w:p w:rsidR="00D173C9" w:rsidRPr="000E2B5A" w:rsidRDefault="00D173C9" w:rsidP="00D173C9">
      <w:pPr>
        <w:pStyle w:val="ListParagraph"/>
        <w:spacing w:after="0"/>
        <w:ind w:left="360"/>
        <w:rPr>
          <w:sz w:val="22"/>
        </w:rPr>
      </w:pPr>
    </w:p>
    <w:p w:rsidR="00AD6E54" w:rsidRPr="000E2B5A" w:rsidRDefault="00E92E62" w:rsidP="00AD6E54">
      <w:pPr>
        <w:pStyle w:val="ListParagraph"/>
        <w:numPr>
          <w:ilvl w:val="0"/>
          <w:numId w:val="31"/>
        </w:numPr>
        <w:spacing w:after="0"/>
        <w:ind w:left="360"/>
        <w:rPr>
          <w:sz w:val="22"/>
        </w:rPr>
      </w:pPr>
      <w:r w:rsidRPr="000E2B5A">
        <w:rPr>
          <w:sz w:val="22"/>
        </w:rPr>
        <w:t xml:space="preserve">Jerusalem is under threat but not yet under siege; she has a </w:t>
      </w:r>
      <w:r w:rsidR="00371387" w:rsidRPr="000E2B5A">
        <w:rPr>
          <w:sz w:val="22"/>
        </w:rPr>
        <w:t>multitude</w:t>
      </w:r>
      <w:r w:rsidRPr="000E2B5A">
        <w:rPr>
          <w:sz w:val="22"/>
        </w:rPr>
        <w:t xml:space="preserve"> of </w:t>
      </w:r>
      <w:r w:rsidR="00371387" w:rsidRPr="000E2B5A">
        <w:rPr>
          <w:sz w:val="22"/>
        </w:rPr>
        <w:t>nations against her (</w:t>
      </w:r>
      <w:r w:rsidR="00D173C9" w:rsidRPr="000E2B5A">
        <w:rPr>
          <w:sz w:val="22"/>
        </w:rPr>
        <w:t>Isa 29:</w:t>
      </w:r>
      <w:r w:rsidR="00371387" w:rsidRPr="000E2B5A">
        <w:rPr>
          <w:sz w:val="22"/>
        </w:rPr>
        <w:t>7). This reflects the standard Assyrian practice of conscripting soldiers from loyal vassals in the area of campaigning. The opportunity for this happening was a peace conference that Sennacherib held after he had subdued Phoenicia</w:t>
      </w:r>
      <w:r w:rsidR="00844F26" w:rsidRPr="000E2B5A">
        <w:rPr>
          <w:sz w:val="22"/>
        </w:rPr>
        <w:t>.</w:t>
      </w:r>
      <w:r w:rsidR="00371387" w:rsidRPr="000E2B5A">
        <w:rPr>
          <w:sz w:val="22"/>
        </w:rPr>
        <w:t xml:space="preserve"> Moab, Edom and Phoenicia were participants in the conference, and Sennacherib’s own records mention the involvement of foreign troops in his campaign. Again, the natural date for an oracle pronouncement like Isa 29:7 would be after this conference which took place </w:t>
      </w:r>
      <w:r w:rsidR="00AD6E54" w:rsidRPr="000E2B5A">
        <w:rPr>
          <w:sz w:val="22"/>
        </w:rPr>
        <w:t>at the conclusion of the first phase of Sennacherib’s campaign in Phoenicia.</w:t>
      </w:r>
    </w:p>
    <w:p w:rsidR="00AD6E54" w:rsidRPr="000E2B5A" w:rsidRDefault="00AD6E54" w:rsidP="00AD6E54">
      <w:pPr>
        <w:pStyle w:val="ListParagraph"/>
        <w:rPr>
          <w:sz w:val="22"/>
        </w:rPr>
      </w:pPr>
    </w:p>
    <w:p w:rsidR="00AD6E54" w:rsidRPr="000E2B5A" w:rsidRDefault="00AD6E54" w:rsidP="00AD6E54">
      <w:pPr>
        <w:pStyle w:val="ListParagraph"/>
        <w:numPr>
          <w:ilvl w:val="0"/>
          <w:numId w:val="31"/>
        </w:numPr>
        <w:spacing w:after="0"/>
        <w:ind w:left="360"/>
        <w:rPr>
          <w:sz w:val="22"/>
        </w:rPr>
      </w:pPr>
      <w:r w:rsidRPr="000E2B5A">
        <w:rPr>
          <w:sz w:val="22"/>
        </w:rPr>
        <w:t xml:space="preserve">The second phase of Sennacherib’s campaign involved a march down the coastal plain against various Philistine cities. It was at this juncture that he meets and defeats an Egyptian army at Eltekeh. The involvement of Egypt reflects Judahite treaty overtures and hopes which Isaiah condemns (Isa 30:7). This diplomacy can be dated before </w:t>
      </w:r>
      <w:r w:rsidR="00844F26" w:rsidRPr="000E2B5A">
        <w:rPr>
          <w:sz w:val="22"/>
        </w:rPr>
        <w:t xml:space="preserve">the </w:t>
      </w:r>
      <w:r w:rsidRPr="000E2B5A">
        <w:rPr>
          <w:sz w:val="22"/>
        </w:rPr>
        <w:t xml:space="preserve">second phase of </w:t>
      </w:r>
      <w:r w:rsidR="00844F26" w:rsidRPr="000E2B5A">
        <w:rPr>
          <w:sz w:val="22"/>
        </w:rPr>
        <w:t xml:space="preserve">Sennacherib’s </w:t>
      </w:r>
      <w:r w:rsidRPr="000E2B5A">
        <w:rPr>
          <w:sz w:val="22"/>
        </w:rPr>
        <w:t xml:space="preserve">campaign, which in turn dates Isa 29:1 to </w:t>
      </w:r>
      <w:r w:rsidR="00844F26" w:rsidRPr="000E2B5A">
        <w:rPr>
          <w:sz w:val="22"/>
        </w:rPr>
        <w:t xml:space="preserve">before this action and therefore to </w:t>
      </w:r>
      <w:r w:rsidRPr="000E2B5A">
        <w:rPr>
          <w:sz w:val="22"/>
        </w:rPr>
        <w:t>Nissan 701.</w:t>
      </w:r>
    </w:p>
    <w:p w:rsidR="00AD6E54" w:rsidRPr="000E2B5A" w:rsidRDefault="00AD6E54" w:rsidP="00AD6E54">
      <w:pPr>
        <w:pStyle w:val="ListParagraph"/>
        <w:rPr>
          <w:sz w:val="22"/>
        </w:rPr>
      </w:pPr>
    </w:p>
    <w:p w:rsidR="00E92E62" w:rsidRPr="000E2B5A" w:rsidRDefault="00AD6E54" w:rsidP="00AD6E54">
      <w:pPr>
        <w:pStyle w:val="ListParagraph"/>
        <w:numPr>
          <w:ilvl w:val="0"/>
          <w:numId w:val="31"/>
        </w:numPr>
        <w:spacing w:after="0"/>
        <w:ind w:left="360"/>
        <w:rPr>
          <w:sz w:val="22"/>
        </w:rPr>
      </w:pPr>
      <w:r w:rsidRPr="000E2B5A">
        <w:rPr>
          <w:sz w:val="22"/>
        </w:rPr>
        <w:t xml:space="preserve">The third and last phase of the Assyrian campaign turned </w:t>
      </w:r>
      <w:r w:rsidR="00844F26" w:rsidRPr="000E2B5A">
        <w:rPr>
          <w:sz w:val="22"/>
        </w:rPr>
        <w:t xml:space="preserve">its attention </w:t>
      </w:r>
      <w:r w:rsidRPr="000E2B5A">
        <w:rPr>
          <w:sz w:val="22"/>
        </w:rPr>
        <w:t>to Judah; 46 cities were taken, a siege conducted against Lachish</w:t>
      </w:r>
      <w:r w:rsidR="00844F26" w:rsidRPr="000E2B5A">
        <w:rPr>
          <w:sz w:val="22"/>
        </w:rPr>
        <w:t>,</w:t>
      </w:r>
      <w:r w:rsidRPr="000E2B5A">
        <w:rPr>
          <w:sz w:val="22"/>
        </w:rPr>
        <w:t xml:space="preserve"> and Jerusalem blockaded </w:t>
      </w:r>
      <w:r w:rsidR="00844F26" w:rsidRPr="000E2B5A">
        <w:rPr>
          <w:sz w:val="22"/>
        </w:rPr>
        <w:t>with forts. Given that Isa 29:3 predicts the construction of forts around Jerusalem and Sennacherib details such forts in the third phase of his campaign, we need to date Isa 29:1 earlier rather than later—again, Nissan 701.</w:t>
      </w:r>
    </w:p>
    <w:p w:rsidR="00DE0576" w:rsidRPr="000E2B5A" w:rsidRDefault="00DE0576" w:rsidP="00DE7F9A">
      <w:pPr>
        <w:rPr>
          <w:sz w:val="22"/>
        </w:rPr>
      </w:pPr>
    </w:p>
    <w:p w:rsidR="00844F26" w:rsidRPr="000E2B5A" w:rsidRDefault="00844F26" w:rsidP="00DE7F9A">
      <w:pPr>
        <w:rPr>
          <w:sz w:val="22"/>
        </w:rPr>
      </w:pPr>
      <w:r w:rsidRPr="000E2B5A">
        <w:rPr>
          <w:sz w:val="22"/>
        </w:rPr>
        <w:t xml:space="preserve">Assyrian records do not date the phases of Sennacherib’s campaign; Isa 29:1 is the only dateable piece of information. We can rule out Nissan 702 because Sennacherib is in the east; we can rule out Tishri 702 because </w:t>
      </w:r>
      <w:r w:rsidR="00C61AB6" w:rsidRPr="000E2B5A">
        <w:rPr>
          <w:sz w:val="22"/>
        </w:rPr>
        <w:t xml:space="preserve">Sennacherib has yet to rest at the end of his second campaign, travel to the west and then complete phase 1 of his campaign; this leaves Nissan 701 as the natural date for the “add ye year to year” </w:t>
      </w:r>
      <w:r w:rsidR="00C61AB6" w:rsidRPr="000E2B5A">
        <w:rPr>
          <w:sz w:val="22"/>
        </w:rPr>
        <w:lastRenderedPageBreak/>
        <w:t>oracle. The harmony of the Biblical record with the Assyrian chronology is to be noted.</w:t>
      </w:r>
    </w:p>
    <w:p w:rsidR="00C61AB6" w:rsidRPr="000E2B5A" w:rsidRDefault="00C61AB6" w:rsidP="00DE7F9A">
      <w:pPr>
        <w:rPr>
          <w:sz w:val="22"/>
        </w:rPr>
      </w:pPr>
    </w:p>
    <w:p w:rsidR="00C61AB6" w:rsidRPr="000E2B5A" w:rsidRDefault="00C61AB6" w:rsidP="00DE7F9A">
      <w:pPr>
        <w:rPr>
          <w:sz w:val="22"/>
        </w:rPr>
      </w:pPr>
      <w:r w:rsidRPr="000E2B5A">
        <w:rPr>
          <w:i/>
          <w:sz w:val="22"/>
        </w:rPr>
        <w:t>The Sabbatical and Jubilee Year</w:t>
      </w:r>
    </w:p>
    <w:p w:rsidR="00FD1EF4" w:rsidRPr="000E2B5A" w:rsidRDefault="00FD1EF4" w:rsidP="0014388F">
      <w:pPr>
        <w:rPr>
          <w:sz w:val="22"/>
          <w:lang w:val="en-GB"/>
        </w:rPr>
      </w:pPr>
      <w:r w:rsidRPr="000E2B5A">
        <w:rPr>
          <w:sz w:val="22"/>
          <w:lang w:val="en-GB"/>
        </w:rPr>
        <w:t>Th</w:t>
      </w:r>
      <w:r w:rsidR="00D173C9" w:rsidRPr="000E2B5A">
        <w:rPr>
          <w:sz w:val="22"/>
          <w:lang w:val="en-GB"/>
        </w:rPr>
        <w:t>is</w:t>
      </w:r>
      <w:r w:rsidRPr="000E2B5A">
        <w:rPr>
          <w:sz w:val="22"/>
          <w:lang w:val="en-GB"/>
        </w:rPr>
        <w:t xml:space="preserve"> second text refers to a Sabbatical year and a Jubilee year and the after growth of such years that was to sustain the people. The start of these years is linked to the seventh month,</w:t>
      </w:r>
    </w:p>
    <w:p w:rsidR="00FD1EF4" w:rsidRPr="000E2B5A" w:rsidRDefault="00FD1EF4" w:rsidP="0014388F">
      <w:pPr>
        <w:rPr>
          <w:sz w:val="22"/>
          <w:lang w:val="en-GB"/>
        </w:rPr>
      </w:pPr>
    </w:p>
    <w:p w:rsidR="00C61AB6" w:rsidRPr="000E2B5A" w:rsidRDefault="00C61AB6" w:rsidP="00C61AB6">
      <w:pPr>
        <w:pStyle w:val="Quote"/>
        <w:rPr>
          <w:szCs w:val="22"/>
          <w:lang w:val="en-AU"/>
        </w:rPr>
      </w:pPr>
      <w:r w:rsidRPr="000E2B5A">
        <w:rPr>
          <w:lang w:eastAsia="en-GB"/>
        </w:rPr>
        <w:t xml:space="preserve">And this </w:t>
      </w:r>
      <w:r w:rsidRPr="000E2B5A">
        <w:rPr>
          <w:i/>
          <w:iCs/>
          <w:lang w:eastAsia="en-GB"/>
        </w:rPr>
        <w:t xml:space="preserve">shall be </w:t>
      </w:r>
      <w:r w:rsidRPr="000E2B5A">
        <w:rPr>
          <w:lang w:eastAsia="en-GB"/>
        </w:rPr>
        <w:t xml:space="preserve">a sign unto thee, Ye shall eat </w:t>
      </w:r>
      <w:r w:rsidRPr="000E2B5A">
        <w:rPr>
          <w:i/>
          <w:iCs/>
          <w:lang w:eastAsia="en-GB"/>
        </w:rPr>
        <w:t xml:space="preserve">this </w:t>
      </w:r>
      <w:r w:rsidRPr="000E2B5A">
        <w:rPr>
          <w:lang w:eastAsia="en-GB"/>
        </w:rPr>
        <w:t xml:space="preserve">year such as </w:t>
      </w:r>
      <w:r w:rsidRPr="000E2B5A">
        <w:rPr>
          <w:u w:val="single"/>
          <w:lang w:eastAsia="en-GB"/>
        </w:rPr>
        <w:t>groweth of itself</w:t>
      </w:r>
      <w:r w:rsidRPr="000E2B5A">
        <w:rPr>
          <w:lang w:eastAsia="en-GB"/>
        </w:rPr>
        <w:t>; and the second year that which springeth of the same: and in the third year sow ye, and reap, and plant vineyards, and eat the fruit thereof. Isa 37:30 (KJV)</w:t>
      </w:r>
    </w:p>
    <w:p w:rsidR="00C61AB6" w:rsidRPr="000E2B5A" w:rsidRDefault="00C61AB6" w:rsidP="0014388F">
      <w:pPr>
        <w:rPr>
          <w:sz w:val="22"/>
          <w:lang w:val="en-GB"/>
        </w:rPr>
      </w:pPr>
    </w:p>
    <w:p w:rsidR="00FD1EF4" w:rsidRPr="000E2B5A" w:rsidRDefault="00FD1EF4" w:rsidP="00FD1EF4">
      <w:pPr>
        <w:rPr>
          <w:lang w:val="en-GB" w:eastAsia="en-GB" w:bidi="he-IL"/>
        </w:rPr>
      </w:pPr>
      <w:r w:rsidRPr="000E2B5A">
        <w:rPr>
          <w:lang w:val="en-GB" w:eastAsia="en-GB" w:bidi="he-IL"/>
        </w:rPr>
        <w:t>This is the beginning of the agricultural year when the sowing of crops for the next year was undertaken. One of the points of a Sabbatical and a Jubilee year was to</w:t>
      </w:r>
      <w:r w:rsidR="0023319B" w:rsidRPr="000E2B5A">
        <w:rPr>
          <w:lang w:val="en-GB" w:eastAsia="en-GB" w:bidi="he-IL"/>
        </w:rPr>
        <w:t xml:space="preserve"> give the land rest from sowing. </w:t>
      </w:r>
      <w:r w:rsidR="0023319B" w:rsidRPr="000E2B5A">
        <w:rPr>
          <w:sz w:val="22"/>
        </w:rPr>
        <w:t>The verb “grows of itself” is rare and used only in relation to the Sabbatical year and the Jubilee year that followed (Lev 25:5, 11).</w:t>
      </w:r>
      <w:r w:rsidR="0023319B" w:rsidRPr="000E2B5A">
        <w:rPr>
          <w:rStyle w:val="FootnoteReference"/>
          <w:sz w:val="22"/>
        </w:rPr>
        <w:footnoteReference w:id="81"/>
      </w:r>
    </w:p>
    <w:p w:rsidR="00FD1EF4" w:rsidRPr="000E2B5A" w:rsidRDefault="00FD1EF4" w:rsidP="00FD1EF4">
      <w:pPr>
        <w:rPr>
          <w:lang w:val="en-GB" w:eastAsia="en-GB" w:bidi="he-IL"/>
        </w:rPr>
      </w:pPr>
    </w:p>
    <w:p w:rsidR="00FD1EF4" w:rsidRPr="000E2B5A" w:rsidRDefault="00FD1EF4" w:rsidP="00CA2176">
      <w:pPr>
        <w:pStyle w:val="Quote"/>
      </w:pPr>
      <w:r w:rsidRPr="000E2B5A">
        <w:t xml:space="preserve">But in the seventh year shall be a sabbath of rest unto the land, a sabbath for the Lord: thou shalt neither sow thy field, nor prune thy vineyard. </w:t>
      </w:r>
      <w:r w:rsidR="00CA2176" w:rsidRPr="000E2B5A">
        <w:rPr>
          <w:szCs w:val="20"/>
        </w:rPr>
        <w:t xml:space="preserve">That which </w:t>
      </w:r>
      <w:r w:rsidR="00CA2176" w:rsidRPr="000E2B5A">
        <w:rPr>
          <w:szCs w:val="20"/>
          <w:u w:val="single"/>
        </w:rPr>
        <w:t>groweth of its own accord</w:t>
      </w:r>
      <w:r w:rsidR="00CA2176" w:rsidRPr="000E2B5A">
        <w:rPr>
          <w:szCs w:val="20"/>
        </w:rPr>
        <w:t xml:space="preserve"> of thy harvest thou shalt not reap, neither gather the grapes of thy vine undressed: for it is a year of rest unto the land. </w:t>
      </w:r>
      <w:r w:rsidRPr="000E2B5A">
        <w:t>Lev 25:4</w:t>
      </w:r>
      <w:r w:rsidR="00CA2176" w:rsidRPr="000E2B5A">
        <w:t>-5</w:t>
      </w:r>
      <w:r w:rsidRPr="000E2B5A">
        <w:t xml:space="preserve"> (KJV)</w:t>
      </w:r>
    </w:p>
    <w:p w:rsidR="00FD1EF4" w:rsidRPr="000E2B5A" w:rsidRDefault="00FD1EF4" w:rsidP="0014388F">
      <w:pPr>
        <w:rPr>
          <w:sz w:val="22"/>
          <w:lang w:val="en-GB"/>
        </w:rPr>
      </w:pPr>
    </w:p>
    <w:p w:rsidR="00FD1EF4" w:rsidRPr="000E2B5A" w:rsidRDefault="00FD1EF4" w:rsidP="0014388F">
      <w:pPr>
        <w:rPr>
          <w:sz w:val="22"/>
          <w:lang w:val="en-GB"/>
        </w:rPr>
      </w:pPr>
      <w:r w:rsidRPr="000E2B5A">
        <w:rPr>
          <w:sz w:val="22"/>
          <w:lang w:val="en-GB"/>
        </w:rPr>
        <w:t xml:space="preserve">It makes sense for Isaiah to have spoken the words recorded in Isa 37:30 </w:t>
      </w:r>
      <w:r w:rsidRPr="000E2B5A">
        <w:rPr>
          <w:b/>
          <w:sz w:val="22"/>
          <w:lang w:val="en-GB"/>
        </w:rPr>
        <w:t>at the beginning of the agricultural year with the prospect of a Sabbatical and then a Jubilee year in view</w:t>
      </w:r>
      <w:r w:rsidRPr="000E2B5A">
        <w:rPr>
          <w:sz w:val="22"/>
          <w:lang w:val="en-GB"/>
        </w:rPr>
        <w:t>. Hezekiah is being told that he can rely on the Lord for produce from the land rather than undertake the autumn sowing. Isaiah</w:t>
      </w:r>
      <w:r w:rsidR="005D74CB" w:rsidRPr="000E2B5A">
        <w:rPr>
          <w:sz w:val="22"/>
          <w:lang w:val="en-GB"/>
        </w:rPr>
        <w:t>’</w:t>
      </w:r>
      <w:r w:rsidRPr="000E2B5A">
        <w:rPr>
          <w:sz w:val="22"/>
          <w:lang w:val="en-GB"/>
        </w:rPr>
        <w:t xml:space="preserve">s words of assurance are spoken as the Angel of the Lord is about to decimate the Assyrian army. We can </w:t>
      </w:r>
      <w:r w:rsidR="00C61AB6" w:rsidRPr="000E2B5A">
        <w:rPr>
          <w:sz w:val="22"/>
          <w:lang w:val="en-GB"/>
        </w:rPr>
        <w:t xml:space="preserve">therefore </w:t>
      </w:r>
      <w:r w:rsidRPr="000E2B5A">
        <w:rPr>
          <w:sz w:val="22"/>
          <w:lang w:val="en-GB"/>
        </w:rPr>
        <w:t xml:space="preserve">date the deliverance of Jerusalem to the autumn of 701 thus </w:t>
      </w:r>
      <w:r w:rsidR="009B6096" w:rsidRPr="000E2B5A">
        <w:rPr>
          <w:sz w:val="22"/>
          <w:lang w:val="en-GB"/>
        </w:rPr>
        <w:t>making Sennacherib</w:t>
      </w:r>
      <w:r w:rsidR="005D74CB" w:rsidRPr="000E2B5A">
        <w:rPr>
          <w:sz w:val="22"/>
          <w:lang w:val="en-GB"/>
        </w:rPr>
        <w:t>’</w:t>
      </w:r>
      <w:r w:rsidR="009B6096" w:rsidRPr="000E2B5A">
        <w:rPr>
          <w:sz w:val="22"/>
          <w:lang w:val="en-GB"/>
        </w:rPr>
        <w:t xml:space="preserve">s </w:t>
      </w:r>
      <w:r w:rsidRPr="000E2B5A">
        <w:rPr>
          <w:sz w:val="22"/>
          <w:lang w:val="en-GB"/>
        </w:rPr>
        <w:t>campaign</w:t>
      </w:r>
      <w:r w:rsidR="009B6096" w:rsidRPr="000E2B5A">
        <w:rPr>
          <w:sz w:val="22"/>
          <w:lang w:val="en-GB"/>
        </w:rPr>
        <w:t xml:space="preserve"> occupy the spring and summer of 701</w:t>
      </w:r>
      <w:r w:rsidR="00C30233" w:rsidRPr="000E2B5A">
        <w:rPr>
          <w:sz w:val="22"/>
          <w:lang w:val="en-GB"/>
        </w:rPr>
        <w:t xml:space="preserve"> regardless of when we place its start</w:t>
      </w:r>
      <w:r w:rsidR="009B6096" w:rsidRPr="000E2B5A">
        <w:rPr>
          <w:sz w:val="22"/>
          <w:lang w:val="en-GB"/>
        </w:rPr>
        <w:t>.</w:t>
      </w:r>
      <w:r w:rsidR="009B6096" w:rsidRPr="000E2B5A">
        <w:rPr>
          <w:rStyle w:val="FootnoteReference"/>
          <w:sz w:val="22"/>
          <w:lang w:val="en-GB"/>
        </w:rPr>
        <w:footnoteReference w:id="82"/>
      </w:r>
      <w:r w:rsidR="009B6096" w:rsidRPr="000E2B5A">
        <w:rPr>
          <w:sz w:val="22"/>
          <w:lang w:val="en-GB"/>
        </w:rPr>
        <w:t xml:space="preserve"> </w:t>
      </w:r>
    </w:p>
    <w:p w:rsidR="009B6096" w:rsidRPr="000E2B5A" w:rsidRDefault="009B6096" w:rsidP="0014388F">
      <w:pPr>
        <w:rPr>
          <w:sz w:val="22"/>
          <w:lang w:val="en-GB"/>
        </w:rPr>
      </w:pPr>
    </w:p>
    <w:p w:rsidR="00BA7E6C" w:rsidRPr="000E2B5A" w:rsidRDefault="00BA7E6C" w:rsidP="00C21027">
      <w:pPr>
        <w:rPr>
          <w:sz w:val="22"/>
          <w:lang w:val="en-GB"/>
        </w:rPr>
      </w:pPr>
      <w:r w:rsidRPr="000E2B5A">
        <w:rPr>
          <w:sz w:val="22"/>
          <w:lang w:val="en-GB"/>
        </w:rPr>
        <w:t xml:space="preserve">The utterance of Isa 37:30 reverses the command of Lev 25:4-5; they were not meant to reap the aftergrowth in a sabbatical year but now Yahweh was instructing them to live on this aftergrowth. If this was spoken at Passover in the middle of a Sabbatical year which began in Tishri 702, it makes no sense as a sign. The </w:t>
      </w:r>
      <w:r w:rsidRPr="000E2B5A">
        <w:rPr>
          <w:sz w:val="22"/>
          <w:lang w:val="en-GB"/>
        </w:rPr>
        <w:lastRenderedPageBreak/>
        <w:t xml:space="preserve">aftergrowth is </w:t>
      </w:r>
      <w:r w:rsidRPr="000E2B5A">
        <w:rPr>
          <w:i/>
          <w:sz w:val="22"/>
          <w:lang w:val="en-GB"/>
        </w:rPr>
        <w:t>already in place</w:t>
      </w:r>
      <w:r w:rsidRPr="000E2B5A">
        <w:rPr>
          <w:sz w:val="22"/>
          <w:lang w:val="en-GB"/>
        </w:rPr>
        <w:t xml:space="preserve"> and ready to be reaped. On the other hand, if it is spoken in the </w:t>
      </w:r>
      <w:r w:rsidR="00C21027" w:rsidRPr="000E2B5A">
        <w:rPr>
          <w:sz w:val="22"/>
          <w:lang w:val="en-GB"/>
        </w:rPr>
        <w:t>autumn</w:t>
      </w:r>
      <w:r w:rsidRPr="000E2B5A">
        <w:rPr>
          <w:sz w:val="22"/>
          <w:lang w:val="en-GB"/>
        </w:rPr>
        <w:t>, then it is a sign because they are being asked to depend on God for a good aftergrowth in the forthcoming agricultural year.</w:t>
      </w:r>
    </w:p>
    <w:p w:rsidR="00C30233" w:rsidRPr="000E2B5A" w:rsidRDefault="00C30233">
      <w:pPr>
        <w:jc w:val="left"/>
        <w:rPr>
          <w:sz w:val="22"/>
          <w:lang w:val="en-GB"/>
        </w:rPr>
      </w:pPr>
    </w:p>
    <w:tbl>
      <w:tblPr>
        <w:tblStyle w:val="TableGrid"/>
        <w:tblW w:w="0" w:type="auto"/>
        <w:tblInd w:w="288" w:type="dxa"/>
        <w:tblLook w:val="04A0" w:firstRow="1" w:lastRow="0" w:firstColumn="1" w:lastColumn="0" w:noHBand="0" w:noVBand="1"/>
      </w:tblPr>
      <w:tblGrid>
        <w:gridCol w:w="1143"/>
        <w:gridCol w:w="2012"/>
        <w:gridCol w:w="2286"/>
        <w:gridCol w:w="1467"/>
      </w:tblGrid>
      <w:tr w:rsidR="00C30233" w:rsidRPr="000E2B5A" w:rsidTr="00C30233">
        <w:trPr>
          <w:trHeight w:val="508"/>
        </w:trPr>
        <w:tc>
          <w:tcPr>
            <w:tcW w:w="1143" w:type="dxa"/>
            <w:shd w:val="pct12" w:color="auto" w:fill="auto"/>
          </w:tcPr>
          <w:p w:rsidR="00C30233" w:rsidRPr="000E2B5A" w:rsidRDefault="00C30233" w:rsidP="00A21A72">
            <w:pPr>
              <w:rPr>
                <w:b/>
                <w:color w:val="auto"/>
                <w:sz w:val="20"/>
              </w:rPr>
            </w:pPr>
            <w:r w:rsidRPr="000E2B5A">
              <w:rPr>
                <w:b/>
                <w:color w:val="auto"/>
                <w:sz w:val="20"/>
              </w:rPr>
              <w:t>Western Calendar</w:t>
            </w:r>
          </w:p>
        </w:tc>
        <w:tc>
          <w:tcPr>
            <w:tcW w:w="2012" w:type="dxa"/>
            <w:shd w:val="pct12" w:color="auto" w:fill="auto"/>
          </w:tcPr>
          <w:p w:rsidR="00C30233" w:rsidRPr="000E2B5A" w:rsidRDefault="00C30233" w:rsidP="00A21A72">
            <w:pPr>
              <w:jc w:val="left"/>
              <w:rPr>
                <w:b/>
                <w:color w:val="auto"/>
                <w:sz w:val="20"/>
              </w:rPr>
            </w:pPr>
            <w:r w:rsidRPr="000E2B5A">
              <w:rPr>
                <w:b/>
                <w:color w:val="auto"/>
                <w:sz w:val="20"/>
              </w:rPr>
              <w:t>Judah’s Calendar</w:t>
            </w:r>
          </w:p>
        </w:tc>
        <w:tc>
          <w:tcPr>
            <w:tcW w:w="2286" w:type="dxa"/>
            <w:shd w:val="pct12" w:color="auto" w:fill="auto"/>
          </w:tcPr>
          <w:p w:rsidR="00C30233" w:rsidRPr="000E2B5A" w:rsidRDefault="00C30233" w:rsidP="00A21A72">
            <w:pPr>
              <w:jc w:val="left"/>
              <w:rPr>
                <w:b/>
                <w:color w:val="auto"/>
                <w:sz w:val="20"/>
              </w:rPr>
            </w:pPr>
            <w:r w:rsidRPr="000E2B5A">
              <w:rPr>
                <w:b/>
                <w:color w:val="auto"/>
                <w:sz w:val="20"/>
              </w:rPr>
              <w:t>Normal Agricultural Year</w:t>
            </w:r>
          </w:p>
        </w:tc>
        <w:tc>
          <w:tcPr>
            <w:tcW w:w="1467" w:type="dxa"/>
            <w:shd w:val="pct12" w:color="auto" w:fill="auto"/>
          </w:tcPr>
          <w:p w:rsidR="00C30233" w:rsidRPr="000E2B5A" w:rsidRDefault="00C30233" w:rsidP="00A21A72">
            <w:pPr>
              <w:rPr>
                <w:b/>
                <w:color w:val="auto"/>
                <w:sz w:val="20"/>
              </w:rPr>
            </w:pPr>
            <w:r w:rsidRPr="000E2B5A">
              <w:rPr>
                <w:b/>
                <w:color w:val="auto"/>
                <w:sz w:val="20"/>
              </w:rPr>
              <w:t>What Happened</w:t>
            </w:r>
          </w:p>
        </w:tc>
      </w:tr>
      <w:tr w:rsidR="00C30233" w:rsidRPr="000E2B5A" w:rsidTr="00C30233">
        <w:trPr>
          <w:trHeight w:val="527"/>
        </w:trPr>
        <w:tc>
          <w:tcPr>
            <w:tcW w:w="1143" w:type="dxa"/>
            <w:vMerge w:val="restart"/>
          </w:tcPr>
          <w:p w:rsidR="00C30233" w:rsidRPr="000E2B5A" w:rsidRDefault="00C30233" w:rsidP="00A21A72">
            <w:pPr>
              <w:rPr>
                <w:sz w:val="20"/>
              </w:rPr>
            </w:pPr>
            <w:r w:rsidRPr="000E2B5A">
              <w:rPr>
                <w:sz w:val="20"/>
              </w:rPr>
              <w:t>701</w:t>
            </w:r>
          </w:p>
        </w:tc>
        <w:tc>
          <w:tcPr>
            <w:tcW w:w="2012" w:type="dxa"/>
          </w:tcPr>
          <w:p w:rsidR="00C30233" w:rsidRPr="000E2B5A" w:rsidRDefault="00C30233" w:rsidP="00A21A72">
            <w:pPr>
              <w:jc w:val="left"/>
              <w:rPr>
                <w:sz w:val="20"/>
              </w:rPr>
            </w:pPr>
            <w:r w:rsidRPr="000E2B5A">
              <w:rPr>
                <w:sz w:val="20"/>
              </w:rPr>
              <w:t>Deliverance of Jerusalem</w:t>
            </w:r>
          </w:p>
        </w:tc>
        <w:tc>
          <w:tcPr>
            <w:tcW w:w="2286" w:type="dxa"/>
          </w:tcPr>
          <w:p w:rsidR="00C30233" w:rsidRPr="000E2B5A" w:rsidRDefault="00C30233" w:rsidP="00A21A72">
            <w:pPr>
              <w:jc w:val="left"/>
              <w:rPr>
                <w:sz w:val="20"/>
              </w:rPr>
            </w:pPr>
          </w:p>
        </w:tc>
        <w:tc>
          <w:tcPr>
            <w:tcW w:w="1467" w:type="dxa"/>
          </w:tcPr>
          <w:p w:rsidR="00C30233" w:rsidRPr="000E2B5A" w:rsidRDefault="009408A8" w:rsidP="00A21A72">
            <w:pPr>
              <w:rPr>
                <w:sz w:val="20"/>
              </w:rPr>
            </w:pPr>
            <w:r w:rsidRPr="000E2B5A">
              <w:rPr>
                <w:sz w:val="20"/>
              </w:rPr>
              <w:t>Utterance of Isa 37:30</w:t>
            </w:r>
          </w:p>
        </w:tc>
      </w:tr>
      <w:tr w:rsidR="00C30233" w:rsidRPr="000E2B5A" w:rsidTr="00C30233">
        <w:trPr>
          <w:trHeight w:val="165"/>
        </w:trPr>
        <w:tc>
          <w:tcPr>
            <w:tcW w:w="1143" w:type="dxa"/>
            <w:vMerge/>
          </w:tcPr>
          <w:p w:rsidR="00C30233" w:rsidRPr="000E2B5A" w:rsidRDefault="00C30233" w:rsidP="00A21A72">
            <w:pPr>
              <w:rPr>
                <w:sz w:val="20"/>
              </w:rPr>
            </w:pPr>
          </w:p>
        </w:tc>
        <w:tc>
          <w:tcPr>
            <w:tcW w:w="2012" w:type="dxa"/>
            <w:vMerge w:val="restart"/>
          </w:tcPr>
          <w:p w:rsidR="00C30233" w:rsidRPr="000E2B5A" w:rsidRDefault="00C30233" w:rsidP="00A21A72">
            <w:pPr>
              <w:jc w:val="left"/>
              <w:rPr>
                <w:sz w:val="20"/>
              </w:rPr>
            </w:pPr>
            <w:r w:rsidRPr="000E2B5A">
              <w:rPr>
                <w:sz w:val="20"/>
              </w:rPr>
              <w:t xml:space="preserve">October New Year </w:t>
            </w:r>
            <w:r w:rsidR="009408A8" w:rsidRPr="000E2B5A">
              <w:rPr>
                <w:sz w:val="20"/>
              </w:rPr>
              <w:t>“701-700”</w:t>
            </w:r>
          </w:p>
        </w:tc>
        <w:tc>
          <w:tcPr>
            <w:tcW w:w="2286" w:type="dxa"/>
          </w:tcPr>
          <w:p w:rsidR="00C30233" w:rsidRPr="000E2B5A" w:rsidRDefault="00C30233" w:rsidP="00A21A72">
            <w:pPr>
              <w:jc w:val="left"/>
              <w:rPr>
                <w:sz w:val="20"/>
              </w:rPr>
            </w:pPr>
            <w:r w:rsidRPr="000E2B5A">
              <w:rPr>
                <w:sz w:val="20"/>
              </w:rPr>
              <w:t>Former rains in the Autumn soften ground for 2 months of sowing cereals</w:t>
            </w:r>
          </w:p>
        </w:tc>
        <w:tc>
          <w:tcPr>
            <w:tcW w:w="1467" w:type="dxa"/>
            <w:vMerge w:val="restart"/>
          </w:tcPr>
          <w:p w:rsidR="00C30233" w:rsidRPr="000E2B5A" w:rsidRDefault="00C30233" w:rsidP="00A21A72">
            <w:pPr>
              <w:rPr>
                <w:sz w:val="20"/>
              </w:rPr>
            </w:pPr>
            <w:r w:rsidRPr="000E2B5A">
              <w:rPr>
                <w:sz w:val="20"/>
              </w:rPr>
              <w:t>Sabbatical Year</w:t>
            </w:r>
          </w:p>
        </w:tc>
      </w:tr>
      <w:tr w:rsidR="00C30233" w:rsidRPr="000E2B5A" w:rsidTr="00C30233">
        <w:trPr>
          <w:trHeight w:val="165"/>
        </w:trPr>
        <w:tc>
          <w:tcPr>
            <w:tcW w:w="1143" w:type="dxa"/>
            <w:vMerge/>
          </w:tcPr>
          <w:p w:rsidR="00C30233" w:rsidRPr="000E2B5A" w:rsidRDefault="00C30233" w:rsidP="00A21A72">
            <w:pPr>
              <w:rPr>
                <w:sz w:val="20"/>
              </w:rPr>
            </w:pPr>
          </w:p>
        </w:tc>
        <w:tc>
          <w:tcPr>
            <w:tcW w:w="2012" w:type="dxa"/>
            <w:vMerge/>
          </w:tcPr>
          <w:p w:rsidR="00C30233" w:rsidRPr="000E2B5A" w:rsidRDefault="00C30233" w:rsidP="00A21A72">
            <w:pPr>
              <w:jc w:val="left"/>
              <w:rPr>
                <w:sz w:val="20"/>
              </w:rPr>
            </w:pPr>
          </w:p>
        </w:tc>
        <w:tc>
          <w:tcPr>
            <w:tcW w:w="2286" w:type="dxa"/>
          </w:tcPr>
          <w:p w:rsidR="00C30233" w:rsidRPr="000E2B5A" w:rsidRDefault="00C30233" w:rsidP="00A21A72">
            <w:pPr>
              <w:jc w:val="left"/>
              <w:rPr>
                <w:sz w:val="20"/>
              </w:rPr>
            </w:pPr>
            <w:r w:rsidRPr="000E2B5A">
              <w:rPr>
                <w:sz w:val="20"/>
              </w:rPr>
              <w:t>2 months of sowing legumes and vegetables.</w:t>
            </w:r>
          </w:p>
        </w:tc>
        <w:tc>
          <w:tcPr>
            <w:tcW w:w="1467" w:type="dxa"/>
            <w:vMerge/>
          </w:tcPr>
          <w:p w:rsidR="00C30233" w:rsidRPr="000E2B5A" w:rsidRDefault="00C30233" w:rsidP="00A21A72">
            <w:pPr>
              <w:rPr>
                <w:sz w:val="20"/>
              </w:rPr>
            </w:pPr>
          </w:p>
        </w:tc>
      </w:tr>
      <w:tr w:rsidR="00C30233" w:rsidRPr="000E2B5A" w:rsidTr="00C30233">
        <w:trPr>
          <w:trHeight w:val="508"/>
        </w:trPr>
        <w:tc>
          <w:tcPr>
            <w:tcW w:w="1143" w:type="dxa"/>
            <w:vMerge w:val="restart"/>
          </w:tcPr>
          <w:p w:rsidR="00C30233" w:rsidRPr="000E2B5A" w:rsidRDefault="00C30233" w:rsidP="00A21A72">
            <w:pPr>
              <w:rPr>
                <w:sz w:val="20"/>
              </w:rPr>
            </w:pPr>
            <w:r w:rsidRPr="000E2B5A">
              <w:rPr>
                <w:sz w:val="20"/>
              </w:rPr>
              <w:t>700</w:t>
            </w:r>
          </w:p>
        </w:tc>
        <w:tc>
          <w:tcPr>
            <w:tcW w:w="2012" w:type="dxa"/>
            <w:vMerge/>
          </w:tcPr>
          <w:p w:rsidR="00C30233" w:rsidRPr="000E2B5A" w:rsidRDefault="00C30233" w:rsidP="00A21A72">
            <w:pPr>
              <w:jc w:val="left"/>
              <w:rPr>
                <w:sz w:val="20"/>
              </w:rPr>
            </w:pPr>
          </w:p>
        </w:tc>
        <w:tc>
          <w:tcPr>
            <w:tcW w:w="2286" w:type="dxa"/>
          </w:tcPr>
          <w:p w:rsidR="00C30233" w:rsidRPr="000E2B5A" w:rsidRDefault="00C30233" w:rsidP="00A21A72">
            <w:pPr>
              <w:jc w:val="left"/>
              <w:rPr>
                <w:sz w:val="20"/>
              </w:rPr>
            </w:pPr>
            <w:r w:rsidRPr="000E2B5A">
              <w:rPr>
                <w:sz w:val="20"/>
              </w:rPr>
              <w:t>1 month of hoeing weeds for hay.</w:t>
            </w:r>
          </w:p>
        </w:tc>
        <w:tc>
          <w:tcPr>
            <w:tcW w:w="1467" w:type="dxa"/>
            <w:vMerge/>
          </w:tcPr>
          <w:p w:rsidR="00C30233" w:rsidRPr="000E2B5A" w:rsidRDefault="00C30233" w:rsidP="00A21A72">
            <w:pPr>
              <w:rPr>
                <w:sz w:val="20"/>
              </w:rPr>
            </w:pPr>
          </w:p>
        </w:tc>
      </w:tr>
      <w:tr w:rsidR="00C30233" w:rsidRPr="000E2B5A" w:rsidTr="00C30233">
        <w:trPr>
          <w:trHeight w:val="165"/>
        </w:trPr>
        <w:tc>
          <w:tcPr>
            <w:tcW w:w="1143" w:type="dxa"/>
            <w:vMerge/>
          </w:tcPr>
          <w:p w:rsidR="00C30233" w:rsidRPr="000E2B5A" w:rsidRDefault="00C30233" w:rsidP="00A21A72">
            <w:pPr>
              <w:rPr>
                <w:sz w:val="20"/>
              </w:rPr>
            </w:pPr>
          </w:p>
        </w:tc>
        <w:tc>
          <w:tcPr>
            <w:tcW w:w="2012" w:type="dxa"/>
            <w:vMerge/>
          </w:tcPr>
          <w:p w:rsidR="00C30233" w:rsidRPr="000E2B5A" w:rsidRDefault="00C30233" w:rsidP="00A21A72">
            <w:pPr>
              <w:jc w:val="left"/>
              <w:rPr>
                <w:sz w:val="20"/>
              </w:rPr>
            </w:pPr>
          </w:p>
        </w:tc>
        <w:tc>
          <w:tcPr>
            <w:tcW w:w="2286" w:type="dxa"/>
          </w:tcPr>
          <w:p w:rsidR="00C30233" w:rsidRPr="000E2B5A" w:rsidRDefault="00C30233" w:rsidP="00A21A72">
            <w:pPr>
              <w:jc w:val="left"/>
              <w:rPr>
                <w:sz w:val="20"/>
              </w:rPr>
            </w:pPr>
            <w:r w:rsidRPr="000E2B5A">
              <w:rPr>
                <w:sz w:val="20"/>
              </w:rPr>
              <w:t>Spring, end of March. Latter rains before harvest maturing crops. 1 month of harvesting barley then Passover.</w:t>
            </w:r>
          </w:p>
        </w:tc>
        <w:tc>
          <w:tcPr>
            <w:tcW w:w="1467" w:type="dxa"/>
            <w:vMerge/>
          </w:tcPr>
          <w:p w:rsidR="00C30233" w:rsidRPr="000E2B5A" w:rsidRDefault="00C30233" w:rsidP="00A21A72">
            <w:pPr>
              <w:rPr>
                <w:sz w:val="20"/>
              </w:rPr>
            </w:pPr>
          </w:p>
        </w:tc>
      </w:tr>
      <w:tr w:rsidR="00C30233" w:rsidRPr="000E2B5A" w:rsidTr="00C30233">
        <w:trPr>
          <w:trHeight w:val="165"/>
        </w:trPr>
        <w:tc>
          <w:tcPr>
            <w:tcW w:w="1143" w:type="dxa"/>
            <w:vMerge/>
          </w:tcPr>
          <w:p w:rsidR="00C30233" w:rsidRPr="000E2B5A" w:rsidRDefault="00C30233" w:rsidP="00A21A72">
            <w:pPr>
              <w:rPr>
                <w:sz w:val="20"/>
              </w:rPr>
            </w:pPr>
          </w:p>
        </w:tc>
        <w:tc>
          <w:tcPr>
            <w:tcW w:w="2012" w:type="dxa"/>
            <w:vMerge/>
          </w:tcPr>
          <w:p w:rsidR="00C30233" w:rsidRPr="000E2B5A" w:rsidRDefault="00C30233" w:rsidP="00A21A72">
            <w:pPr>
              <w:jc w:val="left"/>
              <w:rPr>
                <w:sz w:val="20"/>
              </w:rPr>
            </w:pPr>
          </w:p>
        </w:tc>
        <w:tc>
          <w:tcPr>
            <w:tcW w:w="2286" w:type="dxa"/>
          </w:tcPr>
          <w:p w:rsidR="00C30233" w:rsidRPr="000E2B5A" w:rsidRDefault="00C30233" w:rsidP="00A21A72">
            <w:pPr>
              <w:jc w:val="left"/>
              <w:rPr>
                <w:sz w:val="20"/>
              </w:rPr>
            </w:pPr>
            <w:r w:rsidRPr="000E2B5A">
              <w:rPr>
                <w:sz w:val="20"/>
              </w:rPr>
              <w:t>1 month of harvesting wheat, followed by Pentecost</w:t>
            </w:r>
          </w:p>
        </w:tc>
        <w:tc>
          <w:tcPr>
            <w:tcW w:w="1467" w:type="dxa"/>
            <w:vMerge/>
          </w:tcPr>
          <w:p w:rsidR="00C30233" w:rsidRPr="000E2B5A" w:rsidRDefault="00C30233" w:rsidP="00A21A72">
            <w:pPr>
              <w:rPr>
                <w:sz w:val="20"/>
              </w:rPr>
            </w:pPr>
          </w:p>
        </w:tc>
      </w:tr>
      <w:tr w:rsidR="00C30233" w:rsidRPr="000E2B5A" w:rsidTr="00C30233">
        <w:trPr>
          <w:trHeight w:val="165"/>
        </w:trPr>
        <w:tc>
          <w:tcPr>
            <w:tcW w:w="1143" w:type="dxa"/>
            <w:vMerge/>
          </w:tcPr>
          <w:p w:rsidR="00C30233" w:rsidRPr="000E2B5A" w:rsidRDefault="00C30233" w:rsidP="00A21A72">
            <w:pPr>
              <w:rPr>
                <w:sz w:val="20"/>
              </w:rPr>
            </w:pPr>
          </w:p>
        </w:tc>
        <w:tc>
          <w:tcPr>
            <w:tcW w:w="2012" w:type="dxa"/>
            <w:vMerge/>
          </w:tcPr>
          <w:p w:rsidR="00C30233" w:rsidRPr="000E2B5A" w:rsidRDefault="00C30233" w:rsidP="00A21A72">
            <w:pPr>
              <w:jc w:val="left"/>
              <w:rPr>
                <w:sz w:val="20"/>
              </w:rPr>
            </w:pPr>
          </w:p>
        </w:tc>
        <w:tc>
          <w:tcPr>
            <w:tcW w:w="2286" w:type="dxa"/>
          </w:tcPr>
          <w:p w:rsidR="00C30233" w:rsidRPr="000E2B5A" w:rsidRDefault="00C30233" w:rsidP="00A21A72">
            <w:pPr>
              <w:jc w:val="left"/>
              <w:rPr>
                <w:sz w:val="20"/>
              </w:rPr>
            </w:pPr>
            <w:r w:rsidRPr="000E2B5A">
              <w:rPr>
                <w:sz w:val="20"/>
              </w:rPr>
              <w:t>2 months of grape harvesting.</w:t>
            </w:r>
          </w:p>
        </w:tc>
        <w:tc>
          <w:tcPr>
            <w:tcW w:w="1467" w:type="dxa"/>
            <w:vMerge/>
          </w:tcPr>
          <w:p w:rsidR="00C30233" w:rsidRPr="000E2B5A" w:rsidRDefault="00C30233" w:rsidP="00A21A72">
            <w:pPr>
              <w:rPr>
                <w:sz w:val="20"/>
              </w:rPr>
            </w:pPr>
          </w:p>
        </w:tc>
      </w:tr>
      <w:tr w:rsidR="00C30233" w:rsidRPr="000E2B5A" w:rsidTr="00C30233">
        <w:trPr>
          <w:trHeight w:val="165"/>
        </w:trPr>
        <w:tc>
          <w:tcPr>
            <w:tcW w:w="1143" w:type="dxa"/>
            <w:vMerge/>
          </w:tcPr>
          <w:p w:rsidR="00C30233" w:rsidRPr="000E2B5A" w:rsidRDefault="00C30233" w:rsidP="00A21A72">
            <w:pPr>
              <w:rPr>
                <w:sz w:val="20"/>
              </w:rPr>
            </w:pPr>
          </w:p>
        </w:tc>
        <w:tc>
          <w:tcPr>
            <w:tcW w:w="2012" w:type="dxa"/>
            <w:vMerge/>
          </w:tcPr>
          <w:p w:rsidR="00C30233" w:rsidRPr="000E2B5A" w:rsidRDefault="00C30233" w:rsidP="00A21A72">
            <w:pPr>
              <w:jc w:val="left"/>
              <w:rPr>
                <w:sz w:val="20"/>
              </w:rPr>
            </w:pPr>
          </w:p>
        </w:tc>
        <w:tc>
          <w:tcPr>
            <w:tcW w:w="2286" w:type="dxa"/>
          </w:tcPr>
          <w:p w:rsidR="00C30233" w:rsidRPr="000E2B5A" w:rsidRDefault="00C30233" w:rsidP="00A21A72">
            <w:pPr>
              <w:jc w:val="left"/>
              <w:rPr>
                <w:sz w:val="20"/>
              </w:rPr>
            </w:pPr>
            <w:r w:rsidRPr="000E2B5A">
              <w:rPr>
                <w:sz w:val="20"/>
              </w:rPr>
              <w:t>1 month of ingathering of summer fruit.</w:t>
            </w:r>
          </w:p>
        </w:tc>
        <w:tc>
          <w:tcPr>
            <w:tcW w:w="1467" w:type="dxa"/>
            <w:vMerge/>
          </w:tcPr>
          <w:p w:rsidR="00C30233" w:rsidRPr="000E2B5A" w:rsidRDefault="00C30233" w:rsidP="00A21A72">
            <w:pPr>
              <w:rPr>
                <w:sz w:val="20"/>
              </w:rPr>
            </w:pPr>
          </w:p>
        </w:tc>
      </w:tr>
      <w:tr w:rsidR="00C30233" w:rsidRPr="000E2B5A" w:rsidTr="00C30233">
        <w:trPr>
          <w:trHeight w:val="165"/>
        </w:trPr>
        <w:tc>
          <w:tcPr>
            <w:tcW w:w="1143" w:type="dxa"/>
            <w:vMerge/>
          </w:tcPr>
          <w:p w:rsidR="00C30233" w:rsidRPr="000E2B5A" w:rsidRDefault="00C30233" w:rsidP="00A21A72">
            <w:pPr>
              <w:rPr>
                <w:sz w:val="20"/>
              </w:rPr>
            </w:pPr>
          </w:p>
        </w:tc>
        <w:tc>
          <w:tcPr>
            <w:tcW w:w="2012" w:type="dxa"/>
            <w:vMerge/>
          </w:tcPr>
          <w:p w:rsidR="00C30233" w:rsidRPr="000E2B5A" w:rsidRDefault="00C30233" w:rsidP="00A21A72">
            <w:pPr>
              <w:jc w:val="left"/>
              <w:rPr>
                <w:sz w:val="20"/>
              </w:rPr>
            </w:pPr>
          </w:p>
        </w:tc>
        <w:tc>
          <w:tcPr>
            <w:tcW w:w="2286" w:type="dxa"/>
          </w:tcPr>
          <w:p w:rsidR="00C30233" w:rsidRPr="000E2B5A" w:rsidRDefault="00C30233" w:rsidP="00A21A72">
            <w:pPr>
              <w:jc w:val="left"/>
              <w:rPr>
                <w:sz w:val="20"/>
              </w:rPr>
            </w:pPr>
            <w:r w:rsidRPr="000E2B5A">
              <w:rPr>
                <w:sz w:val="20"/>
              </w:rPr>
              <w:t>2 months of ingathering of olives.</w:t>
            </w:r>
          </w:p>
        </w:tc>
        <w:tc>
          <w:tcPr>
            <w:tcW w:w="1467" w:type="dxa"/>
            <w:vMerge/>
          </w:tcPr>
          <w:p w:rsidR="00C30233" w:rsidRPr="000E2B5A" w:rsidRDefault="00C30233" w:rsidP="00A21A72">
            <w:pPr>
              <w:rPr>
                <w:sz w:val="20"/>
              </w:rPr>
            </w:pPr>
          </w:p>
        </w:tc>
      </w:tr>
      <w:tr w:rsidR="00C30233" w:rsidRPr="000E2B5A" w:rsidTr="00C30233">
        <w:trPr>
          <w:trHeight w:val="165"/>
        </w:trPr>
        <w:tc>
          <w:tcPr>
            <w:tcW w:w="1143" w:type="dxa"/>
            <w:vMerge/>
          </w:tcPr>
          <w:p w:rsidR="00C30233" w:rsidRPr="000E2B5A" w:rsidRDefault="00C30233" w:rsidP="00A21A72">
            <w:pPr>
              <w:rPr>
                <w:sz w:val="20"/>
              </w:rPr>
            </w:pPr>
          </w:p>
        </w:tc>
        <w:tc>
          <w:tcPr>
            <w:tcW w:w="2012" w:type="dxa"/>
            <w:vMerge w:val="restart"/>
          </w:tcPr>
          <w:p w:rsidR="00C30233" w:rsidRPr="000E2B5A" w:rsidRDefault="00C30233" w:rsidP="00A21A72">
            <w:pPr>
              <w:jc w:val="left"/>
              <w:rPr>
                <w:sz w:val="20"/>
              </w:rPr>
            </w:pPr>
            <w:r w:rsidRPr="000E2B5A">
              <w:rPr>
                <w:sz w:val="20"/>
              </w:rPr>
              <w:t xml:space="preserve">October New Year </w:t>
            </w:r>
            <w:r w:rsidR="009408A8" w:rsidRPr="000E2B5A">
              <w:rPr>
                <w:sz w:val="20"/>
              </w:rPr>
              <w:t>“700-</w:t>
            </w:r>
            <w:r w:rsidRPr="000E2B5A">
              <w:rPr>
                <w:sz w:val="20"/>
              </w:rPr>
              <w:t>699</w:t>
            </w:r>
            <w:r w:rsidR="009408A8" w:rsidRPr="000E2B5A">
              <w:rPr>
                <w:sz w:val="20"/>
              </w:rPr>
              <w:t>”</w:t>
            </w:r>
          </w:p>
        </w:tc>
        <w:tc>
          <w:tcPr>
            <w:tcW w:w="2286" w:type="dxa"/>
          </w:tcPr>
          <w:p w:rsidR="00C30233" w:rsidRPr="000E2B5A" w:rsidRDefault="00C30233" w:rsidP="00A21A72">
            <w:pPr>
              <w:jc w:val="left"/>
              <w:rPr>
                <w:sz w:val="20"/>
              </w:rPr>
            </w:pPr>
            <w:r w:rsidRPr="000E2B5A">
              <w:rPr>
                <w:sz w:val="20"/>
              </w:rPr>
              <w:t>Former rains in the Autumn soften ground for 2 months of sowing cereals</w:t>
            </w:r>
          </w:p>
        </w:tc>
        <w:tc>
          <w:tcPr>
            <w:tcW w:w="1467" w:type="dxa"/>
            <w:vMerge w:val="restart"/>
          </w:tcPr>
          <w:p w:rsidR="00C30233" w:rsidRPr="000E2B5A" w:rsidRDefault="00C30233" w:rsidP="00A21A72">
            <w:pPr>
              <w:rPr>
                <w:sz w:val="20"/>
              </w:rPr>
            </w:pPr>
            <w:r w:rsidRPr="000E2B5A">
              <w:rPr>
                <w:sz w:val="20"/>
              </w:rPr>
              <w:t>Jubilee Year</w:t>
            </w:r>
          </w:p>
        </w:tc>
      </w:tr>
      <w:tr w:rsidR="00C30233" w:rsidRPr="000E2B5A" w:rsidTr="00C30233">
        <w:trPr>
          <w:trHeight w:val="165"/>
        </w:trPr>
        <w:tc>
          <w:tcPr>
            <w:tcW w:w="1143" w:type="dxa"/>
            <w:vMerge/>
          </w:tcPr>
          <w:p w:rsidR="00C30233" w:rsidRPr="000E2B5A" w:rsidRDefault="00C30233" w:rsidP="00A21A72">
            <w:pPr>
              <w:rPr>
                <w:sz w:val="20"/>
              </w:rPr>
            </w:pPr>
          </w:p>
        </w:tc>
        <w:tc>
          <w:tcPr>
            <w:tcW w:w="2012" w:type="dxa"/>
            <w:vMerge/>
          </w:tcPr>
          <w:p w:rsidR="00C30233" w:rsidRPr="000E2B5A" w:rsidRDefault="00C30233" w:rsidP="00A21A72">
            <w:pPr>
              <w:jc w:val="left"/>
              <w:rPr>
                <w:sz w:val="20"/>
              </w:rPr>
            </w:pPr>
          </w:p>
        </w:tc>
        <w:tc>
          <w:tcPr>
            <w:tcW w:w="2286" w:type="dxa"/>
          </w:tcPr>
          <w:p w:rsidR="00C30233" w:rsidRPr="000E2B5A" w:rsidRDefault="00C30233" w:rsidP="00A21A72">
            <w:pPr>
              <w:jc w:val="left"/>
              <w:rPr>
                <w:sz w:val="20"/>
              </w:rPr>
            </w:pPr>
            <w:r w:rsidRPr="000E2B5A">
              <w:rPr>
                <w:sz w:val="20"/>
              </w:rPr>
              <w:t>2 months of sowing legumes and vegetables.</w:t>
            </w:r>
          </w:p>
        </w:tc>
        <w:tc>
          <w:tcPr>
            <w:tcW w:w="1467" w:type="dxa"/>
            <w:vMerge/>
          </w:tcPr>
          <w:p w:rsidR="00C30233" w:rsidRPr="000E2B5A" w:rsidRDefault="00C30233" w:rsidP="00A21A72">
            <w:pPr>
              <w:rPr>
                <w:sz w:val="20"/>
              </w:rPr>
            </w:pPr>
          </w:p>
        </w:tc>
      </w:tr>
      <w:tr w:rsidR="00C30233" w:rsidRPr="000E2B5A" w:rsidTr="00C30233">
        <w:trPr>
          <w:trHeight w:val="508"/>
        </w:trPr>
        <w:tc>
          <w:tcPr>
            <w:tcW w:w="1143" w:type="dxa"/>
          </w:tcPr>
          <w:p w:rsidR="00C30233" w:rsidRPr="000E2B5A" w:rsidRDefault="00C30233" w:rsidP="00A21A72">
            <w:pPr>
              <w:rPr>
                <w:sz w:val="20"/>
              </w:rPr>
            </w:pPr>
            <w:r w:rsidRPr="000E2B5A">
              <w:rPr>
                <w:sz w:val="20"/>
              </w:rPr>
              <w:t>699</w:t>
            </w:r>
          </w:p>
        </w:tc>
        <w:tc>
          <w:tcPr>
            <w:tcW w:w="2012" w:type="dxa"/>
            <w:vMerge/>
          </w:tcPr>
          <w:p w:rsidR="00C30233" w:rsidRPr="000E2B5A" w:rsidRDefault="00C30233" w:rsidP="00A21A72">
            <w:pPr>
              <w:jc w:val="left"/>
              <w:rPr>
                <w:sz w:val="20"/>
              </w:rPr>
            </w:pPr>
          </w:p>
        </w:tc>
        <w:tc>
          <w:tcPr>
            <w:tcW w:w="2286" w:type="dxa"/>
          </w:tcPr>
          <w:p w:rsidR="00C30233" w:rsidRPr="000E2B5A" w:rsidRDefault="00C30233" w:rsidP="00A21A72">
            <w:pPr>
              <w:jc w:val="left"/>
              <w:rPr>
                <w:sz w:val="20"/>
              </w:rPr>
            </w:pPr>
            <w:r w:rsidRPr="000E2B5A">
              <w:rPr>
                <w:sz w:val="20"/>
              </w:rPr>
              <w:t>1 month of hoeing weeds for hay.</w:t>
            </w:r>
          </w:p>
        </w:tc>
        <w:tc>
          <w:tcPr>
            <w:tcW w:w="1467" w:type="dxa"/>
            <w:vMerge/>
          </w:tcPr>
          <w:p w:rsidR="00C30233" w:rsidRPr="000E2B5A" w:rsidRDefault="00C30233" w:rsidP="00A21A72">
            <w:pPr>
              <w:rPr>
                <w:sz w:val="20"/>
              </w:rPr>
            </w:pPr>
          </w:p>
        </w:tc>
      </w:tr>
    </w:tbl>
    <w:p w:rsidR="00692DB6" w:rsidRPr="000E2B5A" w:rsidRDefault="00692DB6" w:rsidP="00692DB6">
      <w:pPr>
        <w:rPr>
          <w:sz w:val="22"/>
          <w:lang w:val="en-GB"/>
        </w:rPr>
      </w:pPr>
    </w:p>
    <w:p w:rsidR="00692DB6" w:rsidRPr="000E2B5A" w:rsidRDefault="00692DB6" w:rsidP="00692DB6">
      <w:pPr>
        <w:rPr>
          <w:sz w:val="22"/>
          <w:lang w:val="en-GB"/>
        </w:rPr>
      </w:pPr>
      <w:r w:rsidRPr="000E2B5A">
        <w:rPr>
          <w:sz w:val="22"/>
          <w:lang w:val="en-GB"/>
        </w:rPr>
        <w:t xml:space="preserve">The Biblical record is that Sennacherib invaded in the fourteenth year of Hezekiah (2 Kgs 18:13). Since the work of E. R. Thiele, the fourteenth year of Hezekiah has </w:t>
      </w:r>
      <w:r w:rsidRPr="000E2B5A">
        <w:rPr>
          <w:sz w:val="22"/>
          <w:lang w:val="en-GB"/>
        </w:rPr>
        <w:lastRenderedPageBreak/>
        <w:t>been dated to 701</w:t>
      </w:r>
      <w:r w:rsidRPr="000E2B5A">
        <w:rPr>
          <w:rStyle w:val="FootnoteReference"/>
          <w:sz w:val="22"/>
          <w:lang w:val="en-GB"/>
        </w:rPr>
        <w:footnoteReference w:id="83"/>
      </w:r>
      <w:r w:rsidRPr="000E2B5A">
        <w:rPr>
          <w:sz w:val="22"/>
          <w:lang w:val="en-GB"/>
        </w:rPr>
        <w:t xml:space="preserve"> and Biblical chronology has been harmonized with Assyrian chronology.   Given that Judah reckoned regnal years from Tishri to Tishri,</w:t>
      </w:r>
      <w:r w:rsidRPr="000E2B5A">
        <w:rPr>
          <w:rStyle w:val="FootnoteReference"/>
          <w:sz w:val="22"/>
          <w:lang w:val="en-GB"/>
        </w:rPr>
        <w:footnoteReference w:id="84"/>
      </w:r>
      <w:r w:rsidRPr="000E2B5A">
        <w:rPr>
          <w:sz w:val="22"/>
          <w:lang w:val="en-GB"/>
        </w:rPr>
        <w:t xml:space="preserve"> the fifteenth and sixteenth years of Hezekiah would have been Sabbatical and Jubilee years. </w:t>
      </w:r>
    </w:p>
    <w:p w:rsidR="00C30233" w:rsidRPr="000E2B5A" w:rsidRDefault="00C30233" w:rsidP="0014388F">
      <w:pPr>
        <w:rPr>
          <w:sz w:val="22"/>
          <w:lang w:val="en-GB"/>
        </w:rPr>
      </w:pPr>
    </w:p>
    <w:p w:rsidR="00CB5D06" w:rsidRPr="000E2B5A" w:rsidRDefault="00CB5D06" w:rsidP="0014388F">
      <w:pPr>
        <w:rPr>
          <w:rFonts w:ascii="Bradley Hand ITC" w:hAnsi="Bradley Hand ITC"/>
          <w:b/>
          <w:sz w:val="28"/>
          <w:lang w:val="en-GB"/>
        </w:rPr>
      </w:pPr>
      <w:r w:rsidRPr="000E2B5A">
        <w:rPr>
          <w:rFonts w:ascii="Bradley Hand ITC" w:hAnsi="Bradley Hand ITC"/>
          <w:b/>
          <w:sz w:val="28"/>
          <w:lang w:val="en-GB"/>
        </w:rPr>
        <w:t>Passover Deliverance</w:t>
      </w:r>
      <w:r w:rsidR="00236C68" w:rsidRPr="000E2B5A">
        <w:rPr>
          <w:rFonts w:ascii="Bradley Hand ITC" w:hAnsi="Bradley Hand ITC"/>
          <w:b/>
          <w:sz w:val="28"/>
          <w:lang w:val="en-GB"/>
        </w:rPr>
        <w:t>?</w:t>
      </w:r>
    </w:p>
    <w:p w:rsidR="00CB5D06" w:rsidRPr="000E2B5A" w:rsidRDefault="00CB5D06" w:rsidP="0014388F">
      <w:pPr>
        <w:rPr>
          <w:sz w:val="22"/>
          <w:lang w:val="en-GB"/>
        </w:rPr>
      </w:pPr>
      <w:r w:rsidRPr="000E2B5A">
        <w:rPr>
          <w:sz w:val="22"/>
          <w:lang w:val="en-GB"/>
        </w:rPr>
        <w:t xml:space="preserve">It follows from the above analysis that Jerusalem was not delivered </w:t>
      </w:r>
      <w:r w:rsidRPr="000E2B5A">
        <w:rPr>
          <w:b/>
          <w:sz w:val="22"/>
          <w:lang w:val="en-GB"/>
        </w:rPr>
        <w:t xml:space="preserve">at </w:t>
      </w:r>
      <w:r w:rsidRPr="000E2B5A">
        <w:rPr>
          <w:sz w:val="22"/>
          <w:lang w:val="en-GB"/>
        </w:rPr>
        <w:t xml:space="preserve">Passover. However, this does not prevent the Spirit from </w:t>
      </w:r>
      <w:r w:rsidRPr="000E2B5A">
        <w:rPr>
          <w:b/>
          <w:sz w:val="22"/>
          <w:lang w:val="en-GB"/>
        </w:rPr>
        <w:t>comparing</w:t>
      </w:r>
      <w:r w:rsidRPr="000E2B5A">
        <w:rPr>
          <w:sz w:val="22"/>
          <w:lang w:val="en-GB"/>
        </w:rPr>
        <w:t xml:space="preserve"> the deliverance </w:t>
      </w:r>
      <w:r w:rsidR="005258A8" w:rsidRPr="000E2B5A">
        <w:rPr>
          <w:sz w:val="22"/>
          <w:lang w:val="en-GB"/>
        </w:rPr>
        <w:t xml:space="preserve">of Jerusalem </w:t>
      </w:r>
      <w:r w:rsidRPr="000E2B5A">
        <w:rPr>
          <w:sz w:val="22"/>
          <w:lang w:val="en-GB"/>
        </w:rPr>
        <w:t xml:space="preserve">to the Passover deliverance of the </w:t>
      </w:r>
      <w:r w:rsidR="00044B54" w:rsidRPr="000E2B5A">
        <w:rPr>
          <w:sz w:val="22"/>
          <w:lang w:val="en-GB"/>
        </w:rPr>
        <w:t>e</w:t>
      </w:r>
      <w:r w:rsidRPr="000E2B5A">
        <w:rPr>
          <w:sz w:val="22"/>
          <w:lang w:val="en-GB"/>
        </w:rPr>
        <w:t>xodus. Passover was celebrated on the 14</w:t>
      </w:r>
      <w:r w:rsidRPr="000E2B5A">
        <w:rPr>
          <w:sz w:val="22"/>
          <w:vertAlign w:val="superscript"/>
          <w:lang w:val="en-GB"/>
        </w:rPr>
        <w:t>th</w:t>
      </w:r>
      <w:r w:rsidRPr="000E2B5A">
        <w:rPr>
          <w:sz w:val="22"/>
          <w:lang w:val="en-GB"/>
        </w:rPr>
        <w:t>/15</w:t>
      </w:r>
      <w:r w:rsidRPr="000E2B5A">
        <w:rPr>
          <w:sz w:val="22"/>
          <w:vertAlign w:val="superscript"/>
          <w:lang w:val="en-GB"/>
        </w:rPr>
        <w:t>th</w:t>
      </w:r>
      <w:r w:rsidRPr="000E2B5A">
        <w:rPr>
          <w:sz w:val="22"/>
          <w:lang w:val="en-GB"/>
        </w:rPr>
        <w:t xml:space="preserve"> Nissan and there is no evidence that this was the date of the </w:t>
      </w:r>
      <w:r w:rsidR="00207266" w:rsidRPr="000E2B5A">
        <w:rPr>
          <w:sz w:val="22"/>
          <w:lang w:val="en-GB"/>
        </w:rPr>
        <w:t>destruction of the Assyrian army.</w:t>
      </w:r>
    </w:p>
    <w:p w:rsidR="00207266" w:rsidRPr="000E2B5A" w:rsidRDefault="00207266" w:rsidP="0014388F">
      <w:pPr>
        <w:rPr>
          <w:sz w:val="22"/>
          <w:lang w:val="en-GB"/>
        </w:rPr>
      </w:pPr>
    </w:p>
    <w:p w:rsidR="00044B54" w:rsidRPr="000E2B5A" w:rsidRDefault="00044B54" w:rsidP="0014388F">
      <w:pPr>
        <w:rPr>
          <w:sz w:val="22"/>
          <w:lang w:val="en-GB"/>
        </w:rPr>
      </w:pPr>
      <w:r w:rsidRPr="000E2B5A">
        <w:rPr>
          <w:sz w:val="22"/>
          <w:lang w:val="en-GB"/>
        </w:rPr>
        <w:t xml:space="preserve">The story of the exodus is a source of types and patterns. Thus, we can see in Isaiah the typological use of the wilderness journey as well as the crossing of the Red Sea. These two types, although part of the exodus story, are distinct from any typology based upon the Passover </w:t>
      </w:r>
      <w:r w:rsidR="007E4797" w:rsidRPr="000E2B5A">
        <w:rPr>
          <w:sz w:val="22"/>
          <w:lang w:val="en-GB"/>
        </w:rPr>
        <w:t>N</w:t>
      </w:r>
      <w:r w:rsidRPr="000E2B5A">
        <w:rPr>
          <w:sz w:val="22"/>
          <w:lang w:val="en-GB"/>
        </w:rPr>
        <w:t>ight. The application of these types in Isaiah varies depending upon where we are in the story of the times. For example,</w:t>
      </w:r>
    </w:p>
    <w:p w:rsidR="00044B54" w:rsidRPr="000E2B5A" w:rsidRDefault="00044B54" w:rsidP="0014388F">
      <w:pPr>
        <w:rPr>
          <w:sz w:val="22"/>
          <w:lang w:val="en-GB"/>
        </w:rPr>
      </w:pPr>
    </w:p>
    <w:p w:rsidR="00044B54" w:rsidRPr="000E2B5A" w:rsidRDefault="00044B54" w:rsidP="009D7207">
      <w:pPr>
        <w:numPr>
          <w:ilvl w:val="0"/>
          <w:numId w:val="13"/>
        </w:numPr>
        <w:ind w:left="360"/>
        <w:rPr>
          <w:sz w:val="22"/>
          <w:lang w:val="en-GB"/>
        </w:rPr>
      </w:pPr>
      <w:r w:rsidRPr="000E2B5A">
        <w:rPr>
          <w:sz w:val="22"/>
          <w:lang w:val="en-GB"/>
        </w:rPr>
        <w:t xml:space="preserve">The </w:t>
      </w:r>
      <w:r w:rsidR="009D7207" w:rsidRPr="000E2B5A">
        <w:rPr>
          <w:sz w:val="22"/>
          <w:lang w:val="en-GB"/>
        </w:rPr>
        <w:t>C</w:t>
      </w:r>
      <w:r w:rsidRPr="000E2B5A">
        <w:rPr>
          <w:sz w:val="22"/>
          <w:lang w:val="en-GB"/>
        </w:rPr>
        <w:t>rossing of the Red Sea is a type for the redeemed of the Lord (Sennacherib</w:t>
      </w:r>
      <w:r w:rsidR="005D74CB" w:rsidRPr="000E2B5A">
        <w:rPr>
          <w:sz w:val="22"/>
          <w:lang w:val="en-GB"/>
        </w:rPr>
        <w:t>’</w:t>
      </w:r>
      <w:r w:rsidRPr="000E2B5A">
        <w:rPr>
          <w:sz w:val="22"/>
          <w:lang w:val="en-GB"/>
        </w:rPr>
        <w:t xml:space="preserve">s deportees) to return to Jerusalem </w:t>
      </w:r>
      <w:r w:rsidR="003B02B7" w:rsidRPr="000E2B5A">
        <w:rPr>
          <w:sz w:val="22"/>
          <w:lang w:val="en-GB"/>
        </w:rPr>
        <w:t>in</w:t>
      </w:r>
      <w:r w:rsidRPr="000E2B5A">
        <w:rPr>
          <w:sz w:val="22"/>
          <w:lang w:val="en-GB"/>
        </w:rPr>
        <w:t xml:space="preserve"> 701</w:t>
      </w:r>
      <w:r w:rsidR="003B02B7" w:rsidRPr="000E2B5A">
        <w:rPr>
          <w:sz w:val="22"/>
          <w:lang w:val="en-GB"/>
        </w:rPr>
        <w:t>-700</w:t>
      </w:r>
      <w:r w:rsidRPr="000E2B5A">
        <w:rPr>
          <w:sz w:val="22"/>
          <w:lang w:val="en-GB"/>
        </w:rPr>
        <w:t xml:space="preserve"> (Isa 52:9-11). It is also used in a comparison with the return of captives from Edom (Isa 63:</w:t>
      </w:r>
      <w:r w:rsidR="003B02B7" w:rsidRPr="000E2B5A">
        <w:rPr>
          <w:sz w:val="22"/>
          <w:lang w:val="en-GB"/>
        </w:rPr>
        <w:t>11-12) in 700-699.</w:t>
      </w:r>
    </w:p>
    <w:p w:rsidR="00044B54" w:rsidRPr="000E2B5A" w:rsidRDefault="00044B54" w:rsidP="009D7207">
      <w:pPr>
        <w:rPr>
          <w:sz w:val="22"/>
          <w:lang w:val="en-GB"/>
        </w:rPr>
      </w:pPr>
    </w:p>
    <w:p w:rsidR="003B02B7" w:rsidRPr="000E2B5A" w:rsidRDefault="003B02B7" w:rsidP="009D7207">
      <w:pPr>
        <w:numPr>
          <w:ilvl w:val="0"/>
          <w:numId w:val="13"/>
        </w:numPr>
        <w:ind w:left="360"/>
        <w:rPr>
          <w:sz w:val="22"/>
          <w:lang w:val="en-GB"/>
        </w:rPr>
      </w:pPr>
      <w:r w:rsidRPr="000E2B5A">
        <w:rPr>
          <w:sz w:val="22"/>
          <w:lang w:val="en-GB"/>
        </w:rPr>
        <w:t xml:space="preserve">The confidence of Passover </w:t>
      </w:r>
      <w:r w:rsidR="009D7207" w:rsidRPr="000E2B5A">
        <w:rPr>
          <w:sz w:val="22"/>
          <w:lang w:val="en-GB"/>
        </w:rPr>
        <w:t>N</w:t>
      </w:r>
      <w:r w:rsidRPr="000E2B5A">
        <w:rPr>
          <w:sz w:val="22"/>
          <w:lang w:val="en-GB"/>
        </w:rPr>
        <w:t>ight (Exod 14:19) is appealed to in Isa 52:12 to encourage the Judahite army to go out from Jerusalem and engage Edom in 700-699.</w:t>
      </w:r>
    </w:p>
    <w:p w:rsidR="003B02B7" w:rsidRPr="000E2B5A" w:rsidRDefault="003B02B7" w:rsidP="009D7207">
      <w:pPr>
        <w:rPr>
          <w:sz w:val="22"/>
          <w:lang w:val="en-GB"/>
        </w:rPr>
      </w:pPr>
    </w:p>
    <w:p w:rsidR="003B02B7" w:rsidRPr="000E2B5A" w:rsidRDefault="003B02B7" w:rsidP="009D7207">
      <w:pPr>
        <w:numPr>
          <w:ilvl w:val="0"/>
          <w:numId w:val="13"/>
        </w:numPr>
        <w:ind w:left="360"/>
        <w:rPr>
          <w:sz w:val="22"/>
          <w:lang w:val="en-GB"/>
        </w:rPr>
      </w:pPr>
      <w:r w:rsidRPr="000E2B5A">
        <w:rPr>
          <w:sz w:val="22"/>
          <w:lang w:val="en-GB"/>
        </w:rPr>
        <w:t>Safety during the Wilderness Journey is the type appealed to in Isa 43:2-4 to encourage deportees in Babylon to return in 700 during Sennacherib</w:t>
      </w:r>
      <w:r w:rsidR="005D74CB" w:rsidRPr="000E2B5A">
        <w:rPr>
          <w:sz w:val="22"/>
          <w:lang w:val="en-GB"/>
        </w:rPr>
        <w:t>’</w:t>
      </w:r>
      <w:r w:rsidRPr="000E2B5A">
        <w:rPr>
          <w:sz w:val="22"/>
          <w:lang w:val="en-GB"/>
        </w:rPr>
        <w:t>s campaign against Babylonia in that year.</w:t>
      </w:r>
    </w:p>
    <w:p w:rsidR="009D7207" w:rsidRPr="000E2B5A" w:rsidRDefault="009D7207" w:rsidP="0014388F">
      <w:pPr>
        <w:rPr>
          <w:sz w:val="22"/>
          <w:lang w:val="en-GB"/>
        </w:rPr>
      </w:pPr>
    </w:p>
    <w:p w:rsidR="009D7207" w:rsidRPr="000E2B5A" w:rsidRDefault="009D7207" w:rsidP="0014388F">
      <w:pPr>
        <w:rPr>
          <w:sz w:val="22"/>
          <w:lang w:val="en-GB"/>
        </w:rPr>
      </w:pPr>
      <w:r w:rsidRPr="000E2B5A">
        <w:rPr>
          <w:sz w:val="22"/>
          <w:lang w:val="en-GB"/>
        </w:rPr>
        <w:t xml:space="preserve">These examples use different types but we should distinguish the Crossing of the Red Sea from the Wilderness Journey and these again from the Passover Night. Israel was delivered from the Angel of Death on Passover Night; they were delivered again from the Egyptian army at the Red Sea; and during the Wilderness </w:t>
      </w:r>
      <w:r w:rsidRPr="000E2B5A">
        <w:rPr>
          <w:sz w:val="22"/>
          <w:lang w:val="en-GB"/>
        </w:rPr>
        <w:lastRenderedPageBreak/>
        <w:t xml:space="preserve">Journey, they were delivered from enemies like the Amalekites. There are multiple deliverances which can serve as types, but they are not collectively an </w:t>
      </w:r>
      <w:r w:rsidR="005D74CB" w:rsidRPr="000E2B5A">
        <w:rPr>
          <w:sz w:val="22"/>
          <w:lang w:val="en-GB"/>
        </w:rPr>
        <w:t>“</w:t>
      </w:r>
      <w:r w:rsidRPr="000E2B5A">
        <w:rPr>
          <w:sz w:val="22"/>
          <w:lang w:val="en-GB"/>
        </w:rPr>
        <w:t>ancient Passover experience</w:t>
      </w:r>
      <w:r w:rsidR="005D74CB" w:rsidRPr="000E2B5A">
        <w:rPr>
          <w:sz w:val="22"/>
          <w:lang w:val="en-GB"/>
        </w:rPr>
        <w:t>”</w:t>
      </w:r>
      <w:r w:rsidRPr="000E2B5A">
        <w:rPr>
          <w:sz w:val="22"/>
          <w:lang w:val="en-GB"/>
        </w:rPr>
        <w:t>.</w:t>
      </w:r>
      <w:r w:rsidRPr="000E2B5A">
        <w:rPr>
          <w:rStyle w:val="FootnoteReference"/>
          <w:sz w:val="22"/>
          <w:lang w:val="en-GB"/>
        </w:rPr>
        <w:footnoteReference w:id="85"/>
      </w:r>
      <w:r w:rsidRPr="000E2B5A">
        <w:rPr>
          <w:sz w:val="22"/>
          <w:lang w:val="en-GB"/>
        </w:rPr>
        <w:t xml:space="preserve"> Isaiah has no strong emphasis </w:t>
      </w:r>
      <w:r w:rsidR="005D74CB" w:rsidRPr="000E2B5A">
        <w:rPr>
          <w:sz w:val="22"/>
          <w:lang w:val="en-GB"/>
        </w:rPr>
        <w:t>“</w:t>
      </w:r>
      <w:r w:rsidRPr="000E2B5A">
        <w:rPr>
          <w:sz w:val="22"/>
          <w:lang w:val="en-GB"/>
        </w:rPr>
        <w:t>on the Passover deliverance of Israel under Moses</w:t>
      </w:r>
      <w:r w:rsidR="005D74CB" w:rsidRPr="000E2B5A">
        <w:rPr>
          <w:sz w:val="22"/>
          <w:lang w:val="en-GB"/>
        </w:rPr>
        <w:t>”</w:t>
      </w:r>
      <w:r w:rsidRPr="000E2B5A">
        <w:rPr>
          <w:sz w:val="22"/>
          <w:lang w:val="en-GB"/>
        </w:rPr>
        <w:t>;</w:t>
      </w:r>
      <w:r w:rsidRPr="000E2B5A">
        <w:rPr>
          <w:rStyle w:val="FootnoteReference"/>
          <w:sz w:val="22"/>
          <w:lang w:val="en-GB"/>
        </w:rPr>
        <w:footnoteReference w:id="86"/>
      </w:r>
      <w:r w:rsidRPr="000E2B5A">
        <w:rPr>
          <w:sz w:val="22"/>
          <w:lang w:val="en-GB"/>
        </w:rPr>
        <w:t xml:space="preserve"> instead, he has an emphasis upon a </w:t>
      </w:r>
      <w:r w:rsidRPr="000E2B5A">
        <w:rPr>
          <w:b/>
          <w:sz w:val="22"/>
          <w:lang w:val="en-GB"/>
        </w:rPr>
        <w:t>new exodus</w:t>
      </w:r>
      <w:r w:rsidRPr="000E2B5A">
        <w:rPr>
          <w:sz w:val="22"/>
          <w:lang w:val="en-GB"/>
        </w:rPr>
        <w:t xml:space="preserve"> of deportees returning to Judah.</w:t>
      </w:r>
    </w:p>
    <w:p w:rsidR="003B02B7" w:rsidRPr="000E2B5A" w:rsidRDefault="003B02B7" w:rsidP="0014388F">
      <w:pPr>
        <w:rPr>
          <w:sz w:val="22"/>
          <w:lang w:val="en-GB"/>
        </w:rPr>
      </w:pPr>
    </w:p>
    <w:p w:rsidR="007E4797" w:rsidRPr="000E2B5A" w:rsidRDefault="007E4797" w:rsidP="0014388F">
      <w:pPr>
        <w:rPr>
          <w:sz w:val="22"/>
          <w:lang w:val="en-GB"/>
        </w:rPr>
      </w:pPr>
      <w:r w:rsidRPr="000E2B5A">
        <w:rPr>
          <w:sz w:val="22"/>
          <w:lang w:val="en-GB"/>
        </w:rPr>
        <w:t xml:space="preserve">Instead, what we have is </w:t>
      </w:r>
      <w:r w:rsidR="005A107B" w:rsidRPr="000E2B5A">
        <w:rPr>
          <w:sz w:val="22"/>
          <w:lang w:val="en-GB"/>
        </w:rPr>
        <w:t xml:space="preserve">the </w:t>
      </w:r>
      <w:r w:rsidR="005A107B" w:rsidRPr="000E2B5A">
        <w:rPr>
          <w:b/>
          <w:sz w:val="22"/>
          <w:lang w:val="en-GB"/>
        </w:rPr>
        <w:t>language of comparison</w:t>
      </w:r>
      <w:r w:rsidRPr="000E2B5A">
        <w:rPr>
          <w:sz w:val="22"/>
          <w:lang w:val="en-GB"/>
        </w:rPr>
        <w:t xml:space="preserve"> between deliverance from Sennacherib</w:t>
      </w:r>
      <w:r w:rsidR="005D74CB" w:rsidRPr="000E2B5A">
        <w:rPr>
          <w:sz w:val="22"/>
          <w:lang w:val="en-GB"/>
        </w:rPr>
        <w:t>’</w:t>
      </w:r>
      <w:r w:rsidRPr="000E2B5A">
        <w:rPr>
          <w:sz w:val="22"/>
          <w:lang w:val="en-GB"/>
        </w:rPr>
        <w:t>s army and deliverance at Passover:</w:t>
      </w:r>
    </w:p>
    <w:p w:rsidR="007E4797" w:rsidRPr="000E2B5A" w:rsidRDefault="007E4797" w:rsidP="0014388F">
      <w:pPr>
        <w:rPr>
          <w:sz w:val="22"/>
          <w:lang w:val="en-GB"/>
        </w:rPr>
      </w:pPr>
    </w:p>
    <w:p w:rsidR="007E4797" w:rsidRPr="000E2B5A" w:rsidRDefault="007E4797" w:rsidP="005A107B">
      <w:pPr>
        <w:pStyle w:val="Quote"/>
        <w:rPr>
          <w:lang w:eastAsia="en-GB"/>
        </w:rPr>
      </w:pPr>
      <w:r w:rsidRPr="000E2B5A">
        <w:rPr>
          <w:lang w:eastAsia="en-GB"/>
        </w:rPr>
        <w:t xml:space="preserve">Ye shall have a song, </w:t>
      </w:r>
      <w:r w:rsidRPr="000E2B5A">
        <w:rPr>
          <w:u w:val="single"/>
          <w:lang w:eastAsia="en-GB"/>
        </w:rPr>
        <w:t>as</w:t>
      </w:r>
      <w:r w:rsidRPr="000E2B5A">
        <w:rPr>
          <w:lang w:eastAsia="en-GB"/>
        </w:rPr>
        <w:t xml:space="preserve"> in the night </w:t>
      </w:r>
      <w:r w:rsidRPr="000E2B5A">
        <w:rPr>
          <w:i/>
          <w:iCs/>
          <w:lang w:eastAsia="en-GB"/>
        </w:rPr>
        <w:t xml:space="preserve">when </w:t>
      </w:r>
      <w:r w:rsidRPr="000E2B5A">
        <w:rPr>
          <w:lang w:eastAsia="en-GB"/>
        </w:rPr>
        <w:t xml:space="preserve">the holy </w:t>
      </w:r>
      <w:r w:rsidR="003217FF" w:rsidRPr="000E2B5A">
        <w:rPr>
          <w:lang w:eastAsia="en-GB"/>
        </w:rPr>
        <w:t>feast</w:t>
      </w:r>
      <w:r w:rsidRPr="000E2B5A">
        <w:rPr>
          <w:lang w:eastAsia="en-GB"/>
        </w:rPr>
        <w:t xml:space="preserve"> is kept</w:t>
      </w:r>
      <w:r w:rsidR="005A107B" w:rsidRPr="000E2B5A">
        <w:rPr>
          <w:lang w:eastAsia="en-GB"/>
        </w:rPr>
        <w:t xml:space="preserve">; and gladness of heart, </w:t>
      </w:r>
      <w:r w:rsidR="005A107B" w:rsidRPr="000E2B5A">
        <w:rPr>
          <w:u w:val="single"/>
          <w:lang w:eastAsia="en-GB"/>
        </w:rPr>
        <w:t>as</w:t>
      </w:r>
      <w:r w:rsidR="005A107B" w:rsidRPr="000E2B5A">
        <w:rPr>
          <w:lang w:eastAsia="en-GB"/>
        </w:rPr>
        <w:t xml:space="preserve"> when one goeth with a pipe to come into the mountain of the Lord, to the mighty One of Israel.</w:t>
      </w:r>
      <w:r w:rsidRPr="000E2B5A">
        <w:rPr>
          <w:lang w:eastAsia="en-GB"/>
        </w:rPr>
        <w:t xml:space="preserve"> Isa 30:29 (KJV revised)</w:t>
      </w:r>
    </w:p>
    <w:p w:rsidR="007E4797" w:rsidRPr="000E2B5A" w:rsidRDefault="007E4797" w:rsidP="007E4797">
      <w:pPr>
        <w:rPr>
          <w:lang w:val="en-GB" w:eastAsia="en-GB" w:bidi="he-IL"/>
        </w:rPr>
      </w:pPr>
    </w:p>
    <w:p w:rsidR="007E4797" w:rsidRPr="000E2B5A" w:rsidRDefault="007E4797" w:rsidP="007E4797">
      <w:pPr>
        <w:rPr>
          <w:lang w:val="en-GB" w:eastAsia="en-GB" w:bidi="he-IL"/>
        </w:rPr>
      </w:pPr>
      <w:r w:rsidRPr="000E2B5A">
        <w:rPr>
          <w:lang w:val="en-GB" w:eastAsia="en-GB" w:bidi="he-IL"/>
        </w:rPr>
        <w:t xml:space="preserve">The point here is that the people would sing </w:t>
      </w:r>
      <w:r w:rsidRPr="000E2B5A">
        <w:rPr>
          <w:b/>
          <w:lang w:val="en-GB" w:eastAsia="en-GB" w:bidi="he-IL"/>
        </w:rPr>
        <w:t>as</w:t>
      </w:r>
      <w:r w:rsidRPr="000E2B5A">
        <w:rPr>
          <w:lang w:val="en-GB" w:eastAsia="en-GB" w:bidi="he-IL"/>
        </w:rPr>
        <w:t xml:space="preserve"> (</w:t>
      </w:r>
      <w:r w:rsidRPr="000E2B5A">
        <w:rPr>
          <w:rFonts w:ascii="Bwhebb" w:hAnsi="Bwhebb"/>
          <w:sz w:val="28"/>
          <w:lang w:val="en-GB" w:eastAsia="en-GB" w:bidi="he-IL"/>
        </w:rPr>
        <w:t>k</w:t>
      </w:r>
      <w:r w:rsidRPr="000E2B5A">
        <w:rPr>
          <w:lang w:val="en-GB" w:eastAsia="en-GB" w:bidi="he-IL"/>
        </w:rPr>
        <w:t>) they do when they keep the holy solemnity</w:t>
      </w:r>
      <w:r w:rsidR="005A107B" w:rsidRPr="000E2B5A">
        <w:rPr>
          <w:lang w:val="en-GB" w:eastAsia="en-GB" w:bidi="he-IL"/>
        </w:rPr>
        <w:t xml:space="preserve"> (and </w:t>
      </w:r>
      <w:r w:rsidR="005A107B" w:rsidRPr="000E2B5A">
        <w:rPr>
          <w:b/>
          <w:lang w:val="en-GB" w:eastAsia="en-GB" w:bidi="he-IL"/>
        </w:rPr>
        <w:t>as</w:t>
      </w:r>
      <w:r w:rsidR="005A107B" w:rsidRPr="000E2B5A">
        <w:rPr>
          <w:lang w:val="en-GB" w:eastAsia="en-GB" w:bidi="he-IL"/>
        </w:rPr>
        <w:t xml:space="preserve"> (</w:t>
      </w:r>
      <w:r w:rsidR="005A107B" w:rsidRPr="000E2B5A">
        <w:rPr>
          <w:rFonts w:ascii="Bwhebb" w:hAnsi="Bwhebb"/>
          <w:sz w:val="28"/>
          <w:lang w:val="en-GB" w:eastAsia="en-GB" w:bidi="he-IL"/>
        </w:rPr>
        <w:t>k</w:t>
      </w:r>
      <w:r w:rsidR="005A107B" w:rsidRPr="000E2B5A">
        <w:rPr>
          <w:lang w:val="en-GB" w:eastAsia="en-GB" w:bidi="he-IL"/>
        </w:rPr>
        <w:t>) when there were processions to Zion)</w:t>
      </w:r>
      <w:r w:rsidRPr="000E2B5A">
        <w:rPr>
          <w:lang w:val="en-GB" w:eastAsia="en-GB" w:bidi="he-IL"/>
        </w:rPr>
        <w:t xml:space="preserve">. The comparative particle </w:t>
      </w:r>
      <w:r w:rsidR="005D74CB" w:rsidRPr="000E2B5A">
        <w:rPr>
          <w:lang w:val="en-GB" w:eastAsia="en-GB" w:bidi="he-IL"/>
        </w:rPr>
        <w:t>“</w:t>
      </w:r>
      <w:r w:rsidRPr="000E2B5A">
        <w:rPr>
          <w:lang w:val="en-GB" w:eastAsia="en-GB" w:bidi="he-IL"/>
        </w:rPr>
        <w:t>as</w:t>
      </w:r>
      <w:r w:rsidR="005D74CB" w:rsidRPr="000E2B5A">
        <w:rPr>
          <w:lang w:val="en-GB" w:eastAsia="en-GB" w:bidi="he-IL"/>
        </w:rPr>
        <w:t>”</w:t>
      </w:r>
      <w:r w:rsidRPr="000E2B5A">
        <w:rPr>
          <w:lang w:val="en-GB" w:eastAsia="en-GB" w:bidi="he-IL"/>
        </w:rPr>
        <w:t xml:space="preserve"> is important—the night </w:t>
      </w:r>
      <w:r w:rsidR="005A107B" w:rsidRPr="000E2B5A">
        <w:rPr>
          <w:lang w:val="en-GB" w:eastAsia="en-GB" w:bidi="he-IL"/>
        </w:rPr>
        <w:t xml:space="preserve">in which they would be delivered </w:t>
      </w:r>
      <w:r w:rsidRPr="000E2B5A">
        <w:rPr>
          <w:lang w:val="en-GB" w:eastAsia="en-GB" w:bidi="he-IL"/>
        </w:rPr>
        <w:t xml:space="preserve">is not actually the night of Passover but it will be </w:t>
      </w:r>
      <w:r w:rsidRPr="000E2B5A">
        <w:rPr>
          <w:b/>
          <w:lang w:val="en-GB" w:eastAsia="en-GB" w:bidi="he-IL"/>
        </w:rPr>
        <w:t>like</w:t>
      </w:r>
      <w:r w:rsidRPr="000E2B5A">
        <w:rPr>
          <w:lang w:val="en-GB" w:eastAsia="en-GB" w:bidi="he-IL"/>
        </w:rPr>
        <w:t xml:space="preserve"> Passover for its singing</w:t>
      </w:r>
      <w:r w:rsidR="005A107B" w:rsidRPr="000E2B5A">
        <w:rPr>
          <w:lang w:val="en-GB" w:eastAsia="en-GB" w:bidi="he-IL"/>
        </w:rPr>
        <w:t xml:space="preserve"> afterwards</w:t>
      </w:r>
      <w:r w:rsidRPr="000E2B5A">
        <w:rPr>
          <w:lang w:val="en-GB" w:eastAsia="en-GB" w:bidi="he-IL"/>
        </w:rPr>
        <w:t>.</w:t>
      </w:r>
      <w:r w:rsidR="00A674F7" w:rsidRPr="000E2B5A">
        <w:rPr>
          <w:rStyle w:val="FootnoteReference"/>
          <w:lang w:val="en-GB" w:eastAsia="en-GB" w:bidi="he-IL"/>
        </w:rPr>
        <w:footnoteReference w:id="87"/>
      </w:r>
    </w:p>
    <w:p w:rsidR="003B02B7" w:rsidRPr="000E2B5A" w:rsidRDefault="003B02B7" w:rsidP="0014388F">
      <w:pPr>
        <w:rPr>
          <w:sz w:val="22"/>
          <w:lang w:val="en-GB"/>
        </w:rPr>
      </w:pPr>
    </w:p>
    <w:p w:rsidR="00545312" w:rsidRPr="000E2B5A" w:rsidRDefault="000D1212" w:rsidP="0014388F">
      <w:pPr>
        <w:rPr>
          <w:sz w:val="22"/>
          <w:lang w:val="en-GB"/>
        </w:rPr>
      </w:pPr>
      <w:r w:rsidRPr="000E2B5A">
        <w:rPr>
          <w:sz w:val="22"/>
          <w:lang w:val="en-GB"/>
        </w:rPr>
        <w:t>Hence, a song celebrating the deliverance of Jerusalem can be prophesied and it can contain echoes of the Passover deliverance. Such a song is contained in Isaiah 26 which was to be sung in the land of Judah after the deliverance of Jerusalem (v. 1) and at a time in the restoration of Judah when the land had expanded and the nation had increased (v. 15).</w:t>
      </w:r>
    </w:p>
    <w:p w:rsidR="003B02B7" w:rsidRPr="000E2B5A" w:rsidRDefault="003B02B7" w:rsidP="0014388F">
      <w:pPr>
        <w:rPr>
          <w:sz w:val="22"/>
          <w:lang w:val="en-GB"/>
        </w:rPr>
      </w:pPr>
    </w:p>
    <w:p w:rsidR="00044B54" w:rsidRPr="000E2B5A" w:rsidRDefault="000D1212" w:rsidP="0014388F">
      <w:pPr>
        <w:rPr>
          <w:rFonts w:ascii="Bradley Hand ITC" w:hAnsi="Bradley Hand ITC"/>
          <w:b/>
          <w:sz w:val="28"/>
          <w:lang w:val="en-GB"/>
        </w:rPr>
      </w:pPr>
      <w:r w:rsidRPr="000E2B5A">
        <w:rPr>
          <w:rFonts w:ascii="Bradley Hand ITC" w:hAnsi="Bradley Hand ITC"/>
          <w:b/>
          <w:sz w:val="28"/>
          <w:lang w:val="en-GB"/>
        </w:rPr>
        <w:t>Conclusion</w:t>
      </w:r>
    </w:p>
    <w:p w:rsidR="000D1212" w:rsidRPr="000E2B5A" w:rsidRDefault="002D391E" w:rsidP="002D391E">
      <w:pPr>
        <w:rPr>
          <w:sz w:val="22"/>
          <w:lang w:val="en-GB"/>
        </w:rPr>
      </w:pPr>
      <w:r w:rsidRPr="000E2B5A">
        <w:rPr>
          <w:sz w:val="22"/>
        </w:rPr>
        <w:t xml:space="preserve">There is a three year sequence </w:t>
      </w:r>
      <w:r w:rsidR="0023319B" w:rsidRPr="000E2B5A">
        <w:rPr>
          <w:sz w:val="22"/>
        </w:rPr>
        <w:t xml:space="preserve">to note in later Isaiah </w:t>
      </w:r>
      <w:r w:rsidRPr="000E2B5A">
        <w:rPr>
          <w:sz w:val="22"/>
        </w:rPr>
        <w:t xml:space="preserve">that starts in the autumn of 701 which is when the Assyrian army was decimated outside the walls of Jerusalem. During the invasion, the land had been ravaged; agricultural labourers had been deported, fled or sought refuge in cities; and stores and stocks taken to feed the Assyrian confederacy. The autumn of 701 would signal deliverance but also the need for much work to be done in any land that the Judahite army could protect. </w:t>
      </w:r>
      <w:r w:rsidR="0023319B" w:rsidRPr="000E2B5A">
        <w:rPr>
          <w:sz w:val="22"/>
        </w:rPr>
        <w:t xml:space="preserve">But </w:t>
      </w:r>
      <w:r w:rsidR="0023319B" w:rsidRPr="000E2B5A">
        <w:rPr>
          <w:sz w:val="22"/>
        </w:rPr>
        <w:lastRenderedPageBreak/>
        <w:t xml:space="preserve">instead of taking up the work of sowing and planting, Hezekiah was commanded to observe the Sabbatical </w:t>
      </w:r>
      <w:r w:rsidR="00692DB6" w:rsidRPr="000E2B5A">
        <w:rPr>
          <w:sz w:val="22"/>
        </w:rPr>
        <w:t>a</w:t>
      </w:r>
      <w:r w:rsidR="0023319B" w:rsidRPr="000E2B5A">
        <w:rPr>
          <w:sz w:val="22"/>
        </w:rPr>
        <w:t>nd Jubilee years</w:t>
      </w:r>
      <w:r w:rsidRPr="000E2B5A">
        <w:rPr>
          <w:sz w:val="22"/>
        </w:rPr>
        <w:t xml:space="preserve">. </w:t>
      </w:r>
      <w:r w:rsidR="0023319B" w:rsidRPr="000E2B5A">
        <w:rPr>
          <w:sz w:val="22"/>
        </w:rPr>
        <w:t>There would be</w:t>
      </w:r>
      <w:r w:rsidRPr="000E2B5A">
        <w:rPr>
          <w:sz w:val="22"/>
        </w:rPr>
        <w:t xml:space="preserve"> two years in </w:t>
      </w:r>
      <w:r w:rsidR="0023319B" w:rsidRPr="000E2B5A">
        <w:rPr>
          <w:sz w:val="22"/>
        </w:rPr>
        <w:t>which the people would eat “that which grew</w:t>
      </w:r>
      <w:r w:rsidRPr="000E2B5A">
        <w:rPr>
          <w:sz w:val="22"/>
        </w:rPr>
        <w:t xml:space="preserve"> of itself”</w:t>
      </w:r>
      <w:r w:rsidR="0023319B" w:rsidRPr="000E2B5A">
        <w:rPr>
          <w:sz w:val="22"/>
        </w:rPr>
        <w:t>—during this time the Judahite army would liberate the people and retake the land—the land would abundantly bring forth its sustenance naturally and this would be a sign to the people that Yahweh was with them in their work of vengeance on the surrounding nations.</w:t>
      </w:r>
    </w:p>
    <w:p w:rsidR="00207266" w:rsidRPr="000E2B5A" w:rsidRDefault="00207266" w:rsidP="0014388F">
      <w:pPr>
        <w:rPr>
          <w:sz w:val="22"/>
          <w:lang w:val="en-GB"/>
        </w:rPr>
      </w:pPr>
    </w:p>
    <w:p w:rsidR="0094774B" w:rsidRPr="000E2B5A" w:rsidRDefault="0094774B" w:rsidP="00A674F7">
      <w:pPr>
        <w:jc w:val="left"/>
        <w:rPr>
          <w:rFonts w:ascii="Bradley Hand ITC" w:hAnsi="Bradley Hand ITC"/>
          <w:b/>
          <w:sz w:val="28"/>
          <w:lang w:val="en-GB"/>
        </w:rPr>
      </w:pPr>
      <w:r w:rsidRPr="000E2B5A">
        <w:rPr>
          <w:rFonts w:ascii="Bradley Hand ITC" w:hAnsi="Bradley Hand ITC"/>
          <w:b/>
          <w:sz w:val="28"/>
          <w:lang w:val="en-GB"/>
        </w:rPr>
        <w:t>News- eReaders</w:t>
      </w:r>
      <w:r w:rsidR="00E7048A" w:rsidRPr="000E2B5A">
        <w:rPr>
          <w:rFonts w:ascii="Bradley Hand ITC" w:hAnsi="Bradley Hand ITC"/>
          <w:b/>
          <w:sz w:val="28"/>
          <w:lang w:val="en-GB"/>
        </w:rPr>
        <w:t xml:space="preserve"> - AP</w:t>
      </w:r>
    </w:p>
    <w:p w:rsidR="0094774B" w:rsidRPr="000E2B5A" w:rsidRDefault="0094774B" w:rsidP="0014388F">
      <w:pPr>
        <w:rPr>
          <w:b/>
          <w:sz w:val="22"/>
          <w:lang w:val="en-GB"/>
        </w:rPr>
      </w:pPr>
    </w:p>
    <w:p w:rsidR="0094774B" w:rsidRPr="000E2B5A" w:rsidRDefault="0094774B" w:rsidP="0014388F">
      <w:pPr>
        <w:rPr>
          <w:sz w:val="22"/>
          <w:lang w:val="en-GB"/>
        </w:rPr>
      </w:pPr>
      <w:r w:rsidRPr="000E2B5A">
        <w:rPr>
          <w:sz w:val="22"/>
          <w:lang w:val="en-GB"/>
        </w:rPr>
        <w:t xml:space="preserve">Subscribers may already upload the PDF to their eReader (if they have one), but </w:t>
      </w:r>
      <w:r w:rsidR="00D0681F" w:rsidRPr="000E2B5A">
        <w:rPr>
          <w:sz w:val="22"/>
          <w:lang w:val="en-GB"/>
        </w:rPr>
        <w:t xml:space="preserve">a </w:t>
      </w:r>
      <w:r w:rsidRPr="000E2B5A">
        <w:rPr>
          <w:sz w:val="22"/>
          <w:lang w:val="en-GB"/>
        </w:rPr>
        <w:t xml:space="preserve">PDF may not be the best format for </w:t>
      </w:r>
      <w:r w:rsidR="00D0681F" w:rsidRPr="000E2B5A">
        <w:rPr>
          <w:sz w:val="22"/>
          <w:lang w:val="en-GB"/>
        </w:rPr>
        <w:t>an</w:t>
      </w:r>
      <w:r w:rsidRPr="000E2B5A">
        <w:rPr>
          <w:sz w:val="22"/>
          <w:lang w:val="en-GB"/>
        </w:rPr>
        <w:t xml:space="preserve"> eReader. Consequently, the EJournal will also be available on request in ePUB and MOBI format for eReaders which display and handle content in those formats in a </w:t>
      </w:r>
      <w:r w:rsidR="00D0681F" w:rsidRPr="000E2B5A">
        <w:rPr>
          <w:sz w:val="22"/>
          <w:lang w:val="en-GB"/>
        </w:rPr>
        <w:t>different</w:t>
      </w:r>
      <w:r w:rsidRPr="000E2B5A">
        <w:rPr>
          <w:sz w:val="22"/>
          <w:lang w:val="en-GB"/>
        </w:rPr>
        <w:t xml:space="preserve"> way.</w:t>
      </w:r>
    </w:p>
    <w:p w:rsidR="0094774B" w:rsidRPr="000E2B5A" w:rsidRDefault="0094774B" w:rsidP="0014388F">
      <w:pPr>
        <w:rPr>
          <w:sz w:val="22"/>
          <w:lang w:val="en-GB"/>
        </w:rPr>
      </w:pPr>
    </w:p>
    <w:p w:rsidR="0094774B" w:rsidRPr="000E2B5A" w:rsidRDefault="0094774B" w:rsidP="0014388F">
      <w:pPr>
        <w:rPr>
          <w:sz w:val="22"/>
          <w:lang w:val="en-GB"/>
        </w:rPr>
      </w:pPr>
      <w:r w:rsidRPr="000E2B5A">
        <w:rPr>
          <w:sz w:val="22"/>
          <w:lang w:val="en-GB"/>
        </w:rPr>
        <w:t xml:space="preserve">Amazon </w:t>
      </w:r>
      <w:r w:rsidR="00D0681F" w:rsidRPr="000E2B5A">
        <w:rPr>
          <w:sz w:val="22"/>
          <w:lang w:val="en-GB"/>
        </w:rPr>
        <w:t>supports</w:t>
      </w:r>
      <w:r w:rsidRPr="000E2B5A">
        <w:rPr>
          <w:sz w:val="22"/>
          <w:lang w:val="en-GB"/>
        </w:rPr>
        <w:t xml:space="preserve"> a free email delivery service for </w:t>
      </w:r>
      <w:r w:rsidR="00D0681F" w:rsidRPr="000E2B5A">
        <w:rPr>
          <w:sz w:val="22"/>
          <w:lang w:val="en-GB"/>
        </w:rPr>
        <w:t>its</w:t>
      </w:r>
      <w:r w:rsidRPr="000E2B5A">
        <w:rPr>
          <w:sz w:val="22"/>
          <w:lang w:val="en-GB"/>
        </w:rPr>
        <w:t xml:space="preserve"> Kindle eReader (called Whispernet). Subscribers who have a Kindle may like to have an additional copy of the EJournal emailed to their device directly via Whispernet. Again, this is available on request, for which we will need the relevant email address.</w:t>
      </w:r>
    </w:p>
    <w:p w:rsidR="0094774B" w:rsidRPr="000E2B5A" w:rsidRDefault="0094774B" w:rsidP="0014388F">
      <w:pPr>
        <w:rPr>
          <w:rFonts w:ascii="Bradley Hand ITC" w:hAnsi="Bradley Hand ITC"/>
          <w:b/>
          <w:sz w:val="22"/>
          <w:lang w:val="en-GB"/>
        </w:rPr>
      </w:pPr>
    </w:p>
    <w:p w:rsidR="00CB6CF3" w:rsidRPr="000E2B5A" w:rsidRDefault="00CB6CF3" w:rsidP="0014388F">
      <w:pPr>
        <w:rPr>
          <w:rFonts w:ascii="Bradley Hand ITC" w:hAnsi="Bradley Hand ITC"/>
          <w:b/>
          <w:sz w:val="28"/>
          <w:lang w:val="en-GB"/>
        </w:rPr>
      </w:pPr>
      <w:r w:rsidRPr="000E2B5A">
        <w:rPr>
          <w:rFonts w:ascii="Bradley Hand ITC" w:hAnsi="Bradley Hand ITC"/>
          <w:b/>
          <w:sz w:val="28"/>
          <w:lang w:val="en-GB"/>
        </w:rPr>
        <w:t xml:space="preserve">News – SOTS </w:t>
      </w:r>
      <w:r w:rsidR="00411EDC" w:rsidRPr="000E2B5A">
        <w:rPr>
          <w:rFonts w:ascii="Bradley Hand ITC" w:hAnsi="Bradley Hand ITC"/>
          <w:b/>
          <w:sz w:val="28"/>
          <w:lang w:val="en-GB"/>
        </w:rPr>
        <w:t xml:space="preserve">Winter </w:t>
      </w:r>
      <w:r w:rsidRPr="000E2B5A">
        <w:rPr>
          <w:rFonts w:ascii="Bradley Hand ITC" w:hAnsi="Bradley Hand ITC"/>
          <w:b/>
          <w:sz w:val="28"/>
          <w:lang w:val="en-GB"/>
        </w:rPr>
        <w:t>2011</w:t>
      </w:r>
    </w:p>
    <w:p w:rsidR="00CB6CF3" w:rsidRPr="000E2B5A" w:rsidRDefault="00CB6CF3" w:rsidP="0014388F">
      <w:pPr>
        <w:rPr>
          <w:sz w:val="22"/>
          <w:lang w:val="en-GB"/>
        </w:rPr>
      </w:pPr>
    </w:p>
    <w:p w:rsidR="00F21695" w:rsidRPr="000E2B5A" w:rsidRDefault="00F21695" w:rsidP="0014388F">
      <w:pPr>
        <w:rPr>
          <w:sz w:val="22"/>
          <w:lang w:val="en-GB"/>
        </w:rPr>
      </w:pPr>
      <w:r w:rsidRPr="000E2B5A">
        <w:rPr>
          <w:sz w:val="22"/>
          <w:lang w:val="en-GB"/>
        </w:rPr>
        <w:t>The Society of Old Testament Studies (SOTS) met in Collingwood College, Durham University from Jan 4</w:t>
      </w:r>
      <w:r w:rsidRPr="000E2B5A">
        <w:rPr>
          <w:sz w:val="22"/>
          <w:vertAlign w:val="superscript"/>
          <w:lang w:val="en-GB"/>
        </w:rPr>
        <w:t>th</w:t>
      </w:r>
      <w:r w:rsidRPr="000E2B5A">
        <w:rPr>
          <w:sz w:val="22"/>
          <w:lang w:val="en-GB"/>
        </w:rPr>
        <w:t xml:space="preserve"> to Jan 6</w:t>
      </w:r>
      <w:r w:rsidRPr="000E2B5A">
        <w:rPr>
          <w:sz w:val="22"/>
          <w:vertAlign w:val="superscript"/>
          <w:lang w:val="en-GB"/>
        </w:rPr>
        <w:t>th</w:t>
      </w:r>
      <w:r w:rsidRPr="000E2B5A">
        <w:rPr>
          <w:sz w:val="22"/>
          <w:lang w:val="en-GB"/>
        </w:rPr>
        <w:t xml:space="preserve">; about a hundred and fifty persons listened to lectures and presentations on various topics. SOTS is the premier Old Testament society in the UK, and it is comprised of the UK academic community, their current doctoral students, past students who have migrated abroad and others who have pursued work in the churches. It is a very collegiate group of friends who have been meeting twice a year for many years; it is mainly comprised of men, older men, but there is probably a roughly 70/30 split in the sexes. </w:t>
      </w:r>
    </w:p>
    <w:p w:rsidR="00F21695" w:rsidRPr="000E2B5A" w:rsidRDefault="00F21695" w:rsidP="0014388F">
      <w:pPr>
        <w:rPr>
          <w:sz w:val="22"/>
          <w:lang w:val="en-GB"/>
        </w:rPr>
      </w:pPr>
    </w:p>
    <w:p w:rsidR="00CF01D0" w:rsidRPr="000E2B5A" w:rsidRDefault="00F21695" w:rsidP="0014388F">
      <w:pPr>
        <w:rPr>
          <w:sz w:val="22"/>
          <w:lang w:val="en-GB"/>
        </w:rPr>
      </w:pPr>
      <w:r w:rsidRPr="000E2B5A">
        <w:rPr>
          <w:sz w:val="22"/>
          <w:lang w:val="en-GB"/>
        </w:rPr>
        <w:t xml:space="preserve">The talks this time were of little value to the Bible student, and on my sampling of the twice-yearly conference, I would say that a Bible student of the Abrahamic monotheistic Christian faith should look for a relatively low return in insights into the Biblical text from attendance – perhaps a 10-20% return. The reasons for this are: </w:t>
      </w:r>
      <w:r w:rsidR="00411EDC" w:rsidRPr="000E2B5A">
        <w:rPr>
          <w:sz w:val="22"/>
          <w:lang w:val="en-GB"/>
        </w:rPr>
        <w:t>some talks (like this time) will be on non-Biblical books or tangential historical topics, for example this year, the Wisdom of Ben Sira and the names of pottery inscribed on pots; some talks will be focussed on peripheral areas in Biblical Studies, for example, this time we had talks on the interpretation of the Bible in the eighteenth centur</w:t>
      </w:r>
      <w:r w:rsidR="005E725D" w:rsidRPr="000E2B5A">
        <w:rPr>
          <w:sz w:val="22"/>
          <w:lang w:val="en-GB"/>
        </w:rPr>
        <w:t>y</w:t>
      </w:r>
      <w:r w:rsidR="00411EDC" w:rsidRPr="000E2B5A">
        <w:rPr>
          <w:sz w:val="22"/>
          <w:lang w:val="en-GB"/>
        </w:rPr>
        <w:t xml:space="preserve"> and the cultural penetration of the Bible in the modern age. Anoth</w:t>
      </w:r>
      <w:r w:rsidR="005E725D" w:rsidRPr="000E2B5A">
        <w:rPr>
          <w:sz w:val="22"/>
          <w:lang w:val="en-GB"/>
        </w:rPr>
        <w:t xml:space="preserve">er reason for the low return </w:t>
      </w:r>
      <w:r w:rsidR="00411EDC" w:rsidRPr="000E2B5A">
        <w:rPr>
          <w:sz w:val="22"/>
          <w:lang w:val="en-GB"/>
        </w:rPr>
        <w:t xml:space="preserve">for understanding the Bible text is the predominance of the </w:t>
      </w:r>
      <w:r w:rsidR="005D4EF8" w:rsidRPr="000E2B5A">
        <w:rPr>
          <w:sz w:val="22"/>
          <w:lang w:val="en-GB"/>
        </w:rPr>
        <w:t>historico-</w:t>
      </w:r>
      <w:r w:rsidR="00411EDC" w:rsidRPr="000E2B5A">
        <w:rPr>
          <w:sz w:val="22"/>
          <w:lang w:val="en-GB"/>
        </w:rPr>
        <w:t xml:space="preserve">critical approach with </w:t>
      </w:r>
      <w:r w:rsidR="005D4EF8" w:rsidRPr="000E2B5A">
        <w:rPr>
          <w:sz w:val="22"/>
          <w:lang w:val="en-GB"/>
        </w:rPr>
        <w:t>its materialist</w:t>
      </w:r>
      <w:r w:rsidR="00411EDC" w:rsidRPr="000E2B5A">
        <w:rPr>
          <w:sz w:val="22"/>
          <w:lang w:val="en-GB"/>
        </w:rPr>
        <w:t xml:space="preserve"> presumptions </w:t>
      </w:r>
      <w:r w:rsidR="00411EDC" w:rsidRPr="000E2B5A">
        <w:rPr>
          <w:sz w:val="22"/>
          <w:lang w:val="en-GB"/>
        </w:rPr>
        <w:lastRenderedPageBreak/>
        <w:t xml:space="preserve">and rejection of the Bible as inspired. This milieu acts as deadweight dragging an individual back from advancing his or her understanding of the text. A relative outsider can see this malaise but insiders are unaware of the situation. </w:t>
      </w:r>
    </w:p>
    <w:p w:rsidR="00CF01D0" w:rsidRPr="000E2B5A" w:rsidRDefault="00CF01D0" w:rsidP="0014388F">
      <w:pPr>
        <w:rPr>
          <w:sz w:val="22"/>
          <w:lang w:val="en-GB"/>
        </w:rPr>
      </w:pPr>
    </w:p>
    <w:p w:rsidR="00F21695" w:rsidRPr="000E2B5A" w:rsidRDefault="00CF01D0" w:rsidP="0014388F">
      <w:pPr>
        <w:rPr>
          <w:sz w:val="22"/>
          <w:lang w:val="en-GB"/>
        </w:rPr>
      </w:pPr>
      <w:r w:rsidRPr="000E2B5A">
        <w:rPr>
          <w:sz w:val="22"/>
          <w:lang w:val="en-GB"/>
        </w:rPr>
        <w:t xml:space="preserve">Nevertheless, in the talks that are centred on the Biblical text, there are usually some things of value, and some can be outstanding. This time the only talk of value was by J. W. A Sawyer on the “Here </w:t>
      </w:r>
      <w:r w:rsidRPr="000E2B5A">
        <w:rPr>
          <w:i/>
          <w:sz w:val="22"/>
          <w:lang w:val="en-GB"/>
        </w:rPr>
        <w:t xml:space="preserve">am </w:t>
      </w:r>
      <w:r w:rsidRPr="000E2B5A">
        <w:rPr>
          <w:sz w:val="22"/>
          <w:lang w:val="en-GB"/>
        </w:rPr>
        <w:t>I” (</w:t>
      </w:r>
      <w:r w:rsidRPr="000E2B5A">
        <w:rPr>
          <w:rFonts w:ascii="Bwhebb" w:hAnsi="Bwhebb" w:cs="Bwhebb"/>
          <w:color w:val="auto"/>
          <w:sz w:val="28"/>
          <w:szCs w:val="36"/>
          <w:lang w:eastAsia="en-GB" w:bidi="he-IL"/>
        </w:rPr>
        <w:t>ynnh</w:t>
      </w:r>
      <w:r w:rsidRPr="000E2B5A">
        <w:rPr>
          <w:sz w:val="22"/>
          <w:lang w:val="en-GB"/>
        </w:rPr>
        <w:t xml:space="preserve">) of Isa 6:8; the expression could be rendered, “Behold, me”—it is the ordinary Hebrew for “Behold/Look” with a first person suffix. Sawyer’s observations were two: </w:t>
      </w:r>
      <w:r w:rsidR="005E725D" w:rsidRPr="000E2B5A">
        <w:rPr>
          <w:sz w:val="22"/>
          <w:lang w:val="en-GB"/>
        </w:rPr>
        <w:t xml:space="preserve">first, </w:t>
      </w:r>
      <w:r w:rsidRPr="000E2B5A">
        <w:rPr>
          <w:sz w:val="22"/>
          <w:lang w:val="en-GB"/>
        </w:rPr>
        <w:t xml:space="preserve">the expression is used in </w:t>
      </w:r>
      <w:r w:rsidR="00844712" w:rsidRPr="000E2B5A">
        <w:rPr>
          <w:sz w:val="22"/>
          <w:lang w:val="en-GB"/>
        </w:rPr>
        <w:t xml:space="preserve">a </w:t>
      </w:r>
      <w:r w:rsidRPr="000E2B5A">
        <w:rPr>
          <w:sz w:val="22"/>
          <w:lang w:val="en-GB"/>
        </w:rPr>
        <w:t>service and subordinate context</w:t>
      </w:r>
      <w:r w:rsidR="00844712" w:rsidRPr="000E2B5A">
        <w:rPr>
          <w:sz w:val="22"/>
          <w:lang w:val="en-GB"/>
        </w:rPr>
        <w:t>;</w:t>
      </w:r>
      <w:r w:rsidRPr="000E2B5A">
        <w:rPr>
          <w:sz w:val="22"/>
          <w:lang w:val="en-GB"/>
        </w:rPr>
        <w:t xml:space="preserve"> </w:t>
      </w:r>
      <w:r w:rsidR="00844712" w:rsidRPr="000E2B5A">
        <w:rPr>
          <w:sz w:val="22"/>
          <w:lang w:val="en-GB"/>
        </w:rPr>
        <w:t xml:space="preserve">and </w:t>
      </w:r>
      <w:r w:rsidR="005E725D" w:rsidRPr="000E2B5A">
        <w:rPr>
          <w:sz w:val="22"/>
          <w:lang w:val="en-GB"/>
        </w:rPr>
        <w:t xml:space="preserve">secondly, </w:t>
      </w:r>
      <w:r w:rsidR="00844712" w:rsidRPr="000E2B5A">
        <w:rPr>
          <w:sz w:val="22"/>
          <w:lang w:val="en-GB"/>
        </w:rPr>
        <w:t>Isaiah is the only book to have the expression used by Yahweh—Isa 52:6, 58:9 and 65:1.</w:t>
      </w:r>
    </w:p>
    <w:p w:rsidR="00844712" w:rsidRPr="000E2B5A" w:rsidRDefault="00844712" w:rsidP="0014388F">
      <w:pPr>
        <w:rPr>
          <w:sz w:val="22"/>
          <w:lang w:val="en-GB"/>
        </w:rPr>
      </w:pPr>
    </w:p>
    <w:p w:rsidR="005D7954" w:rsidRPr="000E2B5A" w:rsidRDefault="00844712" w:rsidP="0014388F">
      <w:pPr>
        <w:rPr>
          <w:sz w:val="22"/>
          <w:lang w:val="en-GB"/>
        </w:rPr>
      </w:pPr>
      <w:r w:rsidRPr="000E2B5A">
        <w:rPr>
          <w:sz w:val="22"/>
          <w:lang w:val="en-GB"/>
        </w:rPr>
        <w:t xml:space="preserve">What does it mean for God to say, “Behold, </w:t>
      </w:r>
      <w:r w:rsidRPr="000E2B5A">
        <w:rPr>
          <w:i/>
          <w:sz w:val="22"/>
          <w:lang w:val="en-GB"/>
        </w:rPr>
        <w:t xml:space="preserve">it is </w:t>
      </w:r>
      <w:r w:rsidRPr="000E2B5A">
        <w:rPr>
          <w:sz w:val="22"/>
          <w:lang w:val="en-GB"/>
        </w:rPr>
        <w:t xml:space="preserve">I” (Isa 52:6); “Here I </w:t>
      </w:r>
      <w:r w:rsidRPr="000E2B5A">
        <w:rPr>
          <w:i/>
          <w:sz w:val="22"/>
          <w:lang w:val="en-GB"/>
        </w:rPr>
        <w:t>am</w:t>
      </w:r>
      <w:r w:rsidRPr="000E2B5A">
        <w:rPr>
          <w:sz w:val="22"/>
          <w:lang w:val="en-GB"/>
        </w:rPr>
        <w:t xml:space="preserve">” (Isa 58:9) and “Behold me, behold me” (Isa 65:1)? This use of </w:t>
      </w:r>
      <w:r w:rsidRPr="000E2B5A">
        <w:rPr>
          <w:rFonts w:ascii="Bwhebb" w:hAnsi="Bwhebb" w:cs="Bwhebb"/>
          <w:color w:val="auto"/>
          <w:sz w:val="28"/>
          <w:szCs w:val="36"/>
          <w:lang w:eastAsia="en-GB" w:bidi="he-IL"/>
        </w:rPr>
        <w:t>ynnh</w:t>
      </w:r>
      <w:r w:rsidRPr="000E2B5A">
        <w:rPr>
          <w:sz w:val="22"/>
          <w:lang w:val="en-GB"/>
        </w:rPr>
        <w:t xml:space="preserve"> is not unusual but it is not the most common. Samuel is the classic example when he replies to Yahweh, “Here </w:t>
      </w:r>
      <w:r w:rsidRPr="000E2B5A">
        <w:rPr>
          <w:i/>
          <w:sz w:val="22"/>
          <w:lang w:val="en-GB"/>
        </w:rPr>
        <w:t>am</w:t>
      </w:r>
      <w:r w:rsidRPr="000E2B5A">
        <w:rPr>
          <w:sz w:val="22"/>
          <w:lang w:val="en-GB"/>
        </w:rPr>
        <w:t xml:space="preserve"> I” (1 Sam 3:4f). However, the Hebrew is mostly used for stress with a verb </w:t>
      </w:r>
      <w:r w:rsidR="005D7954" w:rsidRPr="000E2B5A">
        <w:rPr>
          <w:sz w:val="22"/>
          <w:lang w:val="en-GB"/>
        </w:rPr>
        <w:t xml:space="preserve">“Behold I/me...[verb]”. The uses in Isaiah in which </w:t>
      </w:r>
      <w:r w:rsidR="005E725D" w:rsidRPr="000E2B5A">
        <w:rPr>
          <w:sz w:val="22"/>
          <w:lang w:val="en-GB"/>
        </w:rPr>
        <w:t xml:space="preserve">we </w:t>
      </w:r>
      <w:r w:rsidR="005D7954" w:rsidRPr="000E2B5A">
        <w:rPr>
          <w:sz w:val="22"/>
          <w:lang w:val="en-GB"/>
        </w:rPr>
        <w:t xml:space="preserve">are interested are concerned with the presentation of self. </w:t>
      </w:r>
    </w:p>
    <w:p w:rsidR="005D7954" w:rsidRPr="000E2B5A" w:rsidRDefault="005D7954" w:rsidP="0014388F">
      <w:pPr>
        <w:rPr>
          <w:sz w:val="22"/>
          <w:lang w:val="en-GB"/>
        </w:rPr>
      </w:pPr>
    </w:p>
    <w:p w:rsidR="00844712" w:rsidRPr="000E2B5A" w:rsidRDefault="005D7954" w:rsidP="0014388F">
      <w:pPr>
        <w:rPr>
          <w:sz w:val="22"/>
          <w:lang w:val="en-GB"/>
        </w:rPr>
      </w:pPr>
      <w:r w:rsidRPr="000E2B5A">
        <w:rPr>
          <w:sz w:val="22"/>
          <w:lang w:val="en-GB"/>
        </w:rPr>
        <w:t>Although Sawyer is a conventional critical scholar</w:t>
      </w:r>
      <w:r w:rsidR="005E725D" w:rsidRPr="000E2B5A">
        <w:rPr>
          <w:sz w:val="22"/>
          <w:lang w:val="en-GB"/>
        </w:rPr>
        <w:t xml:space="preserve"> and wouldn’t say this</w:t>
      </w:r>
      <w:r w:rsidRPr="000E2B5A">
        <w:rPr>
          <w:sz w:val="22"/>
          <w:lang w:val="en-GB"/>
        </w:rPr>
        <w:t>, this unique aspect of Isaiah—</w:t>
      </w:r>
      <w:r w:rsidR="005E725D" w:rsidRPr="000E2B5A">
        <w:rPr>
          <w:sz w:val="22"/>
          <w:lang w:val="en-GB"/>
        </w:rPr>
        <w:t>the use of</w:t>
      </w:r>
      <w:r w:rsidRPr="000E2B5A">
        <w:rPr>
          <w:sz w:val="22"/>
          <w:lang w:val="en-GB"/>
        </w:rPr>
        <w:t xml:space="preserve"> </w:t>
      </w:r>
      <w:r w:rsidRPr="000E2B5A">
        <w:rPr>
          <w:rFonts w:ascii="Bwhebb" w:hAnsi="Bwhebb" w:cs="Bwhebb"/>
          <w:color w:val="auto"/>
          <w:sz w:val="28"/>
          <w:szCs w:val="36"/>
          <w:lang w:eastAsia="en-GB" w:bidi="he-IL"/>
        </w:rPr>
        <w:t>ynnh</w:t>
      </w:r>
      <w:r w:rsidRPr="000E2B5A">
        <w:rPr>
          <w:sz w:val="22"/>
          <w:lang w:val="en-GB"/>
        </w:rPr>
        <w:t xml:space="preserve"> in the presentation of Yahweh himself</w:t>
      </w:r>
      <w:r w:rsidR="00E7048A" w:rsidRPr="000E2B5A">
        <w:rPr>
          <w:sz w:val="22"/>
          <w:lang w:val="en-GB"/>
        </w:rPr>
        <w:t xml:space="preserve"> as well as Isaiah</w:t>
      </w:r>
      <w:r w:rsidRPr="000E2B5A">
        <w:rPr>
          <w:sz w:val="22"/>
          <w:lang w:val="en-GB"/>
        </w:rPr>
        <w:t>—binds the book as the work of a single author rather than multiple authors</w:t>
      </w:r>
      <w:r w:rsidR="00E7048A" w:rsidRPr="000E2B5A">
        <w:rPr>
          <w:sz w:val="22"/>
          <w:lang w:val="en-GB"/>
        </w:rPr>
        <w:t xml:space="preserve"> (the critical view)</w:t>
      </w:r>
      <w:r w:rsidRPr="000E2B5A">
        <w:rPr>
          <w:sz w:val="22"/>
          <w:lang w:val="en-GB"/>
        </w:rPr>
        <w:t xml:space="preserve">. There are many </w:t>
      </w:r>
      <w:r w:rsidR="00D906EF" w:rsidRPr="000E2B5A">
        <w:rPr>
          <w:sz w:val="22"/>
          <w:lang w:val="en-GB"/>
        </w:rPr>
        <w:t xml:space="preserve">such </w:t>
      </w:r>
      <w:r w:rsidRPr="000E2B5A">
        <w:rPr>
          <w:sz w:val="22"/>
          <w:lang w:val="en-GB"/>
        </w:rPr>
        <w:t>common aspects of style across the book.</w:t>
      </w:r>
      <w:r w:rsidR="005E725D" w:rsidRPr="000E2B5A">
        <w:rPr>
          <w:sz w:val="22"/>
          <w:lang w:val="en-GB"/>
        </w:rPr>
        <w:t xml:space="preserve"> The use of</w:t>
      </w:r>
      <w:r w:rsidRPr="000E2B5A">
        <w:rPr>
          <w:sz w:val="22"/>
          <w:lang w:val="en-GB"/>
        </w:rPr>
        <w:t xml:space="preserve"> </w:t>
      </w:r>
      <w:r w:rsidRPr="000E2B5A">
        <w:rPr>
          <w:rFonts w:ascii="Bwhebb" w:hAnsi="Bwhebb" w:cs="Bwhebb"/>
          <w:color w:val="auto"/>
          <w:sz w:val="28"/>
          <w:szCs w:val="36"/>
          <w:lang w:eastAsia="en-GB" w:bidi="he-IL"/>
        </w:rPr>
        <w:t>ynnh</w:t>
      </w:r>
      <w:r w:rsidRPr="000E2B5A">
        <w:rPr>
          <w:sz w:val="22"/>
          <w:lang w:val="en-GB"/>
        </w:rPr>
        <w:t xml:space="preserve"> </w:t>
      </w:r>
      <w:r w:rsidR="005E725D" w:rsidRPr="000E2B5A">
        <w:rPr>
          <w:sz w:val="22"/>
          <w:lang w:val="en-GB"/>
        </w:rPr>
        <w:t xml:space="preserve">by </w:t>
      </w:r>
      <w:r w:rsidRPr="000E2B5A">
        <w:rPr>
          <w:sz w:val="22"/>
          <w:lang w:val="en-GB"/>
        </w:rPr>
        <w:t xml:space="preserve">Yahweh echoes Isaiah’s use and puts Yahweh in a complementary position of service—it illustrates the condescending grace of Yahweh and makes him like Isaiah or Samuel or any servant who presents himself for work: God will </w:t>
      </w:r>
      <w:r w:rsidR="00D906EF" w:rsidRPr="000E2B5A">
        <w:rPr>
          <w:i/>
          <w:sz w:val="22"/>
          <w:lang w:val="en-GB"/>
        </w:rPr>
        <w:t>do</w:t>
      </w:r>
      <w:r w:rsidR="00D906EF" w:rsidRPr="000E2B5A">
        <w:rPr>
          <w:sz w:val="22"/>
          <w:lang w:val="en-GB"/>
        </w:rPr>
        <w:t xml:space="preserve"> for those of faith who call and ask (Isa 58:9), in particular what he will do is to </w:t>
      </w:r>
      <w:r w:rsidR="00D906EF" w:rsidRPr="000E2B5A">
        <w:rPr>
          <w:i/>
          <w:sz w:val="22"/>
          <w:lang w:val="en-GB"/>
        </w:rPr>
        <w:t>speak</w:t>
      </w:r>
      <w:r w:rsidR="00D906EF" w:rsidRPr="000E2B5A">
        <w:rPr>
          <w:sz w:val="22"/>
          <w:lang w:val="en-GB"/>
        </w:rPr>
        <w:t xml:space="preserve"> (Isa 52:6).</w:t>
      </w:r>
      <w:r w:rsidRPr="000E2B5A">
        <w:rPr>
          <w:sz w:val="22"/>
          <w:lang w:val="en-GB"/>
        </w:rPr>
        <w:t xml:space="preserve"> </w:t>
      </w:r>
    </w:p>
    <w:p w:rsidR="00D906EF" w:rsidRPr="000E2B5A" w:rsidRDefault="00D906EF" w:rsidP="0014388F">
      <w:pPr>
        <w:rPr>
          <w:sz w:val="22"/>
          <w:lang w:val="en-GB"/>
        </w:rPr>
      </w:pPr>
    </w:p>
    <w:p w:rsidR="00036891" w:rsidRPr="000E2B5A" w:rsidRDefault="00D906EF" w:rsidP="0014388F">
      <w:pPr>
        <w:rPr>
          <w:sz w:val="22"/>
          <w:lang w:val="en-GB"/>
        </w:rPr>
      </w:pPr>
      <w:r w:rsidRPr="000E2B5A">
        <w:rPr>
          <w:sz w:val="22"/>
          <w:lang w:val="en-GB"/>
        </w:rPr>
        <w:t xml:space="preserve">Yahweh’s presentation of himself uses </w:t>
      </w:r>
      <w:r w:rsidRPr="000E2B5A">
        <w:rPr>
          <w:i/>
          <w:sz w:val="22"/>
          <w:lang w:val="en-GB"/>
        </w:rPr>
        <w:t>hinneh</w:t>
      </w:r>
      <w:r w:rsidRPr="000E2B5A">
        <w:rPr>
          <w:sz w:val="22"/>
          <w:lang w:val="en-GB"/>
        </w:rPr>
        <w:t xml:space="preserve"> (</w:t>
      </w:r>
      <w:r w:rsidRPr="000E2B5A">
        <w:rPr>
          <w:rFonts w:ascii="Bwhebb" w:hAnsi="Bwhebb" w:cs="Bwhebb"/>
          <w:color w:val="auto"/>
          <w:sz w:val="28"/>
          <w:szCs w:val="36"/>
          <w:lang w:eastAsia="en-GB" w:bidi="he-IL"/>
        </w:rPr>
        <w:t>hnh</w:t>
      </w:r>
      <w:r w:rsidRPr="000E2B5A">
        <w:rPr>
          <w:sz w:val="22"/>
          <w:lang w:val="en-GB"/>
        </w:rPr>
        <w:t xml:space="preserve">) with the first person; a related use </w:t>
      </w:r>
      <w:r w:rsidR="005E725D" w:rsidRPr="000E2B5A">
        <w:rPr>
          <w:sz w:val="22"/>
          <w:lang w:val="en-GB"/>
        </w:rPr>
        <w:t>is</w:t>
      </w:r>
      <w:r w:rsidRPr="000E2B5A">
        <w:rPr>
          <w:sz w:val="22"/>
          <w:lang w:val="en-GB"/>
        </w:rPr>
        <w:t xml:space="preserve"> </w:t>
      </w:r>
      <w:r w:rsidRPr="000E2B5A">
        <w:rPr>
          <w:i/>
          <w:sz w:val="22"/>
          <w:lang w:val="en-GB"/>
        </w:rPr>
        <w:t>h</w:t>
      </w:r>
      <w:r w:rsidR="005E725D" w:rsidRPr="000E2B5A">
        <w:rPr>
          <w:i/>
          <w:sz w:val="22"/>
          <w:lang w:val="en-GB"/>
        </w:rPr>
        <w:t>en</w:t>
      </w:r>
      <w:r w:rsidRPr="000E2B5A">
        <w:rPr>
          <w:sz w:val="22"/>
          <w:lang w:val="en-GB"/>
        </w:rPr>
        <w:t xml:space="preserve"> </w:t>
      </w:r>
      <w:r w:rsidR="005E725D" w:rsidRPr="000E2B5A">
        <w:rPr>
          <w:sz w:val="22"/>
          <w:lang w:val="en-GB"/>
        </w:rPr>
        <w:t>(</w:t>
      </w:r>
      <w:r w:rsidR="005E725D" w:rsidRPr="000E2B5A">
        <w:rPr>
          <w:rFonts w:ascii="Bwhebb" w:hAnsi="Bwhebb" w:cs="Bwhebb"/>
          <w:color w:val="auto"/>
          <w:sz w:val="28"/>
          <w:szCs w:val="36"/>
          <w:lang w:eastAsia="en-GB" w:bidi="he-IL"/>
        </w:rPr>
        <w:t>!h</w:t>
      </w:r>
      <w:r w:rsidR="005E725D" w:rsidRPr="000E2B5A">
        <w:rPr>
          <w:sz w:val="22"/>
          <w:lang w:val="en-GB"/>
        </w:rPr>
        <w:t xml:space="preserve">) </w:t>
      </w:r>
      <w:r w:rsidRPr="000E2B5A">
        <w:rPr>
          <w:sz w:val="22"/>
          <w:lang w:val="en-GB"/>
        </w:rPr>
        <w:t>with the third person, “Behold, my servant” (Isa 42:1)</w:t>
      </w:r>
      <w:r w:rsidR="005E725D" w:rsidRPr="000E2B5A">
        <w:rPr>
          <w:sz w:val="22"/>
          <w:lang w:val="en-GB"/>
        </w:rPr>
        <w:t xml:space="preserve">—the servant is presented to the people upon his </w:t>
      </w:r>
      <w:r w:rsidR="005D4EF8" w:rsidRPr="000E2B5A">
        <w:rPr>
          <w:sz w:val="22"/>
          <w:lang w:val="en-GB"/>
        </w:rPr>
        <w:t xml:space="preserve">victorious </w:t>
      </w:r>
      <w:r w:rsidR="005E725D" w:rsidRPr="000E2B5A">
        <w:rPr>
          <w:sz w:val="22"/>
          <w:lang w:val="en-GB"/>
        </w:rPr>
        <w:t>return from the east (the other side of Jordan). This presentation will be used ironically by Pilate when he says “Behold, the man” (John 19:5) b</w:t>
      </w:r>
      <w:r w:rsidR="00036891" w:rsidRPr="000E2B5A">
        <w:rPr>
          <w:sz w:val="22"/>
          <w:lang w:val="en-GB"/>
        </w:rPr>
        <w:t>ut also as an unintentional allusion to Isaiah.</w:t>
      </w:r>
    </w:p>
    <w:p w:rsidR="00036891" w:rsidRPr="000E2B5A" w:rsidRDefault="00036891" w:rsidP="0014388F">
      <w:pPr>
        <w:rPr>
          <w:sz w:val="22"/>
          <w:lang w:val="en-GB"/>
        </w:rPr>
      </w:pPr>
    </w:p>
    <w:p w:rsidR="00D906EF" w:rsidRPr="000E2B5A" w:rsidRDefault="00036891" w:rsidP="0014388F">
      <w:pPr>
        <w:rPr>
          <w:sz w:val="22"/>
          <w:lang w:val="en-GB"/>
        </w:rPr>
      </w:pPr>
      <w:r w:rsidRPr="000E2B5A">
        <w:rPr>
          <w:sz w:val="22"/>
          <w:lang w:val="en-GB"/>
        </w:rPr>
        <w:t>One good talk is not a good return</w:t>
      </w:r>
      <w:r w:rsidR="005D4EF8" w:rsidRPr="000E2B5A">
        <w:rPr>
          <w:sz w:val="22"/>
          <w:lang w:val="en-GB"/>
        </w:rPr>
        <w:t xml:space="preserve"> on a £22 attendance fee</w:t>
      </w:r>
      <w:r w:rsidRPr="000E2B5A">
        <w:rPr>
          <w:sz w:val="22"/>
          <w:lang w:val="en-GB"/>
        </w:rPr>
        <w:t xml:space="preserve"> and SOTS is usually better; but there </w:t>
      </w:r>
      <w:r w:rsidR="005D4EF8" w:rsidRPr="000E2B5A">
        <w:rPr>
          <w:sz w:val="22"/>
          <w:lang w:val="en-GB"/>
        </w:rPr>
        <w:t>was</w:t>
      </w:r>
      <w:r w:rsidRPr="000E2B5A">
        <w:rPr>
          <w:sz w:val="22"/>
          <w:lang w:val="en-GB"/>
        </w:rPr>
        <w:t xml:space="preserve"> the consolation of the 50% discount on books on the bookstalls. </w:t>
      </w:r>
      <w:r w:rsidR="005E725D" w:rsidRPr="000E2B5A">
        <w:rPr>
          <w:sz w:val="22"/>
          <w:lang w:val="en-GB"/>
        </w:rPr>
        <w:t xml:space="preserve"> </w:t>
      </w:r>
      <w:r w:rsidR="00D906EF" w:rsidRPr="000E2B5A">
        <w:rPr>
          <w:sz w:val="22"/>
          <w:lang w:val="en-GB"/>
        </w:rPr>
        <w:t xml:space="preserve"> </w:t>
      </w:r>
    </w:p>
    <w:p w:rsidR="00F21695" w:rsidRPr="000E2B5A" w:rsidRDefault="00F21695" w:rsidP="0014388F">
      <w:pPr>
        <w:rPr>
          <w:sz w:val="22"/>
          <w:lang w:val="en-GB"/>
        </w:rPr>
      </w:pPr>
    </w:p>
    <w:p w:rsidR="00036891" w:rsidRPr="000E2B5A" w:rsidRDefault="00036891" w:rsidP="0014388F">
      <w:pPr>
        <w:rPr>
          <w:sz w:val="22"/>
          <w:lang w:val="en-GB"/>
        </w:rPr>
      </w:pPr>
    </w:p>
    <w:p w:rsidR="00036891" w:rsidRPr="000E2B5A" w:rsidRDefault="00036891" w:rsidP="0014388F">
      <w:pPr>
        <w:rPr>
          <w:sz w:val="22"/>
          <w:lang w:val="en-GB"/>
        </w:rPr>
      </w:pPr>
    </w:p>
    <w:p w:rsidR="00036891" w:rsidRPr="000E2B5A" w:rsidRDefault="00036891" w:rsidP="0014388F">
      <w:pPr>
        <w:rPr>
          <w:sz w:val="22"/>
          <w:lang w:val="en-GB"/>
        </w:rPr>
      </w:pPr>
    </w:p>
    <w:p w:rsidR="002D19EB" w:rsidRPr="000E2B5A" w:rsidRDefault="00056218" w:rsidP="0014388F">
      <w:pPr>
        <w:rPr>
          <w:rFonts w:ascii="Bradley Hand ITC" w:hAnsi="Bradley Hand ITC"/>
          <w:b/>
          <w:sz w:val="28"/>
          <w:lang w:val="en-GB"/>
        </w:rPr>
      </w:pPr>
      <w:r w:rsidRPr="000E2B5A">
        <w:rPr>
          <w:rFonts w:ascii="Bradley Hand ITC" w:hAnsi="Bradley Hand ITC"/>
          <w:b/>
          <w:sz w:val="28"/>
          <w:lang w:val="en-GB"/>
        </w:rPr>
        <w:t>Postscript</w:t>
      </w:r>
      <w:r w:rsidR="007C3C5A" w:rsidRPr="000E2B5A">
        <w:rPr>
          <w:rFonts w:ascii="Bradley Hand ITC" w:hAnsi="Bradley Hand ITC"/>
          <w:b/>
          <w:sz w:val="28"/>
          <w:lang w:val="en-GB"/>
        </w:rPr>
        <w:t xml:space="preserve"> – T. Gaston</w:t>
      </w:r>
    </w:p>
    <w:p w:rsidR="007C3C5A" w:rsidRPr="000E2B5A" w:rsidRDefault="007C3C5A" w:rsidP="0014388F">
      <w:pPr>
        <w:rPr>
          <w:rFonts w:ascii="Bradley Hand ITC" w:hAnsi="Bradley Hand ITC"/>
          <w:b/>
          <w:sz w:val="22"/>
          <w:lang w:val="en-GB"/>
        </w:rPr>
      </w:pPr>
    </w:p>
    <w:p w:rsidR="007C3C5A" w:rsidRPr="000E2B5A" w:rsidRDefault="007C3C5A" w:rsidP="007C3C5A">
      <w:r w:rsidRPr="000E2B5A">
        <w:t xml:space="preserve">I think it would be fair to say that many Christadelphians, probably the majority, are sceptical and wary of academic study, particularly within the field of </w:t>
      </w:r>
      <w:r w:rsidR="00BF6F18" w:rsidRPr="000E2B5A">
        <w:t>Biblical S</w:t>
      </w:r>
      <w:r w:rsidRPr="000E2B5A">
        <w:t xml:space="preserve">tudies. It has been my own experience, and the experience of other young Christadelphians, that the suggestion of pursuing a degree in </w:t>
      </w:r>
      <w:r w:rsidR="00BF6F18" w:rsidRPr="000E2B5A">
        <w:t>B</w:t>
      </w:r>
      <w:r w:rsidRPr="000E2B5A">
        <w:t xml:space="preserve">iblical </w:t>
      </w:r>
      <w:r w:rsidR="00BF6F18" w:rsidRPr="000E2B5A">
        <w:t>S</w:t>
      </w:r>
      <w:r w:rsidRPr="000E2B5A">
        <w:t xml:space="preserve">tudies or </w:t>
      </w:r>
      <w:r w:rsidR="00BF6F18" w:rsidRPr="000E2B5A">
        <w:t>T</w:t>
      </w:r>
      <w:r w:rsidRPr="000E2B5A">
        <w:t xml:space="preserve">heology has been met with a sense of alarm in certain quarters. And alarm is not restricted to these fields, but also to </w:t>
      </w:r>
      <w:r w:rsidR="00BF6F18" w:rsidRPr="000E2B5A">
        <w:t>P</w:t>
      </w:r>
      <w:r w:rsidRPr="000E2B5A">
        <w:t xml:space="preserve">hilosophy, </w:t>
      </w:r>
      <w:r w:rsidR="00BF6F18" w:rsidRPr="000E2B5A">
        <w:t>P</w:t>
      </w:r>
      <w:r w:rsidRPr="000E2B5A">
        <w:t xml:space="preserve">sychology, and </w:t>
      </w:r>
      <w:r w:rsidR="00BF6F18" w:rsidRPr="000E2B5A">
        <w:t>G</w:t>
      </w:r>
      <w:r w:rsidRPr="000E2B5A">
        <w:t xml:space="preserve">eology to name but a few. The reason for this concern is not hard to determine – many of the conclusions of scholars in these fields are inconsistent with biblical teaching, whether it be claims of pseudonymity of biblical texts or the explaining away of religious belief in Freudian psychoanalysis. Upon this analysis Christadelphians would do well to avoid all such pursuits. </w:t>
      </w:r>
    </w:p>
    <w:p w:rsidR="007C3C5A" w:rsidRPr="000E2B5A" w:rsidRDefault="007C3C5A" w:rsidP="007C3C5A"/>
    <w:p w:rsidR="007C3C5A" w:rsidRPr="000E2B5A" w:rsidRDefault="007C3C5A" w:rsidP="007C3C5A">
      <w:r w:rsidRPr="000E2B5A">
        <w:t xml:space="preserve">However, one might sound a note of caution because such an attitude might appear to be akin to sticking one’s head in the sand. The Dawkins of this world would turn this into fuel for the cliché that religion is based on ignorance alone. Of course, the fallacy with such an argument is that academics are not unanimously atheist nor are they free from bias on such matters. Just because one zoologist (formerly) at Oxford University says that the findings of science are incompatible with belief in God (i.e. Dawkins) does not mean that all zoologists at Oxford University are of the same opinion (as a matter of fact, they’re not). The same is true of all disciplines. If one studied biblical studies at Sheffield or Copenhagen one would be told that the Bible is a myth without any relation to history (despite the inconvenient historical correspondence). But a similar course taken at a number of other universities would have a radically different approach to the Bible. Unfortunately the veil of intellectual respectability obscures the fact that academics are as open to bias as the rest of us. </w:t>
      </w:r>
    </w:p>
    <w:p w:rsidR="007C3C5A" w:rsidRPr="000E2B5A" w:rsidRDefault="007C3C5A" w:rsidP="007C3C5A"/>
    <w:p w:rsidR="007C3C5A" w:rsidRPr="000E2B5A" w:rsidRDefault="007C3C5A" w:rsidP="007C3C5A">
      <w:r w:rsidRPr="000E2B5A">
        <w:t>And this is the real problem with the Academy: the unwary might take its conclusions as definitive when actually they are matters of open dispute. On the topic of modern biblical scholarship H</w:t>
      </w:r>
      <w:r w:rsidR="00E7048A" w:rsidRPr="000E2B5A">
        <w:t>. A.</w:t>
      </w:r>
      <w:r w:rsidRPr="000E2B5A">
        <w:t xml:space="preserve"> Whittaker rightly urges “a postponement of a consideration of any critical approach to the Bible until </w:t>
      </w:r>
      <w:r w:rsidRPr="000E2B5A">
        <w:lastRenderedPageBreak/>
        <w:t>you are better equipped to assess its value”.</w:t>
      </w:r>
      <w:r w:rsidRPr="000E2B5A">
        <w:rPr>
          <w:rStyle w:val="FootnoteReference"/>
        </w:rPr>
        <w:footnoteReference w:id="88"/>
      </w:r>
      <w:r w:rsidRPr="000E2B5A">
        <w:t xml:space="preserve">  This does not mean, however, that Christadelphians should ignore or remain separate from the Academy. Indeed the need could not be more pressing for some at least to engage with modern scholarship to as aid believers in assessing its value. If a believer read, for instance, the claim that Colossians and Philippians were written long after Paul’s death and heard no dissenting voices he might conclude that this was a matter of historical fact rather than, at best, a conjecture based upon outdated assessments of doctrinal development. In a modest way this is the purpose of the </w:t>
      </w:r>
      <w:r w:rsidRPr="000E2B5A">
        <w:rPr>
          <w:i/>
        </w:rPr>
        <w:t xml:space="preserve">Christadelphian EJournal of Biblical Interpretation. </w:t>
      </w:r>
    </w:p>
    <w:p w:rsidR="000242C6" w:rsidRPr="000E2B5A" w:rsidRDefault="000242C6" w:rsidP="000242C6">
      <w:pPr>
        <w:rPr>
          <w:b/>
          <w:lang w:val="en-GB"/>
        </w:rPr>
      </w:pPr>
    </w:p>
    <w:p w:rsidR="003C58FA" w:rsidRPr="000E2B5A" w:rsidRDefault="003C58FA" w:rsidP="000242C6">
      <w:pPr>
        <w:rPr>
          <w:b/>
          <w:lang w:val="en-GB"/>
        </w:rPr>
      </w:pPr>
    </w:p>
    <w:p w:rsidR="000242C6" w:rsidRPr="000242C6" w:rsidRDefault="005A4F9B" w:rsidP="00036891">
      <w:pPr>
        <w:jc w:val="left"/>
        <w:rPr>
          <w:b/>
          <w:lang w:val="en-GB"/>
        </w:rPr>
      </w:pPr>
      <w:r>
        <w:rPr>
          <w:rFonts w:ascii="Bradley Hand ITC" w:hAnsi="Bradley Hand ITC"/>
          <w:b/>
          <w:noProof/>
          <w:sz w:val="28"/>
          <w:lang w:val="en-GB" w:eastAsia="en-GB"/>
        </w:rPr>
        <w:pict>
          <v:shape id="_x0000_s1119" type="#_x0000_t202" style="position:absolute;margin-left:18.45pt;margin-top:22.35pt;width:323.25pt;height:235pt;z-index:251658752">
            <v:stroke dashstyle="1 1" endcap="round"/>
            <v:textbox>
              <w:txbxContent>
                <w:p w:rsidR="00E35D87" w:rsidRPr="0022204D" w:rsidRDefault="00E35D87" w:rsidP="00D730D8">
                  <w:pPr>
                    <w:rPr>
                      <w:lang w:val="en-GB"/>
                    </w:rPr>
                  </w:pPr>
                  <w:r w:rsidRPr="001132C8">
                    <w:rPr>
                      <w:b/>
                      <w:lang w:val="en-GB"/>
                    </w:rPr>
                    <w:t>Editorial Policies</w:t>
                  </w:r>
                  <w:r w:rsidRPr="0022204D">
                    <w:rPr>
                      <w:lang w:val="en-GB"/>
                    </w:rPr>
                    <w:t xml:space="preserve">: The </w:t>
                  </w:r>
                  <w:r w:rsidRPr="0022204D">
                    <w:rPr>
                      <w:rFonts w:ascii="Bradley Hand ITC" w:hAnsi="Bradley Hand ITC"/>
                      <w:b/>
                      <w:lang w:val="en-GB"/>
                    </w:rPr>
                    <w:t>Christadelphian EJournal of Biblical Interpretation</w:t>
                  </w:r>
                  <w:r w:rsidRPr="0022204D">
                    <w:rPr>
                      <w:lang w:val="en-GB"/>
                    </w:rPr>
                    <w:t xml:space="preserve"> seeks to fulfil the following objectives:</w:t>
                  </w:r>
                  <w:r>
                    <w:rPr>
                      <w:lang w:val="en-GB"/>
                    </w:rPr>
                    <w:t xml:space="preserve"> o</w:t>
                  </w:r>
                  <w:r w:rsidRPr="0022204D">
                    <w:rPr>
                      <w:lang w:val="en-GB"/>
                    </w:rPr>
                    <w:t>ffer analytical and expositi</w:t>
                  </w:r>
                  <w:r>
                    <w:rPr>
                      <w:lang w:val="en-GB"/>
                    </w:rPr>
                    <w:t>onal articles on biblical texts; e</w:t>
                  </w:r>
                  <w:r w:rsidRPr="0022204D">
                    <w:rPr>
                      <w:lang w:val="en-GB"/>
                    </w:rPr>
                    <w:t>ngage with academic biblical studies that originate</w:t>
                  </w:r>
                  <w:r>
                    <w:rPr>
                      <w:lang w:val="en-GB"/>
                    </w:rPr>
                    <w:t xml:space="preserve"> in other Christian confessions; d</w:t>
                  </w:r>
                  <w:r w:rsidRPr="0022204D">
                    <w:rPr>
                      <w:lang w:val="en-GB"/>
                    </w:rPr>
                    <w:t>efend the biblical principles summarised in the common Christadelphian statement</w:t>
                  </w:r>
                  <w:r>
                    <w:rPr>
                      <w:lang w:val="en-GB"/>
                    </w:rPr>
                    <w:t>s</w:t>
                  </w:r>
                  <w:r w:rsidRPr="0022204D">
                    <w:rPr>
                      <w:lang w:val="en-GB"/>
                    </w:rPr>
                    <w:t xml:space="preserve"> of faith</w:t>
                  </w:r>
                  <w:r>
                    <w:rPr>
                      <w:lang w:val="en-GB"/>
                    </w:rPr>
                    <w:t>; and s</w:t>
                  </w:r>
                  <w:r w:rsidRPr="0022204D">
                    <w:rPr>
                      <w:lang w:val="en-GB"/>
                    </w:rPr>
                    <w:t>ubject the published articles to retrospective peer review and amendment.</w:t>
                  </w:r>
                </w:p>
                <w:p w:rsidR="00E35D87" w:rsidRPr="0022204D" w:rsidRDefault="00E35D87" w:rsidP="00D730D8">
                  <w:pPr>
                    <w:rPr>
                      <w:lang w:val="en-GB"/>
                    </w:rPr>
                  </w:pPr>
                  <w:r w:rsidRPr="001132C8">
                    <w:rPr>
                      <w:b/>
                      <w:lang w:val="en-GB"/>
                    </w:rPr>
                    <w:t>Submission of Articles</w:t>
                  </w:r>
                  <w:r w:rsidRPr="0022204D">
                    <w:rPr>
                      <w:lang w:val="en-GB"/>
                    </w:rPr>
                    <w:t xml:space="preserve">: Authors should submit articles to the editors. Presentation should follow </w:t>
                  </w:r>
                  <w:r w:rsidRPr="0022204D">
                    <w:rPr>
                      <w:i/>
                      <w:lang w:val="en-GB"/>
                    </w:rPr>
                    <w:t>Society of Biblical Literature</w:t>
                  </w:r>
                  <w:r w:rsidRPr="0022204D">
                    <w:rPr>
                      <w:lang w:val="en-GB"/>
                    </w:rPr>
                    <w:t xml:space="preserve"> guidelines (</w:t>
                  </w:r>
                  <w:r w:rsidRPr="001132C8">
                    <w:rPr>
                      <w:u w:val="single"/>
                      <w:lang w:val="en-GB"/>
                    </w:rPr>
                    <w:t>www.sbl.org</w:t>
                  </w:r>
                  <w:r w:rsidRPr="0022204D">
                    <w:rPr>
                      <w:lang w:val="en-GB"/>
                    </w:rPr>
                    <w:t>).</w:t>
                  </w:r>
                </w:p>
                <w:p w:rsidR="00E35D87" w:rsidRPr="0022204D" w:rsidRDefault="00E35D87" w:rsidP="00D730D8">
                  <w:pPr>
                    <w:rPr>
                      <w:lang w:val="en-GB"/>
                    </w:rPr>
                  </w:pPr>
                  <w:r w:rsidRPr="001132C8">
                    <w:rPr>
                      <w:b/>
                      <w:lang w:val="en-GB"/>
                    </w:rPr>
                    <w:t>Publication</w:t>
                  </w:r>
                  <w:r w:rsidRPr="0022204D">
                    <w:rPr>
                      <w:lang w:val="en-GB"/>
                    </w:rPr>
                    <w:t>:  E-mail</w:t>
                  </w:r>
                  <w:r>
                    <w:rPr>
                      <w:lang w:val="en-GB"/>
                    </w:rPr>
                    <w:t>ed</w:t>
                  </w:r>
                  <w:r w:rsidRPr="0022204D">
                    <w:rPr>
                      <w:lang w:val="en-GB"/>
                    </w:rPr>
                    <w:t xml:space="preserve"> quarterly on the last </w:t>
                  </w:r>
                  <w:r>
                    <w:rPr>
                      <w:lang w:val="en-GB"/>
                    </w:rPr>
                    <w:t>Thurs</w:t>
                  </w:r>
                  <w:r w:rsidRPr="0022204D">
                    <w:rPr>
                      <w:lang w:val="en-GB"/>
                    </w:rPr>
                    <w:t xml:space="preserve">day of </w:t>
                  </w:r>
                  <w:r>
                    <w:rPr>
                      <w:lang w:val="en-GB"/>
                    </w:rPr>
                    <w:t>January</w:t>
                  </w:r>
                  <w:r w:rsidRPr="0022204D">
                    <w:rPr>
                      <w:lang w:val="en-GB"/>
                    </w:rPr>
                    <w:t xml:space="preserve">, </w:t>
                  </w:r>
                  <w:r>
                    <w:rPr>
                      <w:lang w:val="en-GB"/>
                    </w:rPr>
                    <w:t>April</w:t>
                  </w:r>
                  <w:r w:rsidRPr="0022204D">
                    <w:rPr>
                      <w:lang w:val="en-GB"/>
                    </w:rPr>
                    <w:t xml:space="preserve">, </w:t>
                  </w:r>
                  <w:r>
                    <w:rPr>
                      <w:lang w:val="en-GB"/>
                    </w:rPr>
                    <w:t>July</w:t>
                  </w:r>
                  <w:r w:rsidRPr="0022204D">
                    <w:rPr>
                      <w:lang w:val="en-GB"/>
                    </w:rPr>
                    <w:t xml:space="preserve">, and </w:t>
                  </w:r>
                  <w:r>
                    <w:rPr>
                      <w:lang w:val="en-GB"/>
                    </w:rPr>
                    <w:t xml:space="preserve">October; published as a collected annual paper-back obtainable from: </w:t>
                  </w:r>
                  <w:r w:rsidRPr="00DC72C6">
                    <w:rPr>
                      <w:u w:val="single"/>
                      <w:lang w:val="en-GB"/>
                    </w:rPr>
                    <w:t>www.lulu.com/willowpublications</w:t>
                  </w:r>
                  <w:r>
                    <w:rPr>
                      <w:lang w:val="en-GB"/>
                    </w:rPr>
                    <w:t>.</w:t>
                  </w:r>
                </w:p>
                <w:p w:rsidR="00E35D87" w:rsidRPr="00502727" w:rsidRDefault="00E35D87" w:rsidP="00D730D8">
                  <w:pPr>
                    <w:rPr>
                      <w:lang w:val="en-GB"/>
                    </w:rPr>
                  </w:pPr>
                  <w:r w:rsidRPr="001132C8">
                    <w:rPr>
                      <w:b/>
                      <w:lang w:val="en-GB"/>
                    </w:rPr>
                    <w:t>Subscriptions</w:t>
                  </w:r>
                  <w:r w:rsidRPr="0022204D">
                    <w:rPr>
                      <w:lang w:val="en-GB"/>
                    </w:rPr>
                    <w:t xml:space="preserve">: This is a </w:t>
                  </w:r>
                  <w:r>
                    <w:rPr>
                      <w:lang w:val="en-GB"/>
                    </w:rPr>
                    <w:t>“</w:t>
                  </w:r>
                  <w:r w:rsidRPr="0022204D">
                    <w:rPr>
                      <w:lang w:val="en-GB"/>
                    </w:rPr>
                    <w:t>free</w:t>
                  </w:r>
                  <w:r>
                    <w:rPr>
                      <w:lang w:val="en-GB"/>
                    </w:rPr>
                    <w:t>”</w:t>
                  </w:r>
                  <w:r w:rsidRPr="0022204D">
                    <w:rPr>
                      <w:lang w:val="en-GB"/>
                    </w:rPr>
                    <w:t xml:space="preserve"> EJournal to </w:t>
                  </w:r>
                  <w:r>
                    <w:rPr>
                      <w:lang w:val="en-GB"/>
                    </w:rPr>
                    <w:t>communities and individuals whose statement of faith is broadly consistent with the Christadelphian common statements</w:t>
                  </w:r>
                  <w:r w:rsidRPr="0022204D">
                    <w:rPr>
                      <w:lang w:val="en-GB"/>
                    </w:rPr>
                    <w:t xml:space="preserve">. </w:t>
                  </w:r>
                </w:p>
              </w:txbxContent>
            </v:textbox>
          </v:shape>
        </w:pict>
      </w:r>
    </w:p>
    <w:sectPr w:rsidR="000242C6" w:rsidRPr="000242C6" w:rsidSect="00456D77">
      <w:footerReference w:type="even" r:id="rId11"/>
      <w:footerReference w:type="default" r:id="rId12"/>
      <w:footnotePr>
        <w:numRestart w:val="eachPage"/>
      </w:footnotePr>
      <w:pgSz w:w="8640" w:h="12960" w:code="1"/>
      <w:pgMar w:top="993" w:right="720" w:bottom="144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9B" w:rsidRDefault="005A4F9B">
      <w:r>
        <w:separator/>
      </w:r>
    </w:p>
  </w:endnote>
  <w:endnote w:type="continuationSeparator" w:id="0">
    <w:p w:rsidR="005A4F9B" w:rsidRDefault="005A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wgrkl">
    <w:panose1 w:val="02000400000000000000"/>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altName w:val="Arial Unicode MS"/>
    <w:panose1 w:val="00000000000000000000"/>
    <w:charset w:val="81"/>
    <w:family w:val="auto"/>
    <w:notTrueType/>
    <w:pitch w:val="default"/>
    <w:sig w:usb0="00000000" w:usb1="09060000" w:usb2="00000010" w:usb3="00000000" w:csb0="00080000" w:csb1="00000000"/>
  </w:font>
  <w:font w:name="BookAntiqua">
    <w:panose1 w:val="00000000000000000000"/>
    <w:charset w:val="00"/>
    <w:family w:val="roman"/>
    <w:notTrueType/>
    <w:pitch w:val="default"/>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87" w:rsidRDefault="00E35D87"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E35D87" w:rsidRDefault="00E35D87" w:rsidP="00686C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D87" w:rsidRDefault="00E35D87"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952772">
      <w:rPr>
        <w:rStyle w:val="PageNumber"/>
        <w:rFonts w:cs="Arial"/>
        <w:noProof/>
      </w:rPr>
      <w:t>6</w:t>
    </w:r>
    <w:r>
      <w:rPr>
        <w:rStyle w:val="PageNumber"/>
        <w:rFonts w:cs="Arial"/>
      </w:rPr>
      <w:fldChar w:fldCharType="end"/>
    </w:r>
  </w:p>
  <w:p w:rsidR="00E35D87" w:rsidRDefault="00E35D87" w:rsidP="00686C20">
    <w:pPr>
      <w:pStyle w:val="Footer"/>
      <w:ind w:right="360"/>
    </w:pPr>
    <w:r>
      <w:t>Vol. 5 No. 1 Jan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9B" w:rsidRDefault="005A4F9B">
      <w:r>
        <w:separator/>
      </w:r>
    </w:p>
  </w:footnote>
  <w:footnote w:type="continuationSeparator" w:id="0">
    <w:p w:rsidR="005A4F9B" w:rsidRDefault="005A4F9B">
      <w:r>
        <w:continuationSeparator/>
      </w:r>
    </w:p>
  </w:footnote>
  <w:footnote w:id="1">
    <w:p w:rsidR="00E35D87" w:rsidRPr="00E87803" w:rsidRDefault="00E35D87" w:rsidP="00E87803">
      <w:pPr>
        <w:rPr>
          <w:sz w:val="22"/>
          <w:szCs w:val="22"/>
        </w:rPr>
      </w:pPr>
      <w:r w:rsidRPr="00E87803">
        <w:rPr>
          <w:rStyle w:val="FootnoteReference"/>
          <w:sz w:val="22"/>
          <w:szCs w:val="22"/>
        </w:rPr>
        <w:footnoteRef/>
      </w:r>
      <w:r w:rsidRPr="00E87803">
        <w:rPr>
          <w:sz w:val="22"/>
          <w:szCs w:val="22"/>
        </w:rPr>
        <w:t xml:space="preserve"> L. D Levine, </w:t>
      </w:r>
      <w:r>
        <w:rPr>
          <w:sz w:val="22"/>
          <w:szCs w:val="22"/>
        </w:rPr>
        <w:t>“</w:t>
      </w:r>
      <w:r w:rsidRPr="00E87803">
        <w:rPr>
          <w:sz w:val="22"/>
          <w:szCs w:val="22"/>
        </w:rPr>
        <w:t>Sennacherib</w:t>
      </w:r>
      <w:r>
        <w:rPr>
          <w:sz w:val="22"/>
          <w:szCs w:val="22"/>
        </w:rPr>
        <w:t>’</w:t>
      </w:r>
      <w:r w:rsidRPr="00E87803">
        <w:rPr>
          <w:sz w:val="22"/>
          <w:szCs w:val="22"/>
        </w:rPr>
        <w:t>s Southern Front: 704-689 B.C.</w:t>
      </w:r>
      <w:r>
        <w:rPr>
          <w:sz w:val="22"/>
          <w:szCs w:val="22"/>
        </w:rPr>
        <w:t>”</w:t>
      </w:r>
      <w:r w:rsidRPr="00E87803">
        <w:rPr>
          <w:sz w:val="22"/>
          <w:szCs w:val="22"/>
        </w:rPr>
        <w:t xml:space="preserve"> </w:t>
      </w:r>
      <w:r w:rsidRPr="00E87803">
        <w:rPr>
          <w:i/>
          <w:sz w:val="22"/>
          <w:szCs w:val="22"/>
        </w:rPr>
        <w:t>JCS</w:t>
      </w:r>
      <w:r w:rsidRPr="00E87803">
        <w:rPr>
          <w:sz w:val="22"/>
          <w:szCs w:val="22"/>
        </w:rPr>
        <w:t xml:space="preserve"> 34 (1982): 28-58 (29).</w:t>
      </w:r>
    </w:p>
    <w:p w:rsidR="00E35D87" w:rsidRPr="00E87803" w:rsidRDefault="00E35D87" w:rsidP="001A52B5">
      <w:pPr>
        <w:pStyle w:val="FootnoteText"/>
      </w:pPr>
    </w:p>
  </w:footnote>
  <w:footnote w:id="2">
    <w:p w:rsidR="00E35D87" w:rsidRPr="00E87803" w:rsidRDefault="00E35D87" w:rsidP="001A52B5">
      <w:pPr>
        <w:pStyle w:val="FootnoteText"/>
      </w:pPr>
      <w:r w:rsidRPr="00E87803">
        <w:rPr>
          <w:rStyle w:val="FootnoteReference"/>
        </w:rPr>
        <w:footnoteRef/>
      </w:r>
      <w:r w:rsidRPr="00E87803">
        <w:t xml:space="preserve"> Levine merges the first and second campaigns on the basis that the first is in the south and the second is about consolidating what has been won in the south.</w:t>
      </w:r>
    </w:p>
  </w:footnote>
  <w:footnote w:id="3">
    <w:p w:rsidR="00E35D87" w:rsidRPr="00E87803" w:rsidRDefault="00E35D87" w:rsidP="001A52B5">
      <w:pPr>
        <w:pStyle w:val="FootnoteText"/>
      </w:pPr>
      <w:r w:rsidRPr="00E87803">
        <w:rPr>
          <w:rStyle w:val="FootnoteReference"/>
        </w:rPr>
        <w:footnoteRef/>
      </w:r>
      <w:r w:rsidRPr="00E87803">
        <w:t xml:space="preserve"> The full text is given in D. D. Luckenbill, </w:t>
      </w:r>
      <w:r w:rsidRPr="00E87803">
        <w:rPr>
          <w:i/>
        </w:rPr>
        <w:t>The Ancient Records of Assyria and Babylon</w:t>
      </w:r>
      <w:r w:rsidRPr="00E87803">
        <w:t xml:space="preserve"> (Chicago: The University of Chicago Press, 1926).</w:t>
      </w:r>
    </w:p>
  </w:footnote>
  <w:footnote w:id="4">
    <w:p w:rsidR="00E35D87" w:rsidRPr="00E87803" w:rsidRDefault="00E35D87" w:rsidP="001A52B5">
      <w:pPr>
        <w:pStyle w:val="FootnoteText"/>
      </w:pPr>
      <w:r w:rsidRPr="00E87803">
        <w:rPr>
          <w:rStyle w:val="FootnoteReference"/>
        </w:rPr>
        <w:footnoteRef/>
      </w:r>
      <w:r w:rsidRPr="00E87803">
        <w:t xml:space="preserve"> Levine, </w:t>
      </w:r>
      <w:r>
        <w:t>“</w:t>
      </w:r>
      <w:r w:rsidRPr="00E87803">
        <w:t>Sennacherib</w:t>
      </w:r>
      <w:r>
        <w:t>’</w:t>
      </w:r>
      <w:r w:rsidRPr="00E87803">
        <w:t>s Southern Front: 704-689 B.C.</w:t>
      </w:r>
      <w:r>
        <w:t>”</w:t>
      </w:r>
      <w:r w:rsidRPr="00E87803">
        <w:t>, 40.</w:t>
      </w:r>
    </w:p>
  </w:footnote>
  <w:footnote w:id="5">
    <w:p w:rsidR="00E35D87" w:rsidRPr="00E87803" w:rsidRDefault="00E35D87" w:rsidP="001A52B5">
      <w:pPr>
        <w:pStyle w:val="FootnoteText"/>
      </w:pPr>
      <w:r w:rsidRPr="00E87803">
        <w:rPr>
          <w:rStyle w:val="FootnoteReference"/>
        </w:rPr>
        <w:footnoteRef/>
      </w:r>
      <w:r>
        <w:t xml:space="preserve"> T</w:t>
      </w:r>
      <w:r w:rsidRPr="00E87803">
        <w:t xml:space="preserve">his essay, written in the mid-1990s, is </w:t>
      </w:r>
      <w:r>
        <w:t>reproduced here</w:t>
      </w:r>
      <w:r w:rsidRPr="00E87803">
        <w:t xml:space="preserve"> with little revision (just a few t</w:t>
      </w:r>
      <w:r>
        <w:t>weaks and a light edit</w:t>
      </w:r>
      <w:r w:rsidRPr="00E87803">
        <w:t xml:space="preserve">), in response both to enquiries and to visit issues of inspiration and the Biblical text. Although this essay is a preliminary statement, a basis for further research and refinement, the author still holds to the principles, argument and conclusions presented. A revision would </w:t>
      </w:r>
      <w:r w:rsidRPr="00E87803">
        <w:rPr>
          <w:i/>
        </w:rPr>
        <w:t xml:space="preserve">include </w:t>
      </w:r>
      <w:r w:rsidRPr="00E87803">
        <w:t xml:space="preserve">bringing some of the material found in the footnotes, or further material of the same (more technical) sort, into the main text. The original version of this essay was published by the UK magazine, </w:t>
      </w:r>
      <w:r w:rsidRPr="00E87803">
        <w:rPr>
          <w:i/>
        </w:rPr>
        <w:t>The New Bible Student</w:t>
      </w:r>
      <w:r w:rsidRPr="00E87803">
        <w:t xml:space="preserve"> (</w:t>
      </w:r>
      <w:r w:rsidRPr="00E87803">
        <w:rPr>
          <w:i/>
        </w:rPr>
        <w:t>ca</w:t>
      </w:r>
      <w:r>
        <w:t>.</w:t>
      </w:r>
      <w:r w:rsidRPr="00E87803">
        <w:t xml:space="preserve"> 1997); this magazine took over the mantle of publishing more advanced Bible Studies in the UK in the 1990s. The essay was also privately circulated, in booklet form. The original publication included an appendix listing instances of Old Testament passages reproduced two or more times in the New Testament. Since these are the subject of current research I have not included them here.  A related paper of mine is available at </w:t>
      </w:r>
      <w:hyperlink r:id="rId1" w:history="1">
        <w:r w:rsidRPr="001749C6">
          <w:rPr>
            <w:rStyle w:val="Hyperlink"/>
          </w:rPr>
          <w:t>http://www.christadelphian-ejbi.org/extracts/Body.pdf</w:t>
        </w:r>
      </w:hyperlink>
      <w:r>
        <w:rPr>
          <w:rFonts w:cs="Times New Roman"/>
        </w:rPr>
        <w:t xml:space="preserve"> [cited December 2010]</w:t>
      </w:r>
      <w:r w:rsidRPr="00E87803">
        <w:t xml:space="preserve">. </w:t>
      </w:r>
    </w:p>
  </w:footnote>
  <w:footnote w:id="6">
    <w:p w:rsidR="00E35D87" w:rsidRPr="00E87803" w:rsidRDefault="00E35D87" w:rsidP="00E87803">
      <w:pPr>
        <w:pStyle w:val="Footnote"/>
        <w:tabs>
          <w:tab w:val="left" w:pos="384"/>
          <w:tab w:val="left" w:pos="426"/>
        </w:tabs>
        <w:spacing w:after="0"/>
        <w:rPr>
          <w:rFonts w:ascii="Garamond" w:hAnsi="Garamond"/>
          <w:sz w:val="22"/>
          <w:szCs w:val="22"/>
          <w:highlight w:val="yellow"/>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I use </w:t>
      </w:r>
      <w:r>
        <w:rPr>
          <w:rFonts w:ascii="Garamond" w:hAnsi="Garamond"/>
          <w:sz w:val="22"/>
          <w:szCs w:val="22"/>
        </w:rPr>
        <w:t>‘</w:t>
      </w:r>
      <w:r w:rsidRPr="00E87803">
        <w:rPr>
          <w:rFonts w:ascii="Garamond" w:hAnsi="Garamond"/>
          <w:sz w:val="22"/>
          <w:szCs w:val="22"/>
        </w:rPr>
        <w:t>quotation</w:t>
      </w:r>
      <w:r>
        <w:rPr>
          <w:rFonts w:ascii="Garamond" w:hAnsi="Garamond"/>
          <w:sz w:val="22"/>
          <w:szCs w:val="22"/>
        </w:rPr>
        <w:t>’</w:t>
      </w:r>
      <w:r w:rsidRPr="00E87803">
        <w:rPr>
          <w:rFonts w:ascii="Garamond" w:hAnsi="Garamond"/>
          <w:sz w:val="22"/>
          <w:szCs w:val="22"/>
        </w:rPr>
        <w:t xml:space="preserve"> since this is a familiar term.  For the purpose of this present article, I define </w:t>
      </w:r>
      <w:r>
        <w:rPr>
          <w:rFonts w:ascii="Garamond" w:hAnsi="Garamond"/>
          <w:sz w:val="22"/>
          <w:szCs w:val="22"/>
        </w:rPr>
        <w:t>‘</w:t>
      </w:r>
      <w:r w:rsidRPr="00E87803">
        <w:rPr>
          <w:rFonts w:ascii="Garamond" w:hAnsi="Garamond"/>
          <w:sz w:val="22"/>
          <w:szCs w:val="22"/>
        </w:rPr>
        <w:t>quotation</w:t>
      </w:r>
      <w:r>
        <w:rPr>
          <w:rFonts w:ascii="Garamond" w:hAnsi="Garamond"/>
          <w:sz w:val="22"/>
          <w:szCs w:val="22"/>
        </w:rPr>
        <w:t>’</w:t>
      </w:r>
      <w:r w:rsidRPr="00E87803">
        <w:rPr>
          <w:rFonts w:ascii="Garamond" w:hAnsi="Garamond"/>
          <w:sz w:val="22"/>
          <w:szCs w:val="22"/>
        </w:rPr>
        <w:t xml:space="preserve"> as an earlier fragment of Scripture identified, whether introduced or not, in a later reuse.  This can be applied to the OT quoting itself, the NT quoting itself or to OT material reproduced in the NT, which is the concern of this article, looking especially at those which undergo change, e.g., grammatical or semantic.</w:t>
      </w:r>
    </w:p>
  </w:footnote>
  <w:footnote w:id="7">
    <w:p w:rsidR="00E35D87" w:rsidRPr="00260F81" w:rsidRDefault="00E35D87" w:rsidP="0089675E">
      <w:pPr>
        <w:pStyle w:val="Footnote"/>
        <w:tabs>
          <w:tab w:val="left" w:pos="360"/>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The standard view is that where the NT and the Septuagint (LXX), or Old Greek, are in agreement against the Hebrew Bible this is seen as evidence that the NT is quoting from the (</w:t>
      </w:r>
      <w:r w:rsidRPr="00E87803">
        <w:rPr>
          <w:rFonts w:ascii="Garamond" w:hAnsi="Garamond"/>
          <w:i/>
          <w:sz w:val="22"/>
          <w:szCs w:val="22"/>
        </w:rPr>
        <w:t>sic</w:t>
      </w:r>
      <w:r w:rsidRPr="00E87803">
        <w:rPr>
          <w:rFonts w:ascii="Garamond" w:hAnsi="Garamond"/>
          <w:sz w:val="22"/>
          <w:szCs w:val="22"/>
        </w:rPr>
        <w:t>) LXX. Before the impact of the Dead Sea Scrolls in the 20th century, from the mid-19th century</w:t>
      </w:r>
      <w:r>
        <w:rPr>
          <w:rFonts w:ascii="Garamond" w:hAnsi="Garamond"/>
          <w:sz w:val="22"/>
          <w:szCs w:val="22"/>
        </w:rPr>
        <w:t>,</w:t>
      </w:r>
      <w:r w:rsidRPr="00E87803">
        <w:rPr>
          <w:rFonts w:ascii="Garamond" w:hAnsi="Garamond"/>
          <w:sz w:val="22"/>
          <w:szCs w:val="22"/>
        </w:rPr>
        <w:t xml:space="preserve"> </w:t>
      </w:r>
      <w:r>
        <w:rPr>
          <w:rFonts w:ascii="Garamond" w:hAnsi="Garamond"/>
          <w:sz w:val="22"/>
          <w:szCs w:val="22"/>
        </w:rPr>
        <w:t xml:space="preserve">in practice </w:t>
      </w:r>
      <w:r w:rsidRPr="00E87803">
        <w:rPr>
          <w:rFonts w:ascii="Garamond" w:hAnsi="Garamond"/>
          <w:sz w:val="22"/>
          <w:szCs w:val="22"/>
        </w:rPr>
        <w:t>sch</w:t>
      </w:r>
      <w:r>
        <w:rPr>
          <w:rFonts w:ascii="Garamond" w:hAnsi="Garamond"/>
          <w:sz w:val="22"/>
          <w:szCs w:val="22"/>
        </w:rPr>
        <w:t>olars preferred the LXX over the MT</w:t>
      </w:r>
      <w:r w:rsidRPr="00E87803">
        <w:rPr>
          <w:rFonts w:ascii="Garamond" w:hAnsi="Garamond"/>
          <w:sz w:val="22"/>
          <w:szCs w:val="22"/>
        </w:rPr>
        <w:t xml:space="preserve"> </w:t>
      </w:r>
      <w:r>
        <w:rPr>
          <w:rFonts w:ascii="Garamond" w:hAnsi="Garamond"/>
          <w:sz w:val="22"/>
          <w:szCs w:val="22"/>
        </w:rPr>
        <w:t xml:space="preserve">as </w:t>
      </w:r>
      <w:r w:rsidRPr="00260F81">
        <w:rPr>
          <w:rFonts w:ascii="Garamond" w:hAnsi="Garamond"/>
          <w:sz w:val="22"/>
          <w:szCs w:val="22"/>
        </w:rPr>
        <w:t>a (better) witness to a supposed original OT, or proto-MT. Cases of NT quotations agreeing with LXX against MT, and particularly the greater antiquity of the LXX (e.g., 4th century Vaticanus 1209) compared with the MT (1008/1009 A.D. Leningrad codex), assisted this preferential view. With the NT and LXX both being in Greek, the NT interfacing with LXX (as a representative of the OT) is readily assumed; and that the LXX was itself Holy Scripture for writers of the NT still has its advocates.  (LXX is the OT of the Eastern Orthodox Church.)</w:t>
      </w:r>
    </w:p>
    <w:p w:rsidR="00E35D87" w:rsidRPr="00260F81" w:rsidRDefault="00E35D87" w:rsidP="0089675E">
      <w:pPr>
        <w:pStyle w:val="Footnote"/>
        <w:tabs>
          <w:tab w:val="left" w:pos="360"/>
        </w:tabs>
        <w:spacing w:after="0"/>
        <w:rPr>
          <w:rFonts w:ascii="Garamond" w:hAnsi="Garamond"/>
          <w:sz w:val="22"/>
          <w:szCs w:val="22"/>
        </w:rPr>
      </w:pPr>
      <w:r w:rsidRPr="00260F81">
        <w:rPr>
          <w:rFonts w:ascii="Garamond" w:hAnsi="Garamond"/>
          <w:sz w:val="22"/>
          <w:szCs w:val="22"/>
        </w:rPr>
        <w:tab/>
        <w:t xml:space="preserve"> The implications of this article question the need for any NT dependence on LXX, especially in regard to quotations. This article is a work in progress. However, even to the extent I argue herein, if it is the NT that makes the textual changes to the OT being quoted, then the Septuagint is not the source of such change. A neglected take-up in research is the extent to which scribal editing in the early post-NT era conformed LXX to NT quotations, e.g., during recensional activity. </w:t>
      </w:r>
    </w:p>
    <w:p w:rsidR="00E35D87" w:rsidRPr="00E87803" w:rsidRDefault="00E35D87" w:rsidP="0089675E">
      <w:pPr>
        <w:pStyle w:val="Footnote"/>
        <w:tabs>
          <w:tab w:val="left" w:pos="360"/>
        </w:tabs>
        <w:spacing w:after="0"/>
        <w:rPr>
          <w:rFonts w:ascii="Garamond" w:hAnsi="Garamond"/>
          <w:sz w:val="22"/>
          <w:szCs w:val="22"/>
        </w:rPr>
      </w:pPr>
      <w:r>
        <w:rPr>
          <w:rFonts w:ascii="Garamond" w:hAnsi="Garamond"/>
          <w:sz w:val="22"/>
          <w:szCs w:val="22"/>
        </w:rPr>
        <w:tab/>
      </w:r>
      <w:r w:rsidRPr="00260F81">
        <w:rPr>
          <w:rFonts w:ascii="Garamond" w:hAnsi="Garamond"/>
          <w:sz w:val="22"/>
          <w:szCs w:val="22"/>
        </w:rPr>
        <w:t xml:space="preserve">From the Scriptural viewpoint, God is involved in a ‘fellowship of revelation’ with His mediating agents, by whom the spirit-word of God is inscripted (as ‘original autographs’). Therefore, there is no proof that Jesus, or the </w:t>
      </w:r>
      <w:r w:rsidRPr="00260F81">
        <w:rPr>
          <w:rFonts w:ascii="Garamond" w:hAnsi="Garamond"/>
          <w:i/>
          <w:sz w:val="22"/>
          <w:szCs w:val="22"/>
        </w:rPr>
        <w:t>spirit-guided</w:t>
      </w:r>
      <w:r w:rsidRPr="00260F81">
        <w:rPr>
          <w:rFonts w:ascii="Garamond" w:hAnsi="Garamond"/>
          <w:sz w:val="22"/>
          <w:szCs w:val="22"/>
        </w:rPr>
        <w:t xml:space="preserve"> NT writers, would (need to) have used, or deemed “unbreakable” scripture (John 10:35), any </w:t>
      </w:r>
      <w:r w:rsidRPr="00260F81">
        <w:rPr>
          <w:rFonts w:ascii="Garamond" w:hAnsi="Garamond"/>
          <w:i/>
          <w:sz w:val="22"/>
          <w:szCs w:val="22"/>
        </w:rPr>
        <w:t xml:space="preserve">uninspired </w:t>
      </w:r>
      <w:r w:rsidRPr="00260F81">
        <w:rPr>
          <w:rFonts w:ascii="Garamond" w:hAnsi="Garamond"/>
          <w:sz w:val="22"/>
          <w:szCs w:val="22"/>
        </w:rPr>
        <w:t xml:space="preserve">heterogeneous Greek OT translation. (“The Seventy”, according to legend or tradition, translated only the Torah, or Pentateuch, </w:t>
      </w:r>
      <w:r w:rsidRPr="00260F81">
        <w:rPr>
          <w:rFonts w:ascii="Garamond" w:hAnsi="Garamond"/>
          <w:i/>
          <w:sz w:val="22"/>
          <w:szCs w:val="22"/>
        </w:rPr>
        <w:t>ca</w:t>
      </w:r>
      <w:r w:rsidRPr="00260F81">
        <w:rPr>
          <w:rFonts w:ascii="Garamond" w:hAnsi="Garamond"/>
          <w:sz w:val="22"/>
          <w:szCs w:val="22"/>
        </w:rPr>
        <w:t>.</w:t>
      </w:r>
      <w:r w:rsidRPr="00260F81">
        <w:rPr>
          <w:rFonts w:ascii="Garamond" w:hAnsi="Garamond"/>
          <w:i/>
          <w:sz w:val="22"/>
          <w:szCs w:val="22"/>
        </w:rPr>
        <w:t xml:space="preserve"> </w:t>
      </w:r>
      <w:r w:rsidRPr="00260F81">
        <w:rPr>
          <w:rFonts w:ascii="Garamond" w:hAnsi="Garamond"/>
          <w:sz w:val="22"/>
          <w:szCs w:val="22"/>
        </w:rPr>
        <w:t>250 B.C. Other OT books, plus the Apocrypha, were added over subsequent centuries.)</w:t>
      </w:r>
    </w:p>
  </w:footnote>
  <w:footnote w:id="8">
    <w:p w:rsidR="00E35D87" w:rsidRPr="00E87803" w:rsidRDefault="00E35D87" w:rsidP="001A52B5">
      <w:pPr>
        <w:pStyle w:val="FootnoteText"/>
      </w:pPr>
      <w:r w:rsidRPr="00E87803">
        <w:rPr>
          <w:rStyle w:val="FootnoteReference"/>
        </w:rPr>
        <w:footnoteRef/>
      </w:r>
      <w:r>
        <w:t xml:space="preserve"> </w:t>
      </w:r>
      <w:r w:rsidRPr="00E87803">
        <w:t xml:space="preserve">See n. 1, above. In </w:t>
      </w:r>
      <w:r w:rsidRPr="00693D7C">
        <w:rPr>
          <w:rFonts w:cs="Times New Roman"/>
          <w:u w:val="single"/>
        </w:rPr>
        <w:t>http://www.christadelphian-ejbi.org/extracts/Body.pdf</w:t>
      </w:r>
      <w:r w:rsidRPr="00E87803">
        <w:t>, I argued that Biblical textual perspectives suggest that Heb. 10:5</w:t>
      </w:r>
      <w:r>
        <w:t>’</w:t>
      </w:r>
      <w:r w:rsidRPr="00E87803">
        <w:t xml:space="preserve">s </w:t>
      </w:r>
      <w:r>
        <w:t>‘</w:t>
      </w:r>
      <w:r w:rsidRPr="00E87803">
        <w:t>body</w:t>
      </w:r>
      <w:r>
        <w:t>’</w:t>
      </w:r>
      <w:r w:rsidRPr="00E87803">
        <w:t xml:space="preserve"> has slipped into the LXX now extant. What is called </w:t>
      </w:r>
      <w:r>
        <w:t>‘</w:t>
      </w:r>
      <w:r w:rsidRPr="00E87803">
        <w:t>the LXX</w:t>
      </w:r>
      <w:r>
        <w:t>’</w:t>
      </w:r>
      <w:r w:rsidRPr="00E87803">
        <w:t xml:space="preserve"> in which </w:t>
      </w:r>
      <w:r>
        <w:t>‘</w:t>
      </w:r>
      <w:r w:rsidRPr="00E87803">
        <w:t>body</w:t>
      </w:r>
      <w:r>
        <w:t>’</w:t>
      </w:r>
      <w:r w:rsidRPr="00E87803">
        <w:t xml:space="preserve"> is found is not an original manuscript of the pre-Christian era, but a fourth century Christian codex (e.g. Vaticanus 1209). As Septuagintalists affirm, there is really no such thing as </w:t>
      </w:r>
      <w:r>
        <w:t>‘</w:t>
      </w:r>
      <w:r w:rsidRPr="00E87803">
        <w:t>the</w:t>
      </w:r>
      <w:r>
        <w:t>’</w:t>
      </w:r>
      <w:r w:rsidRPr="00E87803">
        <w:t xml:space="preserve"> Septuagint. What came to be called </w:t>
      </w:r>
      <w:r>
        <w:t>‘</w:t>
      </w:r>
      <w:r w:rsidRPr="00E87803">
        <w:t>the Septuagint</w:t>
      </w:r>
      <w:r>
        <w:t>’</w:t>
      </w:r>
      <w:r w:rsidRPr="00E87803">
        <w:t xml:space="preserve"> in the Second Century A.D. was a compilation of Greek translations of the Hebrew Text produced over a few hundred years. Editorial re-workings must be factored into its present form, including Christian insertions derived from the NT (cf. </w:t>
      </w:r>
      <w:r>
        <w:t xml:space="preserve">K. </w:t>
      </w:r>
      <w:r w:rsidRPr="00E87803">
        <w:t xml:space="preserve">Jobes and </w:t>
      </w:r>
      <w:r>
        <w:t xml:space="preserve">M. </w:t>
      </w:r>
      <w:r w:rsidRPr="00E87803">
        <w:t xml:space="preserve">Silva, </w:t>
      </w:r>
      <w:r w:rsidRPr="00E87803">
        <w:rPr>
          <w:i/>
        </w:rPr>
        <w:t>Invitation to the Septuagint</w:t>
      </w:r>
      <w:r w:rsidRPr="00E87803">
        <w:t xml:space="preserve"> [</w:t>
      </w:r>
      <w:r>
        <w:t xml:space="preserve">Carlisle: </w:t>
      </w:r>
      <w:r w:rsidRPr="00E87803">
        <w:t xml:space="preserve">Paternoster Press, 2000]: 195-198). </w:t>
      </w:r>
    </w:p>
  </w:footnote>
  <w:footnote w:id="9">
    <w:p w:rsidR="00E35D87" w:rsidRPr="00E87803" w:rsidRDefault="00E35D87" w:rsidP="001A52B5">
      <w:pPr>
        <w:pStyle w:val="FootnoteText"/>
      </w:pPr>
      <w:r w:rsidRPr="00E87803">
        <w:rPr>
          <w:rStyle w:val="FootnoteReference"/>
        </w:rPr>
        <w:footnoteRef/>
      </w:r>
      <w:r>
        <w:t xml:space="preserve"> </w:t>
      </w:r>
      <w:r w:rsidRPr="00E87803">
        <w:t xml:space="preserve">E. Würthwein, </w:t>
      </w:r>
      <w:r w:rsidRPr="00682A50">
        <w:rPr>
          <w:i/>
        </w:rPr>
        <w:t>The Text of the Old Testament: Introduction to Biblia Hebraica</w:t>
      </w:r>
      <w:r w:rsidRPr="00E87803">
        <w:t xml:space="preserve"> (</w:t>
      </w:r>
      <w:r>
        <w:t>2</w:t>
      </w:r>
      <w:r w:rsidRPr="00B80F80">
        <w:rPr>
          <w:vertAlign w:val="superscript"/>
        </w:rPr>
        <w:t>nd</w:t>
      </w:r>
      <w:r>
        <w:t xml:space="preserve"> Ed;</w:t>
      </w:r>
      <w:r w:rsidRPr="00E87803">
        <w:t xml:space="preserve"> Grand Rapid</w:t>
      </w:r>
      <w:r>
        <w:t>s</w:t>
      </w:r>
      <w:r w:rsidRPr="00E87803">
        <w:t>: Eerdmans</w:t>
      </w:r>
      <w:r>
        <w:t xml:space="preserve">, </w:t>
      </w:r>
      <w:r w:rsidRPr="00E87803">
        <w:t>1995)</w:t>
      </w:r>
      <w:r>
        <w:t>,</w:t>
      </w:r>
      <w:r w:rsidRPr="00E87803">
        <w:t xml:space="preserve"> 116.</w:t>
      </w:r>
    </w:p>
  </w:footnote>
  <w:footnote w:id="10">
    <w:p w:rsidR="00E35D87" w:rsidRPr="00E87803" w:rsidRDefault="00E35D87" w:rsidP="00E87803">
      <w:pPr>
        <w:pStyle w:val="Footnote"/>
        <w:tabs>
          <w:tab w:val="left" w:pos="362"/>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 Particularly, it has been part of an established scholarly textual industry to use the heterogeneous LXX or its internally variable representatives to emend </w:t>
      </w:r>
      <w:r>
        <w:rPr>
          <w:rFonts w:ascii="Garamond" w:hAnsi="Garamond"/>
          <w:sz w:val="22"/>
          <w:szCs w:val="22"/>
        </w:rPr>
        <w:t xml:space="preserve">the </w:t>
      </w:r>
      <w:r w:rsidRPr="00E87803">
        <w:rPr>
          <w:rFonts w:ascii="Garamond" w:hAnsi="Garamond"/>
          <w:sz w:val="22"/>
          <w:szCs w:val="22"/>
        </w:rPr>
        <w:t xml:space="preserve">MT, using the LXX to infer or produce an original Hebrew text-type (an </w:t>
      </w:r>
      <w:r>
        <w:rPr>
          <w:rFonts w:ascii="Garamond" w:hAnsi="Garamond"/>
          <w:sz w:val="22"/>
          <w:szCs w:val="22"/>
        </w:rPr>
        <w:t>‘</w:t>
      </w:r>
      <w:r w:rsidRPr="00E87803">
        <w:rPr>
          <w:rFonts w:ascii="Garamond" w:hAnsi="Garamond"/>
          <w:i/>
          <w:sz w:val="22"/>
          <w:szCs w:val="22"/>
        </w:rPr>
        <w:t>ur</w:t>
      </w:r>
      <w:r w:rsidRPr="00E87803">
        <w:rPr>
          <w:rFonts w:ascii="Garamond" w:hAnsi="Garamond"/>
          <w:sz w:val="22"/>
          <w:szCs w:val="22"/>
        </w:rPr>
        <w:t>-text</w:t>
      </w:r>
      <w:r>
        <w:rPr>
          <w:rFonts w:ascii="Garamond" w:hAnsi="Garamond"/>
          <w:sz w:val="22"/>
          <w:szCs w:val="22"/>
        </w:rPr>
        <w:t>’</w:t>
      </w:r>
      <w:r w:rsidRPr="00E87803">
        <w:rPr>
          <w:rFonts w:ascii="Garamond" w:hAnsi="Garamond"/>
          <w:sz w:val="22"/>
          <w:szCs w:val="22"/>
        </w:rPr>
        <w:t xml:space="preserve"> or a proto-MT). However, attempted reconstructions of a Hebrew textual form (</w:t>
      </w:r>
      <w:r>
        <w:rPr>
          <w:rFonts w:ascii="Garamond" w:hAnsi="Garamond"/>
          <w:sz w:val="22"/>
          <w:szCs w:val="22"/>
        </w:rPr>
        <w:t>‘</w:t>
      </w:r>
      <w:r w:rsidRPr="00E87803">
        <w:rPr>
          <w:rFonts w:ascii="Garamond" w:hAnsi="Garamond"/>
          <w:sz w:val="22"/>
          <w:szCs w:val="22"/>
        </w:rPr>
        <w:t>retroverted</w:t>
      </w:r>
      <w:r>
        <w:rPr>
          <w:rFonts w:ascii="Garamond" w:hAnsi="Garamond"/>
          <w:sz w:val="22"/>
          <w:szCs w:val="22"/>
        </w:rPr>
        <w:t>’</w:t>
      </w:r>
      <w:r w:rsidRPr="00E87803">
        <w:rPr>
          <w:rFonts w:ascii="Garamond" w:hAnsi="Garamond"/>
          <w:sz w:val="22"/>
          <w:szCs w:val="22"/>
        </w:rPr>
        <w:t xml:space="preserve">) on the basis of the LXX, or other (e.g., Qumran) sources, inevitably remain speculative. Only if the LXX were a consistent translational witness, or more Hebrew MSS with variant (e.g., LXX aligning) readings existed, would it be less secure to regard MT as a faithful descendant of the OT in Hebrew (and some parts Aramaic) originally revealed. </w:t>
      </w:r>
    </w:p>
    <w:p w:rsidR="00E35D87" w:rsidRPr="00E87803" w:rsidRDefault="00E35D87" w:rsidP="00E87803">
      <w:pPr>
        <w:tabs>
          <w:tab w:val="left" w:pos="362"/>
        </w:tabs>
        <w:rPr>
          <w:sz w:val="22"/>
          <w:szCs w:val="22"/>
        </w:rPr>
      </w:pPr>
      <w:r>
        <w:rPr>
          <w:sz w:val="22"/>
          <w:szCs w:val="22"/>
        </w:rPr>
        <w:tab/>
      </w:r>
      <w:r w:rsidRPr="00E87803">
        <w:rPr>
          <w:sz w:val="22"/>
          <w:szCs w:val="22"/>
        </w:rPr>
        <w:t xml:space="preserve">S. Jellicoe, </w:t>
      </w:r>
      <w:r w:rsidRPr="00E87803">
        <w:rPr>
          <w:i/>
          <w:sz w:val="22"/>
          <w:szCs w:val="22"/>
        </w:rPr>
        <w:t>The Septuagint and Modern Study</w:t>
      </w:r>
      <w:r w:rsidRPr="00E87803">
        <w:rPr>
          <w:sz w:val="22"/>
          <w:szCs w:val="22"/>
        </w:rPr>
        <w:t xml:space="preserve"> (</w:t>
      </w:r>
      <w:r>
        <w:rPr>
          <w:sz w:val="22"/>
          <w:szCs w:val="22"/>
        </w:rPr>
        <w:t xml:space="preserve">Oxford: </w:t>
      </w:r>
      <w:r w:rsidRPr="00E87803">
        <w:rPr>
          <w:sz w:val="22"/>
          <w:szCs w:val="22"/>
        </w:rPr>
        <w:t>O</w:t>
      </w:r>
      <w:r>
        <w:rPr>
          <w:sz w:val="22"/>
          <w:szCs w:val="22"/>
        </w:rPr>
        <w:t xml:space="preserve">xford </w:t>
      </w:r>
      <w:r w:rsidRPr="00E87803">
        <w:rPr>
          <w:sz w:val="22"/>
          <w:szCs w:val="22"/>
        </w:rPr>
        <w:t>U</w:t>
      </w:r>
      <w:r>
        <w:rPr>
          <w:sz w:val="22"/>
          <w:szCs w:val="22"/>
        </w:rPr>
        <w:t xml:space="preserve">niversity </w:t>
      </w:r>
      <w:r w:rsidRPr="00E87803">
        <w:rPr>
          <w:sz w:val="22"/>
          <w:szCs w:val="22"/>
        </w:rPr>
        <w:t>P</w:t>
      </w:r>
      <w:r>
        <w:rPr>
          <w:sz w:val="22"/>
          <w:szCs w:val="22"/>
        </w:rPr>
        <w:t>ress</w:t>
      </w:r>
      <w:r w:rsidRPr="00E87803">
        <w:rPr>
          <w:sz w:val="22"/>
          <w:szCs w:val="22"/>
        </w:rPr>
        <w:t>, 1968)</w:t>
      </w:r>
      <w:r>
        <w:rPr>
          <w:sz w:val="22"/>
          <w:szCs w:val="22"/>
        </w:rPr>
        <w:t>,</w:t>
      </w:r>
      <w:r w:rsidRPr="00E87803">
        <w:rPr>
          <w:sz w:val="22"/>
          <w:szCs w:val="22"/>
        </w:rPr>
        <w:t xml:space="preserve"> 320-321, in a section entitled</w:t>
      </w:r>
      <w:r>
        <w:rPr>
          <w:sz w:val="22"/>
          <w:szCs w:val="22"/>
        </w:rPr>
        <w:t>,</w:t>
      </w:r>
      <w:r w:rsidRPr="00E87803">
        <w:rPr>
          <w:sz w:val="22"/>
          <w:szCs w:val="22"/>
        </w:rPr>
        <w:t xml:space="preserve"> </w:t>
      </w:r>
      <w:r>
        <w:rPr>
          <w:sz w:val="22"/>
          <w:szCs w:val="22"/>
        </w:rPr>
        <w:t>“</w:t>
      </w:r>
      <w:r w:rsidRPr="00E87803">
        <w:rPr>
          <w:sz w:val="22"/>
          <w:szCs w:val="22"/>
        </w:rPr>
        <w:t>The Hebrew Text and the Septuagint</w:t>
      </w:r>
      <w:r>
        <w:rPr>
          <w:sz w:val="22"/>
          <w:szCs w:val="22"/>
        </w:rPr>
        <w:t>”,</w:t>
      </w:r>
      <w:r w:rsidRPr="00E87803">
        <w:rPr>
          <w:sz w:val="22"/>
          <w:szCs w:val="22"/>
        </w:rPr>
        <w:t xml:space="preserve"> discusses the earlier practice of scholars to </w:t>
      </w:r>
      <w:r w:rsidRPr="00B80F80">
        <w:rPr>
          <w:sz w:val="22"/>
          <w:szCs w:val="22"/>
          <w:lang w:val="en-GB"/>
        </w:rPr>
        <w:t>criticise</w:t>
      </w:r>
      <w:r w:rsidRPr="00E87803">
        <w:rPr>
          <w:sz w:val="22"/>
          <w:szCs w:val="22"/>
        </w:rPr>
        <w:t xml:space="preserve"> and emend </w:t>
      </w:r>
      <w:r>
        <w:rPr>
          <w:sz w:val="22"/>
          <w:szCs w:val="22"/>
        </w:rPr>
        <w:t xml:space="preserve">the </w:t>
      </w:r>
      <w:r w:rsidRPr="00E87803">
        <w:rPr>
          <w:sz w:val="22"/>
          <w:szCs w:val="22"/>
        </w:rPr>
        <w:t xml:space="preserve">MT on the basis of the LXX, and mentions a different approach </w:t>
      </w:r>
      <w:r>
        <w:rPr>
          <w:sz w:val="22"/>
          <w:szCs w:val="22"/>
        </w:rPr>
        <w:t>in his day</w:t>
      </w:r>
      <w:r w:rsidRPr="00E87803">
        <w:rPr>
          <w:sz w:val="22"/>
          <w:szCs w:val="22"/>
        </w:rPr>
        <w:t xml:space="preserve">. This, of course, tells us much about the revisable nature of scholarly theory.  He states: </w:t>
      </w:r>
      <w:r>
        <w:rPr>
          <w:sz w:val="22"/>
          <w:szCs w:val="22"/>
        </w:rPr>
        <w:t>“</w:t>
      </w:r>
      <w:r w:rsidRPr="00E87803">
        <w:rPr>
          <w:sz w:val="22"/>
          <w:szCs w:val="22"/>
        </w:rPr>
        <w:t xml:space="preserve">To what extent may the LXX be legitimately used to reconstruct the Hebrew? In the first place it should be observed that there is a growing caution on the part of commentators in having recourse to emendation at all.  This is due to an increased respect for the Masoretic text, which had been commonly accepted, with the general support of Aquila, Origen, and the Vulgate, as going back to the time of Rabbi Akiba, </w:t>
      </w:r>
      <w:r w:rsidRPr="00E87803">
        <w:rPr>
          <w:i/>
          <w:sz w:val="22"/>
          <w:szCs w:val="22"/>
        </w:rPr>
        <w:t>ca.</w:t>
      </w:r>
      <w:r w:rsidRPr="00E87803">
        <w:rPr>
          <w:sz w:val="22"/>
          <w:szCs w:val="22"/>
        </w:rPr>
        <w:t xml:space="preserve"> A.D. 100. The evidence of the Dead Sea Scrolls has not only substantially confirmed this hypothesis, but is widely held to establish the existence of this text antedating in essentials the Christian era...Formerly when the intrinsic trustworthiness of Masoretic text was held in lesser esteem, it was the practice of commentators copiously to emend their text on </w:t>
      </w:r>
      <w:r>
        <w:rPr>
          <w:sz w:val="22"/>
          <w:szCs w:val="22"/>
        </w:rPr>
        <w:t>‘</w:t>
      </w:r>
      <w:r w:rsidRPr="00E87803">
        <w:rPr>
          <w:sz w:val="22"/>
          <w:szCs w:val="22"/>
        </w:rPr>
        <w:t>the authority of the Septuagint</w:t>
      </w:r>
      <w:r>
        <w:rPr>
          <w:sz w:val="22"/>
          <w:szCs w:val="22"/>
        </w:rPr>
        <w:t>’</w:t>
      </w:r>
      <w:r w:rsidRPr="00E87803">
        <w:rPr>
          <w:sz w:val="22"/>
          <w:szCs w:val="22"/>
        </w:rPr>
        <w:t xml:space="preserve"> as preserving an earlier and more reliable reading...translation involves interpretation, and this may in some cases suggest </w:t>
      </w:r>
      <w:r w:rsidRPr="00E87803">
        <w:rPr>
          <w:i/>
          <w:sz w:val="22"/>
          <w:szCs w:val="22"/>
        </w:rPr>
        <w:t>prima facie</w:t>
      </w:r>
      <w:r w:rsidRPr="00E87803">
        <w:rPr>
          <w:sz w:val="22"/>
          <w:szCs w:val="22"/>
        </w:rPr>
        <w:t xml:space="preserve"> a different Hebrew text, a supposition which further investigation fails to support</w:t>
      </w:r>
      <w:r>
        <w:rPr>
          <w:sz w:val="22"/>
          <w:szCs w:val="22"/>
        </w:rPr>
        <w:t>”.</w:t>
      </w:r>
      <w:r w:rsidRPr="00E87803">
        <w:rPr>
          <w:sz w:val="22"/>
          <w:szCs w:val="22"/>
        </w:rPr>
        <w:t xml:space="preserve">  See also: A. R. Millard, </w:t>
      </w:r>
      <w:r>
        <w:rPr>
          <w:sz w:val="22"/>
          <w:szCs w:val="22"/>
        </w:rPr>
        <w:t>“</w:t>
      </w:r>
      <w:r w:rsidRPr="00E87803">
        <w:rPr>
          <w:sz w:val="22"/>
          <w:szCs w:val="22"/>
        </w:rPr>
        <w:t>In Praise of Ancient Scribes</w:t>
      </w:r>
      <w:r>
        <w:rPr>
          <w:sz w:val="22"/>
          <w:szCs w:val="22"/>
        </w:rPr>
        <w:t>”</w:t>
      </w:r>
      <w:r w:rsidRPr="00E87803">
        <w:rPr>
          <w:sz w:val="22"/>
          <w:szCs w:val="22"/>
        </w:rPr>
        <w:t xml:space="preserve"> </w:t>
      </w:r>
      <w:r w:rsidRPr="00E87803">
        <w:rPr>
          <w:i/>
          <w:sz w:val="22"/>
          <w:szCs w:val="22"/>
        </w:rPr>
        <w:t xml:space="preserve">The Biblical Archaeologist </w:t>
      </w:r>
      <w:r w:rsidRPr="00E87803">
        <w:rPr>
          <w:sz w:val="22"/>
          <w:szCs w:val="22"/>
        </w:rPr>
        <w:t>45 (1982)</w:t>
      </w:r>
      <w:r>
        <w:rPr>
          <w:sz w:val="22"/>
          <w:szCs w:val="22"/>
        </w:rPr>
        <w:t>:</w:t>
      </w:r>
      <w:r w:rsidRPr="00E87803">
        <w:rPr>
          <w:sz w:val="22"/>
          <w:szCs w:val="22"/>
        </w:rPr>
        <w:t xml:space="preserve"> 143–54. </w:t>
      </w:r>
    </w:p>
  </w:footnote>
  <w:footnote w:id="11">
    <w:p w:rsidR="00E35D87" w:rsidRPr="00E87803" w:rsidRDefault="00E35D87" w:rsidP="00E87803">
      <w:pPr>
        <w:pStyle w:val="Footnote"/>
        <w:tabs>
          <w:tab w:val="left" w:pos="384"/>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vertAlign w:val="superscript"/>
        </w:rPr>
        <w:t xml:space="preserve"> </w:t>
      </w:r>
      <w:r>
        <w:rPr>
          <w:rFonts w:ascii="Garamond" w:hAnsi="Garamond"/>
          <w:sz w:val="22"/>
          <w:szCs w:val="22"/>
        </w:rPr>
        <w:t>P</w:t>
      </w:r>
      <w:r w:rsidRPr="00E87803">
        <w:rPr>
          <w:rFonts w:ascii="Garamond" w:hAnsi="Garamond"/>
          <w:sz w:val="22"/>
          <w:szCs w:val="22"/>
        </w:rPr>
        <w:t>rovidential preservation of the Hebrew Bible</w:t>
      </w:r>
      <w:r>
        <w:rPr>
          <w:rFonts w:ascii="Garamond" w:hAnsi="Garamond"/>
          <w:sz w:val="22"/>
          <w:szCs w:val="22"/>
        </w:rPr>
        <w:t>’</w:t>
      </w:r>
      <w:r w:rsidRPr="00E87803">
        <w:rPr>
          <w:rFonts w:ascii="Garamond" w:hAnsi="Garamond"/>
          <w:sz w:val="22"/>
          <w:szCs w:val="22"/>
        </w:rPr>
        <w:t xml:space="preserve">s consonantal text from the time of Ezra appears to be the case.  Likewise, </w:t>
      </w:r>
      <w:r>
        <w:rPr>
          <w:rFonts w:ascii="Garamond" w:hAnsi="Garamond"/>
          <w:sz w:val="22"/>
          <w:szCs w:val="22"/>
        </w:rPr>
        <w:t>d</w:t>
      </w:r>
      <w:r w:rsidRPr="00E87803">
        <w:rPr>
          <w:rFonts w:ascii="Garamond" w:hAnsi="Garamond"/>
          <w:sz w:val="22"/>
          <w:szCs w:val="22"/>
        </w:rPr>
        <w:t>ivine care also applies to the Greek NT witnessed in thousands of MSS from close to the time of the apostles.  History is regulated by God</w:t>
      </w:r>
      <w:r>
        <w:rPr>
          <w:rFonts w:ascii="Garamond" w:hAnsi="Garamond"/>
          <w:sz w:val="22"/>
          <w:szCs w:val="22"/>
        </w:rPr>
        <w:t>’</w:t>
      </w:r>
      <w:r w:rsidRPr="00E87803">
        <w:rPr>
          <w:rFonts w:ascii="Garamond" w:hAnsi="Garamond"/>
          <w:sz w:val="22"/>
          <w:szCs w:val="22"/>
        </w:rPr>
        <w:t xml:space="preserve">s concerns. Ironically, among the Jews and </w:t>
      </w:r>
      <w:r w:rsidRPr="00B80F80">
        <w:rPr>
          <w:rFonts w:ascii="Garamond" w:hAnsi="Garamond"/>
          <w:sz w:val="22"/>
          <w:szCs w:val="22"/>
          <w:lang w:val="en-GB"/>
        </w:rPr>
        <w:t>institutionalised</w:t>
      </w:r>
      <w:r w:rsidRPr="00E87803">
        <w:rPr>
          <w:rFonts w:ascii="Garamond" w:hAnsi="Garamond"/>
          <w:sz w:val="22"/>
          <w:szCs w:val="22"/>
        </w:rPr>
        <w:t xml:space="preserve"> Christians, both of whom are indicted by the Scriptures, there were those whose veneration (</w:t>
      </w:r>
      <w:r w:rsidRPr="00E87803">
        <w:rPr>
          <w:rFonts w:ascii="Garamond" w:hAnsi="Garamond"/>
          <w:i/>
          <w:sz w:val="22"/>
          <w:szCs w:val="22"/>
        </w:rPr>
        <w:t>etc.</w:t>
      </w:r>
      <w:r w:rsidRPr="00E87803">
        <w:rPr>
          <w:rFonts w:ascii="Garamond" w:hAnsi="Garamond"/>
          <w:sz w:val="22"/>
          <w:szCs w:val="22"/>
        </w:rPr>
        <w:t>) for the Biblical text ensured its preservation.</w:t>
      </w:r>
    </w:p>
  </w:footnote>
  <w:footnote w:id="12">
    <w:p w:rsidR="00E35D87" w:rsidRPr="00E87803" w:rsidRDefault="00E35D87" w:rsidP="001A52B5">
      <w:pPr>
        <w:pStyle w:val="FootnoteText"/>
      </w:pPr>
      <w:r w:rsidRPr="00E87803">
        <w:rPr>
          <w:snapToGrid w:val="0"/>
          <w:vertAlign w:val="superscript"/>
          <w:lang w:val="en-US"/>
        </w:rPr>
        <w:footnoteRef/>
      </w:r>
      <w:r w:rsidRPr="00E87803">
        <w:rPr>
          <w:snapToGrid w:val="0"/>
          <w:vertAlign w:val="superscript"/>
          <w:lang w:val="en-US"/>
        </w:rPr>
        <w:t xml:space="preserve"> </w:t>
      </w:r>
      <w:r>
        <w:rPr>
          <w:snapToGrid w:val="0"/>
          <w:vertAlign w:val="superscript"/>
          <w:lang w:val="en-US"/>
        </w:rPr>
        <w:t xml:space="preserve"> </w:t>
      </w:r>
      <w:r w:rsidRPr="00E87803">
        <w:t xml:space="preserve">T. F. Torrance, </w:t>
      </w:r>
      <w:r w:rsidRPr="00E87803">
        <w:rPr>
          <w:i/>
        </w:rPr>
        <w:t>Theological Science</w:t>
      </w:r>
      <w:r w:rsidRPr="00E87803">
        <w:t xml:space="preserve"> (Oxford: Oxford University Press, 1969)</w:t>
      </w:r>
      <w:r>
        <w:t>,</w:t>
      </w:r>
      <w:r w:rsidRPr="00E87803">
        <w:t xml:space="preserve"> 280.</w:t>
      </w:r>
    </w:p>
  </w:footnote>
  <w:footnote w:id="13">
    <w:p w:rsidR="00E35D87" w:rsidRPr="00E87803" w:rsidRDefault="00E35D87" w:rsidP="00390E02">
      <w:pPr>
        <w:pStyle w:val="Footnote"/>
        <w:tabs>
          <w:tab w:val="left" w:pos="426"/>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Cf. R. Roberts, </w:t>
      </w:r>
      <w:r w:rsidRPr="00E87803">
        <w:rPr>
          <w:rFonts w:ascii="Garamond" w:hAnsi="Garamond"/>
          <w:i/>
          <w:sz w:val="22"/>
          <w:szCs w:val="22"/>
        </w:rPr>
        <w:t>Nazareth Revisited</w:t>
      </w:r>
      <w:r w:rsidRPr="00E87803">
        <w:rPr>
          <w:rFonts w:ascii="Garamond" w:hAnsi="Garamond"/>
          <w:sz w:val="22"/>
          <w:szCs w:val="22"/>
        </w:rPr>
        <w:t xml:space="preserve"> (</w:t>
      </w:r>
      <w:r>
        <w:rPr>
          <w:rFonts w:ascii="Garamond" w:hAnsi="Garamond"/>
          <w:sz w:val="22"/>
          <w:szCs w:val="22"/>
        </w:rPr>
        <w:t xml:space="preserve">Repr. of the original 1890 edition; Nottingham: </w:t>
      </w:r>
      <w:r w:rsidRPr="00E87803">
        <w:rPr>
          <w:rFonts w:ascii="Garamond" w:hAnsi="Garamond"/>
          <w:sz w:val="22"/>
          <w:szCs w:val="22"/>
        </w:rPr>
        <w:t>The Dawn Book Supply</w:t>
      </w:r>
      <w:r>
        <w:rPr>
          <w:rFonts w:ascii="Garamond" w:hAnsi="Garamond"/>
          <w:sz w:val="22"/>
          <w:szCs w:val="22"/>
        </w:rPr>
        <w:t xml:space="preserve">, </w:t>
      </w:r>
      <w:r w:rsidRPr="00E87803">
        <w:rPr>
          <w:rFonts w:ascii="Garamond" w:hAnsi="Garamond"/>
          <w:sz w:val="22"/>
          <w:szCs w:val="22"/>
        </w:rPr>
        <w:t>1953</w:t>
      </w:r>
      <w:r>
        <w:rPr>
          <w:rFonts w:ascii="Garamond" w:hAnsi="Garamond"/>
          <w:sz w:val="22"/>
          <w:szCs w:val="22"/>
        </w:rPr>
        <w:t>),</w:t>
      </w:r>
      <w:r w:rsidRPr="00E87803">
        <w:rPr>
          <w:rFonts w:ascii="Garamond" w:hAnsi="Garamond"/>
          <w:sz w:val="22"/>
          <w:szCs w:val="22"/>
        </w:rPr>
        <w:t xml:space="preserve"> vii.</w:t>
      </w:r>
    </w:p>
  </w:footnote>
  <w:footnote w:id="14">
    <w:p w:rsidR="00E35D87" w:rsidRPr="00E87803" w:rsidRDefault="00E35D87" w:rsidP="00390E02">
      <w:pPr>
        <w:pStyle w:val="Footnote"/>
        <w:tabs>
          <w:tab w:val="left" w:pos="384"/>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A Gospel parallel account is like </w:t>
      </w:r>
      <w:r>
        <w:rPr>
          <w:rFonts w:ascii="Garamond" w:hAnsi="Garamond"/>
          <w:sz w:val="22"/>
          <w:szCs w:val="22"/>
        </w:rPr>
        <w:t>‘</w:t>
      </w:r>
      <w:r w:rsidRPr="00E87803">
        <w:rPr>
          <w:rFonts w:ascii="Garamond" w:hAnsi="Garamond"/>
          <w:sz w:val="22"/>
          <w:szCs w:val="22"/>
        </w:rPr>
        <w:t>quotation</w:t>
      </w:r>
      <w:r>
        <w:rPr>
          <w:rFonts w:ascii="Garamond" w:hAnsi="Garamond"/>
          <w:sz w:val="22"/>
          <w:szCs w:val="22"/>
        </w:rPr>
        <w:t>’;</w:t>
      </w:r>
      <w:r w:rsidRPr="00E87803">
        <w:rPr>
          <w:rFonts w:ascii="Garamond" w:hAnsi="Garamond"/>
          <w:sz w:val="22"/>
          <w:szCs w:val="22"/>
        </w:rPr>
        <w:t xml:space="preserve"> it is a representative portion, a divinely focused treatment of wh</w:t>
      </w:r>
      <w:r>
        <w:rPr>
          <w:rFonts w:ascii="Garamond" w:hAnsi="Garamond"/>
          <w:sz w:val="22"/>
          <w:szCs w:val="22"/>
        </w:rPr>
        <w:t>at Jesus both did and taught (J</w:t>
      </w:r>
      <w:r w:rsidRPr="00E87803">
        <w:rPr>
          <w:rFonts w:ascii="Garamond" w:hAnsi="Garamond"/>
          <w:sz w:val="22"/>
          <w:szCs w:val="22"/>
        </w:rPr>
        <w:t>o</w:t>
      </w:r>
      <w:r>
        <w:rPr>
          <w:rFonts w:ascii="Garamond" w:hAnsi="Garamond"/>
          <w:sz w:val="22"/>
          <w:szCs w:val="22"/>
        </w:rPr>
        <w:t>hn</w:t>
      </w:r>
      <w:r w:rsidRPr="00E87803">
        <w:rPr>
          <w:rFonts w:ascii="Garamond" w:hAnsi="Garamond"/>
          <w:sz w:val="22"/>
          <w:szCs w:val="22"/>
        </w:rPr>
        <w:t xml:space="preserve"> 20:30-31).  Like quotations from the OT, the Greek NT will involve </w:t>
      </w:r>
      <w:r>
        <w:rPr>
          <w:rFonts w:ascii="Garamond" w:hAnsi="Garamond"/>
          <w:sz w:val="22"/>
          <w:szCs w:val="22"/>
        </w:rPr>
        <w:t>“</w:t>
      </w:r>
      <w:r w:rsidRPr="00E87803">
        <w:rPr>
          <w:rFonts w:ascii="Garamond" w:hAnsi="Garamond"/>
          <w:sz w:val="22"/>
          <w:szCs w:val="22"/>
        </w:rPr>
        <w:t>translation</w:t>
      </w:r>
      <w:r>
        <w:rPr>
          <w:rFonts w:ascii="Garamond" w:hAnsi="Garamond"/>
          <w:sz w:val="22"/>
          <w:szCs w:val="22"/>
        </w:rPr>
        <w:t>”</w:t>
      </w:r>
      <w:r w:rsidRPr="00E87803">
        <w:rPr>
          <w:rFonts w:ascii="Garamond" w:hAnsi="Garamond"/>
          <w:sz w:val="22"/>
          <w:szCs w:val="22"/>
        </w:rPr>
        <w:t xml:space="preserve"> into Greek of what was undertaken largely in Hebrew in Jesus</w:t>
      </w:r>
      <w:r>
        <w:rPr>
          <w:rFonts w:ascii="Garamond" w:hAnsi="Garamond"/>
          <w:sz w:val="22"/>
          <w:szCs w:val="22"/>
        </w:rPr>
        <w:t>’</w:t>
      </w:r>
      <w:r w:rsidRPr="00E87803">
        <w:rPr>
          <w:rFonts w:ascii="Garamond" w:hAnsi="Garamond"/>
          <w:sz w:val="22"/>
          <w:szCs w:val="22"/>
        </w:rPr>
        <w:t xml:space="preserve"> ministry. Although Greek is the mono-lingual form for the NT text, translation from Hebrew (vernacular) is at least evident where the Greek text says of a transliterated Hebrew term </w:t>
      </w:r>
      <w:r>
        <w:rPr>
          <w:rFonts w:ascii="Garamond" w:hAnsi="Garamond"/>
          <w:sz w:val="22"/>
          <w:szCs w:val="22"/>
        </w:rPr>
        <w:t>“</w:t>
      </w:r>
      <w:r w:rsidRPr="00E87803">
        <w:rPr>
          <w:rFonts w:ascii="Garamond" w:hAnsi="Garamond"/>
          <w:sz w:val="22"/>
          <w:szCs w:val="22"/>
        </w:rPr>
        <w:t>which being interpreted is</w:t>
      </w:r>
      <w:r>
        <w:rPr>
          <w:rFonts w:ascii="Garamond" w:hAnsi="Garamond"/>
          <w:sz w:val="22"/>
          <w:szCs w:val="22"/>
        </w:rPr>
        <w:t>”</w:t>
      </w:r>
      <w:r w:rsidRPr="00E87803">
        <w:rPr>
          <w:rFonts w:ascii="Garamond" w:hAnsi="Garamond"/>
          <w:sz w:val="22"/>
          <w:szCs w:val="22"/>
        </w:rPr>
        <w:t xml:space="preserve"> (Matt 1:23; J</w:t>
      </w:r>
      <w:r>
        <w:rPr>
          <w:rFonts w:ascii="Garamond" w:hAnsi="Garamond"/>
          <w:sz w:val="22"/>
          <w:szCs w:val="22"/>
        </w:rPr>
        <w:t>oh</w:t>
      </w:r>
      <w:r w:rsidRPr="00E87803">
        <w:rPr>
          <w:rFonts w:ascii="Garamond" w:hAnsi="Garamond"/>
          <w:sz w:val="22"/>
          <w:szCs w:val="22"/>
        </w:rPr>
        <w:t xml:space="preserve">n 1:41). To preclude this possibility would be to suppose that Jesus and the Apostles only spoke Greek. The Holy Spirit gifts (Acts 2:4-11) would enable what was brought to remembrance to be expressed directly in Greek, though what was remembered would have occurred in the Hebrew language, </w:t>
      </w:r>
      <w:r>
        <w:rPr>
          <w:rFonts w:ascii="Garamond" w:hAnsi="Garamond"/>
          <w:sz w:val="22"/>
          <w:szCs w:val="22"/>
        </w:rPr>
        <w:t>(</w:t>
      </w:r>
      <w:r w:rsidRPr="00E87803">
        <w:rPr>
          <w:rFonts w:ascii="Garamond" w:hAnsi="Garamond"/>
          <w:sz w:val="22"/>
          <w:szCs w:val="22"/>
        </w:rPr>
        <w:t>or milieu</w:t>
      </w:r>
      <w:r>
        <w:rPr>
          <w:rFonts w:ascii="Garamond" w:hAnsi="Garamond"/>
          <w:sz w:val="22"/>
          <w:szCs w:val="22"/>
        </w:rPr>
        <w:t>)</w:t>
      </w:r>
      <w:r w:rsidRPr="00E87803">
        <w:rPr>
          <w:rFonts w:ascii="Garamond" w:hAnsi="Garamond"/>
          <w:sz w:val="22"/>
          <w:szCs w:val="22"/>
        </w:rPr>
        <w:t>.  This is quite different from the assumption sometimes made that the original Gospels were written in Hebrew (or even Aramaic), and not in Greek as we have them.</w:t>
      </w:r>
    </w:p>
  </w:footnote>
  <w:footnote w:id="15">
    <w:p w:rsidR="00E35D87" w:rsidRPr="00E87803" w:rsidRDefault="00E35D87" w:rsidP="00E87803">
      <w:pPr>
        <w:pStyle w:val="Footnote"/>
        <w:tabs>
          <w:tab w:val="left" w:pos="341"/>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Roberts, </w:t>
      </w:r>
      <w:r w:rsidRPr="00E87803">
        <w:rPr>
          <w:rFonts w:ascii="Garamond" w:hAnsi="Garamond"/>
          <w:i/>
          <w:sz w:val="22"/>
          <w:szCs w:val="22"/>
        </w:rPr>
        <w:t>Nazareth Revisited</w:t>
      </w:r>
      <w:r>
        <w:rPr>
          <w:rFonts w:ascii="Garamond" w:hAnsi="Garamond"/>
          <w:sz w:val="22"/>
          <w:szCs w:val="22"/>
        </w:rPr>
        <w:t>,</w:t>
      </w:r>
      <w:r w:rsidRPr="00E87803">
        <w:rPr>
          <w:rFonts w:ascii="Garamond" w:hAnsi="Garamond"/>
          <w:sz w:val="22"/>
          <w:szCs w:val="22"/>
        </w:rPr>
        <w:t xml:space="preserve"> iii.</w:t>
      </w:r>
    </w:p>
  </w:footnote>
  <w:footnote w:id="16">
    <w:p w:rsidR="00E35D87" w:rsidRPr="00E87803" w:rsidRDefault="00E35D87" w:rsidP="00E87803">
      <w:pPr>
        <w:pStyle w:val="Footnote"/>
        <w:tabs>
          <w:tab w:val="left" w:pos="378"/>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Roberts, </w:t>
      </w:r>
      <w:r w:rsidRPr="00E87803">
        <w:rPr>
          <w:rFonts w:ascii="Garamond" w:hAnsi="Garamond"/>
          <w:i/>
          <w:sz w:val="22"/>
          <w:szCs w:val="22"/>
        </w:rPr>
        <w:t>Nazareth Revisited</w:t>
      </w:r>
      <w:r>
        <w:rPr>
          <w:rFonts w:ascii="Garamond" w:hAnsi="Garamond"/>
          <w:sz w:val="22"/>
          <w:szCs w:val="22"/>
        </w:rPr>
        <w:t>,</w:t>
      </w:r>
      <w:r w:rsidRPr="00E87803">
        <w:rPr>
          <w:rFonts w:ascii="Garamond" w:hAnsi="Garamond"/>
          <w:sz w:val="22"/>
          <w:szCs w:val="22"/>
        </w:rPr>
        <w:t xml:space="preserve"> vii.</w:t>
      </w:r>
    </w:p>
  </w:footnote>
  <w:footnote w:id="17">
    <w:p w:rsidR="00E35D87" w:rsidRPr="00E87803" w:rsidRDefault="00E35D87" w:rsidP="00E87803">
      <w:pPr>
        <w:pStyle w:val="Footnote"/>
        <w:tabs>
          <w:tab w:val="left" w:pos="384"/>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Roberts, </w:t>
      </w:r>
      <w:r w:rsidRPr="00E87803">
        <w:rPr>
          <w:rFonts w:ascii="Garamond" w:hAnsi="Garamond"/>
          <w:i/>
          <w:sz w:val="22"/>
          <w:szCs w:val="22"/>
        </w:rPr>
        <w:t>Nazareth Revisited</w:t>
      </w:r>
      <w:r>
        <w:rPr>
          <w:rFonts w:ascii="Garamond" w:hAnsi="Garamond"/>
          <w:sz w:val="22"/>
          <w:szCs w:val="22"/>
        </w:rPr>
        <w:t>,</w:t>
      </w:r>
      <w:r w:rsidRPr="00E87803">
        <w:rPr>
          <w:rFonts w:ascii="Garamond" w:hAnsi="Garamond"/>
          <w:sz w:val="22"/>
          <w:szCs w:val="22"/>
        </w:rPr>
        <w:t xml:space="preserve"> </w:t>
      </w:r>
      <w:r>
        <w:rPr>
          <w:rFonts w:ascii="Garamond" w:hAnsi="Garamond"/>
          <w:sz w:val="22"/>
          <w:szCs w:val="22"/>
        </w:rPr>
        <w:t>viii</w:t>
      </w:r>
      <w:r w:rsidRPr="00E87803">
        <w:rPr>
          <w:rFonts w:ascii="Garamond" w:hAnsi="Garamond"/>
          <w:sz w:val="22"/>
          <w:szCs w:val="22"/>
        </w:rPr>
        <w:t>-ix.</w:t>
      </w:r>
    </w:p>
  </w:footnote>
  <w:footnote w:id="18">
    <w:p w:rsidR="00E35D87" w:rsidRPr="00E87803" w:rsidRDefault="00E35D87" w:rsidP="00E87803">
      <w:pPr>
        <w:pStyle w:val="Footnote"/>
        <w:tabs>
          <w:tab w:val="left" w:pos="378"/>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Roberts, </w:t>
      </w:r>
      <w:r w:rsidRPr="00E87803">
        <w:rPr>
          <w:rFonts w:ascii="Garamond" w:hAnsi="Garamond"/>
          <w:i/>
          <w:sz w:val="22"/>
          <w:szCs w:val="22"/>
        </w:rPr>
        <w:t>Nazareth Revisited</w:t>
      </w:r>
      <w:r>
        <w:rPr>
          <w:rFonts w:ascii="Garamond" w:hAnsi="Garamond"/>
          <w:sz w:val="22"/>
          <w:szCs w:val="22"/>
        </w:rPr>
        <w:t>,</w:t>
      </w:r>
      <w:r w:rsidRPr="00E87803">
        <w:rPr>
          <w:rFonts w:ascii="Garamond" w:hAnsi="Garamond"/>
          <w:sz w:val="22"/>
          <w:szCs w:val="22"/>
        </w:rPr>
        <w:t xml:space="preserve"> vii.</w:t>
      </w:r>
    </w:p>
  </w:footnote>
  <w:footnote w:id="19">
    <w:p w:rsidR="00E35D87" w:rsidRPr="00E87803" w:rsidRDefault="00E35D87" w:rsidP="001A52B5">
      <w:pPr>
        <w:pStyle w:val="FootnoteText"/>
      </w:pPr>
      <w:r w:rsidRPr="00E87803">
        <w:rPr>
          <w:rStyle w:val="FootnoteReference"/>
        </w:rPr>
        <w:footnoteRef/>
      </w:r>
      <w:r w:rsidRPr="00E87803">
        <w:t xml:space="preserve"> </w:t>
      </w:r>
      <w:r>
        <w:t>“</w:t>
      </w:r>
      <w:r w:rsidRPr="00E87803">
        <w:t>Their diversities</w:t>
      </w:r>
      <w:r>
        <w:t>”</w:t>
      </w:r>
      <w:r w:rsidRPr="00E87803">
        <w:t xml:space="preserve">, if that means what they differently record, are not </w:t>
      </w:r>
      <w:r w:rsidRPr="00E87803">
        <w:rPr>
          <w:b/>
        </w:rPr>
        <w:t xml:space="preserve">their </w:t>
      </w:r>
      <w:r w:rsidRPr="00E87803">
        <w:t xml:space="preserve">diversities. </w:t>
      </w:r>
      <w:r>
        <w:t>‘</w:t>
      </w:r>
      <w:r w:rsidRPr="00E87803">
        <w:t>Their</w:t>
      </w:r>
      <w:r>
        <w:t>’</w:t>
      </w:r>
      <w:r w:rsidRPr="00E87803">
        <w:t xml:space="preserve"> is merely our (or a) way of referring to the Gospel carrying their name, but it is not </w:t>
      </w:r>
      <w:r>
        <w:t>‘</w:t>
      </w:r>
      <w:r w:rsidRPr="00E87803">
        <w:t>theirs</w:t>
      </w:r>
      <w:r>
        <w:t>’</w:t>
      </w:r>
      <w:r w:rsidRPr="00E87803">
        <w:t xml:space="preserve">, nor </w:t>
      </w:r>
      <w:r>
        <w:t>‘</w:t>
      </w:r>
      <w:r w:rsidRPr="00E87803">
        <w:t>of them</w:t>
      </w:r>
      <w:r>
        <w:t>’</w:t>
      </w:r>
      <w:r w:rsidRPr="00E87803">
        <w:t xml:space="preserve">, but </w:t>
      </w:r>
      <w:r>
        <w:t>‘</w:t>
      </w:r>
      <w:r w:rsidRPr="00E87803">
        <w:t>of God</w:t>
      </w:r>
      <w:r>
        <w:t>’</w:t>
      </w:r>
      <w:r w:rsidRPr="00E87803">
        <w:t xml:space="preserve"> (1 Thess 2:13).  As Roberts adds </w:t>
      </w:r>
      <w:r>
        <w:t>“</w:t>
      </w:r>
      <w:r w:rsidRPr="00E87803">
        <w:t>Their narrative was controlled by the Spirit</w:t>
      </w:r>
      <w:r>
        <w:t>”</w:t>
      </w:r>
      <w:r w:rsidRPr="00E87803">
        <w:t>. Diversity in revelation, or God</w:t>
      </w:r>
      <w:r>
        <w:t>’</w:t>
      </w:r>
      <w:r w:rsidRPr="00E87803">
        <w:t xml:space="preserve">s manifestation in different believing agents, mediates His one (authorial) spirit. Like the prophets in whom was </w:t>
      </w:r>
      <w:r>
        <w:t>‘</w:t>
      </w:r>
      <w:r w:rsidRPr="00E87803">
        <w:t>the spirit of Christ</w:t>
      </w:r>
      <w:r>
        <w:t>’</w:t>
      </w:r>
      <w:r w:rsidRPr="00E87803">
        <w:t>, or like David himself (cf. M</w:t>
      </w:r>
      <w:r>
        <w:t>ar</w:t>
      </w:r>
      <w:r w:rsidRPr="00E87803">
        <w:t>k 12:36 with L</w:t>
      </w:r>
      <w:r>
        <w:t>u</w:t>
      </w:r>
      <w:r w:rsidRPr="00E87803">
        <w:t>k</w:t>
      </w:r>
      <w:r>
        <w:t>e</w:t>
      </w:r>
      <w:r w:rsidRPr="00E87803">
        <w:t xml:space="preserve"> 20:42), a Messianic type, the apostles also </w:t>
      </w:r>
      <w:r>
        <w:t>‘</w:t>
      </w:r>
      <w:r w:rsidRPr="00E87803">
        <w:t>speak</w:t>
      </w:r>
      <w:r>
        <w:t>’</w:t>
      </w:r>
      <w:r w:rsidRPr="00E87803">
        <w:t xml:space="preserve"> (in their writing) being </w:t>
      </w:r>
      <w:r>
        <w:t>“</w:t>
      </w:r>
      <w:r w:rsidRPr="00E87803">
        <w:t>moved</w:t>
      </w:r>
      <w:r>
        <w:t>”</w:t>
      </w:r>
      <w:r w:rsidRPr="00E87803">
        <w:t xml:space="preserve"> concerning Christ </w:t>
      </w:r>
      <w:r>
        <w:t>“</w:t>
      </w:r>
      <w:r w:rsidRPr="00E87803">
        <w:t>by the Holy Spirit</w:t>
      </w:r>
      <w:r>
        <w:t>”</w:t>
      </w:r>
      <w:r w:rsidRPr="00E87803">
        <w:t xml:space="preserve"> (2 Pet 1:21; 3:2).  Christ said that the Comforter, which is the Holy Spirit, would both </w:t>
      </w:r>
      <w:r>
        <w:t>“</w:t>
      </w:r>
      <w:r w:rsidRPr="00E87803">
        <w:rPr>
          <w:b/>
        </w:rPr>
        <w:t xml:space="preserve">teach </w:t>
      </w:r>
      <w:r w:rsidRPr="00E87803">
        <w:t xml:space="preserve">them all things, and bring all things </w:t>
      </w:r>
      <w:r w:rsidRPr="00E87803">
        <w:rPr>
          <w:b/>
        </w:rPr>
        <w:t>to</w:t>
      </w:r>
      <w:r w:rsidRPr="00E87803">
        <w:t xml:space="preserve"> </w:t>
      </w:r>
      <w:r w:rsidRPr="00E87803">
        <w:rPr>
          <w:b/>
        </w:rPr>
        <w:t>their remembrance</w:t>
      </w:r>
      <w:r>
        <w:t>”</w:t>
      </w:r>
      <w:r w:rsidRPr="00E87803">
        <w:t xml:space="preserve"> (J</w:t>
      </w:r>
      <w:r>
        <w:t>oh</w:t>
      </w:r>
      <w:r w:rsidRPr="00E87803">
        <w:t>n 14:26; Acts 11:16). Though eyewitnesses (</w:t>
      </w:r>
      <w:r>
        <w:t>“</w:t>
      </w:r>
      <w:r w:rsidRPr="00E87803">
        <w:t>chosen before of God</w:t>
      </w:r>
      <w:r>
        <w:t>”</w:t>
      </w:r>
      <w:r w:rsidRPr="00E87803">
        <w:t xml:space="preserve"> Acts 10:41), who could give a personal account (L</w:t>
      </w:r>
      <w:r>
        <w:t>u</w:t>
      </w:r>
      <w:r w:rsidRPr="00E87803">
        <w:t>k</w:t>
      </w:r>
      <w:r>
        <w:t>e</w:t>
      </w:r>
      <w:r w:rsidRPr="00E87803">
        <w:t xml:space="preserve"> 1:2; 1 Cor 15:5-8; 2 Pet 1:16; 2 Pet 1:20), citing Roberts</w:t>
      </w:r>
      <w:r>
        <w:t>,</w:t>
      </w:r>
      <w:r w:rsidRPr="00E87803">
        <w:t xml:space="preserve"> this would be </w:t>
      </w:r>
      <w:r>
        <w:t>“</w:t>
      </w:r>
      <w:r w:rsidRPr="00E87803">
        <w:t>in strict subordination to [the needs of] truth.</w:t>
      </w:r>
      <w:r>
        <w:t>”</w:t>
      </w:r>
      <w:r w:rsidRPr="00E87803">
        <w:t xml:space="preserve"> </w:t>
      </w:r>
    </w:p>
  </w:footnote>
  <w:footnote w:id="20">
    <w:p w:rsidR="00E35D87" w:rsidRPr="00E87803" w:rsidRDefault="00E35D87" w:rsidP="00E87803">
      <w:pPr>
        <w:pStyle w:val="Footnote"/>
        <w:tabs>
          <w:tab w:val="left" w:pos="384"/>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Roberts, </w:t>
      </w:r>
      <w:r w:rsidRPr="00E87803">
        <w:rPr>
          <w:rFonts w:ascii="Garamond" w:hAnsi="Garamond"/>
          <w:i/>
          <w:sz w:val="22"/>
          <w:szCs w:val="22"/>
        </w:rPr>
        <w:t>Nazareth Revisited</w:t>
      </w:r>
      <w:r>
        <w:rPr>
          <w:rFonts w:ascii="Garamond" w:hAnsi="Garamond"/>
          <w:sz w:val="22"/>
          <w:szCs w:val="22"/>
        </w:rPr>
        <w:t>,</w:t>
      </w:r>
      <w:r w:rsidRPr="00E87803">
        <w:rPr>
          <w:rFonts w:ascii="Garamond" w:hAnsi="Garamond"/>
          <w:sz w:val="22"/>
          <w:szCs w:val="22"/>
        </w:rPr>
        <w:t xml:space="preserve"> vi.</w:t>
      </w:r>
    </w:p>
  </w:footnote>
  <w:footnote w:id="21">
    <w:p w:rsidR="00E35D87" w:rsidRPr="00E87803" w:rsidRDefault="00E35D87" w:rsidP="00E87803">
      <w:pPr>
        <w:pStyle w:val="Footnote"/>
        <w:tabs>
          <w:tab w:val="left" w:pos="384"/>
        </w:tabs>
        <w:spacing w:after="0"/>
        <w:rPr>
          <w:rFonts w:ascii="Garamond" w:hAnsi="Garamond"/>
          <w:sz w:val="22"/>
          <w:szCs w:val="22"/>
        </w:rPr>
      </w:pPr>
      <w:r w:rsidRPr="00E87803">
        <w:rPr>
          <w:rStyle w:val="FootnoteReference"/>
          <w:rFonts w:ascii="Garamond" w:hAnsi="Garamond"/>
          <w:snapToGrid/>
          <w:sz w:val="22"/>
          <w:szCs w:val="22"/>
          <w:lang w:val="en-GB" w:eastAsia="en-GB"/>
        </w:rPr>
        <w:footnoteRef/>
      </w:r>
      <w:r w:rsidRPr="00E87803">
        <w:rPr>
          <w:rStyle w:val="FootnoteReference"/>
          <w:rFonts w:ascii="Garamond" w:hAnsi="Garamond"/>
          <w:snapToGrid/>
          <w:sz w:val="22"/>
          <w:szCs w:val="22"/>
          <w:lang w:val="en-GB" w:eastAsia="en-GB"/>
        </w:rPr>
        <w:t xml:space="preserve">  </w:t>
      </w:r>
      <w:r w:rsidRPr="00E87803">
        <w:rPr>
          <w:rFonts w:ascii="Garamond" w:hAnsi="Garamond"/>
          <w:sz w:val="22"/>
          <w:szCs w:val="22"/>
        </w:rPr>
        <w:t xml:space="preserve">That is not to say that the often marginally disputable textual details (as found in the critical apparatus of eclectic editions) do not sometimes require scrutiny or resolution.  </w:t>
      </w:r>
    </w:p>
  </w:footnote>
  <w:footnote w:id="22">
    <w:p w:rsidR="00E35D87" w:rsidRPr="00E87803" w:rsidRDefault="00E35D87" w:rsidP="00E87803">
      <w:pPr>
        <w:pStyle w:val="Footnote"/>
        <w:tabs>
          <w:tab w:val="left" w:pos="376"/>
        </w:tabs>
        <w:spacing w:after="0"/>
        <w:rPr>
          <w:rFonts w:ascii="Garamond" w:hAnsi="Garamond"/>
          <w:sz w:val="22"/>
          <w:szCs w:val="22"/>
        </w:rPr>
      </w:pPr>
      <w:r w:rsidRPr="00E87803">
        <w:rPr>
          <w:rStyle w:val="FootnoteReference"/>
          <w:rFonts w:ascii="Garamond" w:hAnsi="Garamond"/>
          <w:snapToGrid/>
          <w:sz w:val="22"/>
          <w:szCs w:val="22"/>
          <w:lang w:val="en-GB" w:eastAsia="en-GB"/>
        </w:rPr>
        <w:footnoteRef/>
      </w:r>
      <w:r>
        <w:rPr>
          <w:rStyle w:val="FootnoteReference"/>
          <w:rFonts w:ascii="Garamond" w:hAnsi="Garamond"/>
          <w:snapToGrid/>
          <w:sz w:val="22"/>
          <w:szCs w:val="22"/>
          <w:lang w:val="en-GB" w:eastAsia="en-GB"/>
        </w:rPr>
        <w:t xml:space="preserve"> </w:t>
      </w:r>
      <w:r w:rsidRPr="00E87803">
        <w:rPr>
          <w:rFonts w:ascii="Garamond" w:hAnsi="Garamond"/>
          <w:sz w:val="22"/>
          <w:szCs w:val="22"/>
        </w:rPr>
        <w:t xml:space="preserve">See n. </w:t>
      </w:r>
      <w:r>
        <w:rPr>
          <w:rFonts w:ascii="Garamond" w:hAnsi="Garamond"/>
          <w:sz w:val="22"/>
          <w:szCs w:val="22"/>
        </w:rPr>
        <w:t>1 on p. 22</w:t>
      </w:r>
      <w:r w:rsidRPr="00E87803">
        <w:rPr>
          <w:rFonts w:ascii="Garamond" w:hAnsi="Garamond"/>
          <w:sz w:val="22"/>
          <w:szCs w:val="22"/>
        </w:rPr>
        <w:t xml:space="preserve"> below.</w:t>
      </w:r>
    </w:p>
  </w:footnote>
  <w:footnote w:id="23">
    <w:p w:rsidR="00E35D87" w:rsidRPr="00CA1D61" w:rsidRDefault="00E35D87" w:rsidP="00CA1D61">
      <w:pPr>
        <w:autoSpaceDE w:val="0"/>
        <w:autoSpaceDN w:val="0"/>
        <w:adjustRightInd w:val="0"/>
        <w:rPr>
          <w:rFonts w:cs="Bwgrkl"/>
          <w:sz w:val="22"/>
          <w:szCs w:val="22"/>
        </w:rPr>
      </w:pPr>
      <w:r w:rsidRPr="00E87803">
        <w:rPr>
          <w:rStyle w:val="FootnoteReference"/>
          <w:sz w:val="22"/>
          <w:szCs w:val="22"/>
        </w:rPr>
        <w:footnoteRef/>
      </w:r>
      <w:r>
        <w:rPr>
          <w:sz w:val="22"/>
          <w:szCs w:val="22"/>
        </w:rPr>
        <w:t xml:space="preserve"> </w:t>
      </w:r>
      <w:r w:rsidRPr="00E87803">
        <w:rPr>
          <w:sz w:val="22"/>
          <w:szCs w:val="22"/>
        </w:rPr>
        <w:t xml:space="preserve">In fact, Aquila and Symmachus both have </w:t>
      </w:r>
      <w:r w:rsidRPr="00CA1D61">
        <w:rPr>
          <w:rFonts w:ascii="Bwgrkl" w:hAnsi="Bwgrkl" w:cs="Bwgrkl"/>
          <w:sz w:val="22"/>
          <w:szCs w:val="22"/>
        </w:rPr>
        <w:t>kata. lo,gon</w:t>
      </w:r>
      <w:r w:rsidRPr="00E87803">
        <w:rPr>
          <w:sz w:val="22"/>
          <w:szCs w:val="22"/>
        </w:rPr>
        <w:t>/</w:t>
      </w:r>
      <w:r>
        <w:rPr>
          <w:sz w:val="22"/>
          <w:szCs w:val="22"/>
        </w:rPr>
        <w:t>‘</w:t>
      </w:r>
      <w:r w:rsidRPr="00E87803">
        <w:rPr>
          <w:sz w:val="22"/>
          <w:szCs w:val="22"/>
        </w:rPr>
        <w:t xml:space="preserve">according to the word </w:t>
      </w:r>
      <w:r w:rsidRPr="00E87803">
        <w:rPr>
          <w:snapToGrid w:val="0"/>
          <w:sz w:val="22"/>
          <w:szCs w:val="22"/>
        </w:rPr>
        <w:t>of Melchizedek</w:t>
      </w:r>
      <w:r>
        <w:rPr>
          <w:snapToGrid w:val="0"/>
          <w:sz w:val="22"/>
          <w:szCs w:val="22"/>
        </w:rPr>
        <w:t>’</w:t>
      </w:r>
      <w:r w:rsidRPr="00E87803">
        <w:rPr>
          <w:snapToGrid w:val="0"/>
          <w:sz w:val="22"/>
          <w:szCs w:val="22"/>
        </w:rPr>
        <w:t xml:space="preserve">. Origen/LXX presumably follow </w:t>
      </w:r>
      <w:r>
        <w:rPr>
          <w:snapToGrid w:val="0"/>
          <w:sz w:val="22"/>
          <w:szCs w:val="22"/>
        </w:rPr>
        <w:t>the</w:t>
      </w:r>
      <w:r w:rsidRPr="00E87803">
        <w:rPr>
          <w:snapToGrid w:val="0"/>
          <w:sz w:val="22"/>
          <w:szCs w:val="22"/>
        </w:rPr>
        <w:t xml:space="preserve"> NT</w:t>
      </w:r>
      <w:r>
        <w:rPr>
          <w:snapToGrid w:val="0"/>
          <w:sz w:val="22"/>
          <w:szCs w:val="22"/>
        </w:rPr>
        <w:t>’</w:t>
      </w:r>
      <w:r w:rsidRPr="00E87803">
        <w:rPr>
          <w:snapToGrid w:val="0"/>
          <w:sz w:val="22"/>
          <w:szCs w:val="22"/>
        </w:rPr>
        <w:t xml:space="preserve">s </w:t>
      </w:r>
      <w:r w:rsidRPr="00CA1D61">
        <w:rPr>
          <w:rFonts w:ascii="Bwgrkl" w:hAnsi="Bwgrkl" w:cs="Bwgrkl"/>
          <w:sz w:val="22"/>
          <w:szCs w:val="22"/>
        </w:rPr>
        <w:t>kata. th.n ta,xin</w:t>
      </w:r>
      <w:r w:rsidRPr="00E87803">
        <w:rPr>
          <w:sz w:val="22"/>
          <w:szCs w:val="22"/>
        </w:rPr>
        <w:t>/</w:t>
      </w:r>
      <w:r>
        <w:rPr>
          <w:sz w:val="22"/>
          <w:szCs w:val="22"/>
        </w:rPr>
        <w:t>’</w:t>
      </w:r>
      <w:r w:rsidRPr="00E87803">
        <w:rPr>
          <w:sz w:val="22"/>
          <w:szCs w:val="22"/>
        </w:rPr>
        <w:t>according to the order of Melchizedek</w:t>
      </w:r>
      <w:r>
        <w:rPr>
          <w:sz w:val="22"/>
          <w:szCs w:val="22"/>
        </w:rPr>
        <w:t>’</w:t>
      </w:r>
      <w:r w:rsidRPr="00E87803">
        <w:rPr>
          <w:sz w:val="22"/>
          <w:szCs w:val="22"/>
        </w:rPr>
        <w:t>.</w:t>
      </w:r>
    </w:p>
  </w:footnote>
  <w:footnote w:id="24">
    <w:p w:rsidR="00E35D87" w:rsidRPr="00E87803" w:rsidRDefault="00E35D87" w:rsidP="00E87803">
      <w:pPr>
        <w:pStyle w:val="Footnote"/>
        <w:tabs>
          <w:tab w:val="left" w:pos="378"/>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See J.</w:t>
      </w:r>
      <w:r>
        <w:rPr>
          <w:rFonts w:ascii="Garamond" w:hAnsi="Garamond"/>
          <w:sz w:val="22"/>
          <w:szCs w:val="22"/>
        </w:rPr>
        <w:t xml:space="preserve"> </w:t>
      </w:r>
      <w:r w:rsidRPr="00E87803">
        <w:rPr>
          <w:rFonts w:ascii="Garamond" w:hAnsi="Garamond"/>
          <w:sz w:val="22"/>
          <w:szCs w:val="22"/>
        </w:rPr>
        <w:t xml:space="preserve">W. Adey, </w:t>
      </w:r>
      <w:r>
        <w:rPr>
          <w:rFonts w:ascii="Garamond" w:hAnsi="Garamond"/>
          <w:sz w:val="22"/>
          <w:szCs w:val="22"/>
        </w:rPr>
        <w:t>“The Similitude of the Word”</w:t>
      </w:r>
      <w:r w:rsidRPr="00E87803">
        <w:rPr>
          <w:rFonts w:ascii="Garamond" w:hAnsi="Garamond"/>
          <w:sz w:val="22"/>
          <w:szCs w:val="22"/>
        </w:rPr>
        <w:t xml:space="preserve"> in </w:t>
      </w:r>
      <w:r w:rsidRPr="00E87803">
        <w:rPr>
          <w:rFonts w:ascii="Garamond" w:hAnsi="Garamond"/>
          <w:i/>
          <w:sz w:val="22"/>
          <w:szCs w:val="22"/>
        </w:rPr>
        <w:t>The Testimony</w:t>
      </w:r>
      <w:r w:rsidRPr="00E87803">
        <w:rPr>
          <w:rFonts w:ascii="Garamond" w:hAnsi="Garamond"/>
          <w:sz w:val="22"/>
          <w:szCs w:val="22"/>
        </w:rPr>
        <w:t xml:space="preserve"> (March-May 1980). Presumably, English versions have adopted </w:t>
      </w:r>
      <w:r>
        <w:rPr>
          <w:rFonts w:ascii="Garamond" w:hAnsi="Garamond"/>
          <w:sz w:val="22"/>
          <w:szCs w:val="22"/>
        </w:rPr>
        <w:t>‘</w:t>
      </w:r>
      <w:r w:rsidRPr="00E87803">
        <w:rPr>
          <w:rFonts w:ascii="Garamond" w:hAnsi="Garamond"/>
          <w:sz w:val="22"/>
          <w:szCs w:val="22"/>
        </w:rPr>
        <w:t>order</w:t>
      </w:r>
      <w:r>
        <w:rPr>
          <w:rFonts w:ascii="Garamond" w:hAnsi="Garamond"/>
          <w:sz w:val="22"/>
          <w:szCs w:val="22"/>
        </w:rPr>
        <w:t>’</w:t>
      </w:r>
      <w:r w:rsidRPr="00E87803">
        <w:rPr>
          <w:rFonts w:ascii="Garamond" w:hAnsi="Garamond"/>
          <w:sz w:val="22"/>
          <w:szCs w:val="22"/>
        </w:rPr>
        <w:t xml:space="preserve"> in Ps</w:t>
      </w:r>
      <w:r>
        <w:rPr>
          <w:rFonts w:ascii="Garamond" w:hAnsi="Garamond"/>
          <w:sz w:val="22"/>
          <w:szCs w:val="22"/>
        </w:rPr>
        <w:t xml:space="preserve"> </w:t>
      </w:r>
      <w:r w:rsidRPr="00E87803">
        <w:rPr>
          <w:rFonts w:ascii="Garamond" w:hAnsi="Garamond"/>
          <w:sz w:val="22"/>
          <w:szCs w:val="22"/>
        </w:rPr>
        <w:t>110:4, influenced by its frequent repetition in Hebrews.</w:t>
      </w:r>
    </w:p>
  </w:footnote>
  <w:footnote w:id="25">
    <w:p w:rsidR="00E35D87" w:rsidRPr="00E87803" w:rsidRDefault="00E35D87" w:rsidP="00E87803">
      <w:pPr>
        <w:pStyle w:val="Footnote"/>
        <w:tabs>
          <w:tab w:val="left" w:pos="384"/>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A similar expression </w:t>
      </w:r>
      <w:r>
        <w:rPr>
          <w:rFonts w:ascii="Garamond" w:hAnsi="Garamond"/>
          <w:sz w:val="22"/>
          <w:szCs w:val="22"/>
        </w:rPr>
        <w:t>“</w:t>
      </w:r>
      <w:r w:rsidRPr="00E87803">
        <w:rPr>
          <w:rFonts w:ascii="Garamond" w:hAnsi="Garamond"/>
          <w:sz w:val="22"/>
          <w:szCs w:val="22"/>
        </w:rPr>
        <w:t>Is it not written in your law...?</w:t>
      </w:r>
      <w:r>
        <w:rPr>
          <w:rFonts w:ascii="Garamond" w:hAnsi="Garamond"/>
          <w:sz w:val="22"/>
          <w:szCs w:val="22"/>
        </w:rPr>
        <w:t>”</w:t>
      </w:r>
      <w:r w:rsidRPr="00E87803">
        <w:rPr>
          <w:rFonts w:ascii="Garamond" w:hAnsi="Garamond"/>
          <w:sz w:val="22"/>
          <w:szCs w:val="22"/>
        </w:rPr>
        <w:t xml:space="preserve"> occurs in J</w:t>
      </w:r>
      <w:r>
        <w:rPr>
          <w:rFonts w:ascii="Garamond" w:hAnsi="Garamond"/>
          <w:sz w:val="22"/>
          <w:szCs w:val="22"/>
        </w:rPr>
        <w:t>oh</w:t>
      </w:r>
      <w:r w:rsidRPr="00E87803">
        <w:rPr>
          <w:rFonts w:ascii="Garamond" w:hAnsi="Garamond"/>
          <w:sz w:val="22"/>
          <w:szCs w:val="22"/>
        </w:rPr>
        <w:t xml:space="preserve">n 10:34, where </w:t>
      </w:r>
      <w:r>
        <w:rPr>
          <w:rFonts w:ascii="Garamond" w:hAnsi="Garamond"/>
          <w:sz w:val="22"/>
          <w:szCs w:val="22"/>
        </w:rPr>
        <w:t>‘</w:t>
      </w:r>
      <w:r w:rsidRPr="00E87803">
        <w:rPr>
          <w:rFonts w:ascii="Garamond" w:hAnsi="Garamond"/>
          <w:sz w:val="22"/>
          <w:szCs w:val="22"/>
        </w:rPr>
        <w:t>your law</w:t>
      </w:r>
      <w:r>
        <w:rPr>
          <w:rFonts w:ascii="Garamond" w:hAnsi="Garamond"/>
          <w:sz w:val="22"/>
          <w:szCs w:val="22"/>
        </w:rPr>
        <w:t>’</w:t>
      </w:r>
      <w:r w:rsidRPr="00E87803">
        <w:rPr>
          <w:rFonts w:ascii="Garamond" w:hAnsi="Garamond"/>
          <w:sz w:val="22"/>
          <w:szCs w:val="22"/>
        </w:rPr>
        <w:t xml:space="preserve"> is applied to words derived from a Psalm (82:6) and not Sinai.  What are we to make of this?  It seems to violate our accepted categories!   Surely, like quotational adjustments of OT words in the NT, we are being informed about how to </w:t>
      </w:r>
      <w:r>
        <w:rPr>
          <w:rFonts w:ascii="Garamond" w:hAnsi="Garamond"/>
          <w:sz w:val="22"/>
          <w:szCs w:val="22"/>
        </w:rPr>
        <w:t>‘</w:t>
      </w:r>
      <w:r w:rsidRPr="00E87803">
        <w:rPr>
          <w:rFonts w:ascii="Garamond" w:hAnsi="Garamond"/>
          <w:sz w:val="22"/>
          <w:szCs w:val="22"/>
        </w:rPr>
        <w:t>read</w:t>
      </w:r>
      <w:r>
        <w:rPr>
          <w:rFonts w:ascii="Garamond" w:hAnsi="Garamond"/>
          <w:sz w:val="22"/>
          <w:szCs w:val="22"/>
        </w:rPr>
        <w:t>’</w:t>
      </w:r>
      <w:r w:rsidRPr="00E87803">
        <w:rPr>
          <w:rFonts w:ascii="Garamond" w:hAnsi="Garamond"/>
          <w:sz w:val="22"/>
          <w:szCs w:val="22"/>
        </w:rPr>
        <w:t xml:space="preserve"> Scripture. It may be that Jesus had in mind a precedent in the Law which the Psalm is citing.  Alternatively, he may be offering us a new way of looking at the function of the Psalms.  </w:t>
      </w:r>
    </w:p>
  </w:footnote>
  <w:footnote w:id="26">
    <w:p w:rsidR="00E35D87" w:rsidRPr="00E87803" w:rsidRDefault="00E35D87" w:rsidP="00E87803">
      <w:pPr>
        <w:pStyle w:val="Footnote"/>
        <w:tabs>
          <w:tab w:val="left" w:pos="378"/>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For ease of comparison I have translated the original word as </w:t>
      </w:r>
      <w:r>
        <w:rPr>
          <w:rFonts w:ascii="Garamond" w:hAnsi="Garamond"/>
          <w:sz w:val="22"/>
          <w:szCs w:val="22"/>
        </w:rPr>
        <w:t>‘</w:t>
      </w:r>
      <w:r w:rsidRPr="00E87803">
        <w:rPr>
          <w:rFonts w:ascii="Garamond" w:hAnsi="Garamond"/>
          <w:sz w:val="22"/>
          <w:szCs w:val="22"/>
        </w:rPr>
        <w:t>stand</w:t>
      </w:r>
      <w:r>
        <w:rPr>
          <w:rFonts w:ascii="Garamond" w:hAnsi="Garamond"/>
          <w:sz w:val="22"/>
          <w:szCs w:val="22"/>
        </w:rPr>
        <w:t>’</w:t>
      </w:r>
      <w:r w:rsidRPr="00E87803">
        <w:rPr>
          <w:rFonts w:ascii="Garamond" w:hAnsi="Garamond"/>
          <w:sz w:val="22"/>
          <w:szCs w:val="22"/>
        </w:rPr>
        <w:t xml:space="preserve"> in all three passages (Deut 19:15; M</w:t>
      </w:r>
      <w:r>
        <w:rPr>
          <w:rFonts w:ascii="Garamond" w:hAnsi="Garamond"/>
          <w:sz w:val="22"/>
          <w:szCs w:val="22"/>
        </w:rPr>
        <w:t>at</w:t>
      </w:r>
      <w:r w:rsidRPr="00E87803">
        <w:rPr>
          <w:rFonts w:ascii="Garamond" w:hAnsi="Garamond"/>
          <w:sz w:val="22"/>
          <w:szCs w:val="22"/>
        </w:rPr>
        <w:t xml:space="preserve">t 18:16 and 2 Cor 13:1).  The Hebrew </w:t>
      </w:r>
      <w:r w:rsidRPr="00E87803">
        <w:rPr>
          <w:rFonts w:ascii="Garamond" w:hAnsi="Garamond"/>
          <w:i/>
          <w:sz w:val="22"/>
          <w:szCs w:val="22"/>
        </w:rPr>
        <w:t>yaqum</w:t>
      </w:r>
      <w:r w:rsidRPr="00E87803">
        <w:rPr>
          <w:rFonts w:ascii="Garamond" w:hAnsi="Garamond"/>
          <w:sz w:val="22"/>
          <w:szCs w:val="22"/>
        </w:rPr>
        <w:t xml:space="preserve"> (whence </w:t>
      </w:r>
      <w:r w:rsidRPr="00E87803">
        <w:rPr>
          <w:rFonts w:ascii="Garamond" w:hAnsi="Garamond"/>
          <w:i/>
          <w:sz w:val="22"/>
          <w:szCs w:val="22"/>
        </w:rPr>
        <w:t>cumi</w:t>
      </w:r>
      <w:r w:rsidRPr="00E87803">
        <w:rPr>
          <w:rFonts w:ascii="Garamond" w:hAnsi="Garamond"/>
          <w:sz w:val="22"/>
          <w:szCs w:val="22"/>
        </w:rPr>
        <w:t xml:space="preserve"> in </w:t>
      </w:r>
      <w:r>
        <w:rPr>
          <w:rFonts w:ascii="Garamond" w:hAnsi="Garamond"/>
          <w:sz w:val="22"/>
          <w:szCs w:val="22"/>
        </w:rPr>
        <w:t>“</w:t>
      </w:r>
      <w:r w:rsidRPr="00E87803">
        <w:rPr>
          <w:rFonts w:ascii="Garamond" w:hAnsi="Garamond"/>
          <w:i/>
          <w:sz w:val="22"/>
          <w:szCs w:val="22"/>
        </w:rPr>
        <w:t>Talitha cumi</w:t>
      </w:r>
      <w:r>
        <w:rPr>
          <w:rFonts w:ascii="Garamond" w:hAnsi="Garamond"/>
          <w:sz w:val="22"/>
          <w:szCs w:val="22"/>
        </w:rPr>
        <w:t>”</w:t>
      </w:r>
      <w:r w:rsidRPr="00E87803">
        <w:rPr>
          <w:rFonts w:ascii="Garamond" w:hAnsi="Garamond"/>
          <w:sz w:val="22"/>
          <w:szCs w:val="22"/>
        </w:rPr>
        <w:t xml:space="preserve">) has the sense of </w:t>
      </w:r>
      <w:r>
        <w:rPr>
          <w:rFonts w:ascii="Garamond" w:hAnsi="Garamond"/>
          <w:sz w:val="22"/>
          <w:szCs w:val="22"/>
        </w:rPr>
        <w:t>‘</w:t>
      </w:r>
      <w:r w:rsidRPr="00E87803">
        <w:rPr>
          <w:rFonts w:ascii="Garamond" w:hAnsi="Garamond"/>
          <w:sz w:val="22"/>
          <w:szCs w:val="22"/>
        </w:rPr>
        <w:t>stand up</w:t>
      </w:r>
      <w:r>
        <w:rPr>
          <w:rFonts w:ascii="Garamond" w:hAnsi="Garamond"/>
          <w:sz w:val="22"/>
          <w:szCs w:val="22"/>
        </w:rPr>
        <w:t>’</w:t>
      </w:r>
      <w:r w:rsidRPr="00E87803">
        <w:rPr>
          <w:rFonts w:ascii="Garamond" w:hAnsi="Garamond"/>
          <w:sz w:val="22"/>
          <w:szCs w:val="22"/>
        </w:rPr>
        <w:t xml:space="preserve"> (as in resurrectional passages: e.g. Job 19:25</w:t>
      </w:r>
      <w:r>
        <w:rPr>
          <w:rFonts w:ascii="Garamond" w:hAnsi="Garamond"/>
          <w:sz w:val="22"/>
          <w:szCs w:val="22"/>
        </w:rPr>
        <w:t>)</w:t>
      </w:r>
      <w:r w:rsidRPr="00E87803">
        <w:rPr>
          <w:rFonts w:ascii="Garamond" w:hAnsi="Garamond"/>
          <w:sz w:val="22"/>
          <w:szCs w:val="22"/>
        </w:rPr>
        <w:t>. In</w:t>
      </w:r>
      <w:r>
        <w:rPr>
          <w:rFonts w:ascii="Garamond" w:hAnsi="Garamond"/>
          <w:sz w:val="22"/>
          <w:szCs w:val="22"/>
        </w:rPr>
        <w:t xml:space="preserve"> </w:t>
      </w:r>
      <w:r w:rsidRPr="00E87803">
        <w:rPr>
          <w:rFonts w:ascii="Garamond" w:hAnsi="Garamond"/>
          <w:sz w:val="22"/>
          <w:szCs w:val="22"/>
        </w:rPr>
        <w:t xml:space="preserve">Deut 19:15 </w:t>
      </w:r>
      <w:r w:rsidRPr="00E87803">
        <w:rPr>
          <w:rFonts w:ascii="Garamond" w:hAnsi="Garamond"/>
          <w:i/>
          <w:sz w:val="22"/>
          <w:szCs w:val="22"/>
        </w:rPr>
        <w:t>yaqum</w:t>
      </w:r>
      <w:r w:rsidRPr="00E87803">
        <w:rPr>
          <w:rFonts w:ascii="Garamond" w:hAnsi="Garamond"/>
          <w:sz w:val="22"/>
          <w:szCs w:val="22"/>
        </w:rPr>
        <w:t xml:space="preserve"> occurs twice, the first time translated with the sense of </w:t>
      </w:r>
      <w:r>
        <w:rPr>
          <w:rFonts w:ascii="Garamond" w:hAnsi="Garamond"/>
          <w:sz w:val="22"/>
          <w:szCs w:val="22"/>
        </w:rPr>
        <w:t>‘</w:t>
      </w:r>
      <w:r w:rsidRPr="00E87803">
        <w:rPr>
          <w:rFonts w:ascii="Garamond" w:hAnsi="Garamond"/>
          <w:sz w:val="22"/>
          <w:szCs w:val="22"/>
        </w:rPr>
        <w:t>rise up</w:t>
      </w:r>
      <w:r>
        <w:rPr>
          <w:rFonts w:ascii="Garamond" w:hAnsi="Garamond"/>
          <w:sz w:val="22"/>
          <w:szCs w:val="22"/>
        </w:rPr>
        <w:t>’</w:t>
      </w:r>
      <w:r w:rsidRPr="00E87803">
        <w:rPr>
          <w:rFonts w:ascii="Garamond" w:hAnsi="Garamond"/>
          <w:sz w:val="22"/>
          <w:szCs w:val="22"/>
        </w:rPr>
        <w:t xml:space="preserve">.  Hence, what </w:t>
      </w:r>
      <w:r>
        <w:rPr>
          <w:rFonts w:ascii="Garamond" w:hAnsi="Garamond"/>
          <w:sz w:val="22"/>
          <w:szCs w:val="22"/>
        </w:rPr>
        <w:t>‘</w:t>
      </w:r>
      <w:r w:rsidRPr="00E87803">
        <w:rPr>
          <w:rFonts w:ascii="Garamond" w:hAnsi="Garamond"/>
          <w:sz w:val="22"/>
          <w:szCs w:val="22"/>
        </w:rPr>
        <w:t>stands,</w:t>
      </w:r>
      <w:r>
        <w:rPr>
          <w:rFonts w:ascii="Garamond" w:hAnsi="Garamond"/>
          <w:sz w:val="22"/>
          <w:szCs w:val="22"/>
        </w:rPr>
        <w:t>’</w:t>
      </w:r>
      <w:r w:rsidRPr="00E87803">
        <w:rPr>
          <w:rFonts w:ascii="Garamond" w:hAnsi="Garamond"/>
          <w:sz w:val="22"/>
          <w:szCs w:val="22"/>
        </w:rPr>
        <w:t xml:space="preserve"> or </w:t>
      </w:r>
      <w:r>
        <w:rPr>
          <w:rFonts w:ascii="Garamond" w:hAnsi="Garamond"/>
          <w:sz w:val="22"/>
          <w:szCs w:val="22"/>
        </w:rPr>
        <w:t>‘</w:t>
      </w:r>
      <w:r w:rsidRPr="00E87803">
        <w:rPr>
          <w:rFonts w:ascii="Garamond" w:hAnsi="Garamond"/>
          <w:sz w:val="22"/>
          <w:szCs w:val="22"/>
        </w:rPr>
        <w:t>stands up</w:t>
      </w:r>
      <w:r>
        <w:rPr>
          <w:rFonts w:ascii="Garamond" w:hAnsi="Garamond"/>
          <w:sz w:val="22"/>
          <w:szCs w:val="22"/>
        </w:rPr>
        <w:t>’</w:t>
      </w:r>
      <w:r w:rsidRPr="00E87803">
        <w:rPr>
          <w:rFonts w:ascii="Garamond" w:hAnsi="Garamond"/>
          <w:sz w:val="22"/>
          <w:szCs w:val="22"/>
        </w:rPr>
        <w:t xml:space="preserve"> to, scrutiny, is what is </w:t>
      </w:r>
      <w:r>
        <w:rPr>
          <w:rFonts w:ascii="Garamond" w:hAnsi="Garamond"/>
          <w:sz w:val="22"/>
          <w:szCs w:val="22"/>
        </w:rPr>
        <w:t>‘</w:t>
      </w:r>
      <w:r w:rsidRPr="00E87803">
        <w:rPr>
          <w:rFonts w:ascii="Garamond" w:hAnsi="Garamond"/>
          <w:sz w:val="22"/>
          <w:szCs w:val="22"/>
        </w:rPr>
        <w:t>established.</w:t>
      </w:r>
      <w:r>
        <w:rPr>
          <w:rFonts w:ascii="Garamond" w:hAnsi="Garamond"/>
          <w:sz w:val="22"/>
          <w:szCs w:val="22"/>
        </w:rPr>
        <w:t>’</w:t>
      </w:r>
      <w:r w:rsidRPr="00E87803">
        <w:rPr>
          <w:rFonts w:ascii="Garamond" w:hAnsi="Garamond"/>
          <w:sz w:val="22"/>
          <w:szCs w:val="22"/>
        </w:rPr>
        <w:t xml:space="preserve">  In the NT the Greek forms of </w:t>
      </w:r>
      <w:r w:rsidRPr="00E87803">
        <w:rPr>
          <w:rFonts w:ascii="Garamond" w:hAnsi="Garamond"/>
          <w:i/>
          <w:sz w:val="22"/>
          <w:szCs w:val="22"/>
        </w:rPr>
        <w:t>histemi</w:t>
      </w:r>
      <w:r w:rsidRPr="00E87803">
        <w:rPr>
          <w:rFonts w:ascii="Garamond" w:hAnsi="Garamond"/>
          <w:sz w:val="22"/>
          <w:szCs w:val="22"/>
        </w:rPr>
        <w:t xml:space="preserve"> have the nuance </w:t>
      </w:r>
      <w:r>
        <w:rPr>
          <w:rFonts w:ascii="Garamond" w:hAnsi="Garamond"/>
          <w:sz w:val="22"/>
          <w:szCs w:val="22"/>
        </w:rPr>
        <w:t>‘</w:t>
      </w:r>
      <w:r w:rsidRPr="00E87803">
        <w:rPr>
          <w:rFonts w:ascii="Garamond" w:hAnsi="Garamond"/>
          <w:sz w:val="22"/>
          <w:szCs w:val="22"/>
        </w:rPr>
        <w:t>may stand</w:t>
      </w:r>
      <w:r>
        <w:rPr>
          <w:rFonts w:ascii="Garamond" w:hAnsi="Garamond"/>
          <w:sz w:val="22"/>
          <w:szCs w:val="22"/>
        </w:rPr>
        <w:t>’</w:t>
      </w:r>
      <w:r w:rsidRPr="00E87803">
        <w:rPr>
          <w:rFonts w:ascii="Garamond" w:hAnsi="Garamond"/>
          <w:sz w:val="22"/>
          <w:szCs w:val="22"/>
        </w:rPr>
        <w:t xml:space="preserve"> in M</w:t>
      </w:r>
      <w:r>
        <w:rPr>
          <w:rFonts w:ascii="Garamond" w:hAnsi="Garamond"/>
          <w:sz w:val="22"/>
          <w:szCs w:val="22"/>
        </w:rPr>
        <w:t>at</w:t>
      </w:r>
      <w:r w:rsidRPr="00E87803">
        <w:rPr>
          <w:rFonts w:ascii="Garamond" w:hAnsi="Garamond"/>
          <w:sz w:val="22"/>
          <w:szCs w:val="22"/>
        </w:rPr>
        <w:t xml:space="preserve">t 18:16 and </w:t>
      </w:r>
      <w:r>
        <w:rPr>
          <w:rFonts w:ascii="Garamond" w:hAnsi="Garamond"/>
          <w:sz w:val="22"/>
          <w:szCs w:val="22"/>
        </w:rPr>
        <w:t>‘</w:t>
      </w:r>
      <w:r w:rsidRPr="00E87803">
        <w:rPr>
          <w:rFonts w:ascii="Garamond" w:hAnsi="Garamond"/>
          <w:sz w:val="22"/>
          <w:szCs w:val="22"/>
        </w:rPr>
        <w:t>shall stand</w:t>
      </w:r>
      <w:r>
        <w:rPr>
          <w:rFonts w:ascii="Garamond" w:hAnsi="Garamond"/>
          <w:sz w:val="22"/>
          <w:szCs w:val="22"/>
        </w:rPr>
        <w:t>’</w:t>
      </w:r>
      <w:r w:rsidRPr="00E87803">
        <w:rPr>
          <w:rFonts w:ascii="Garamond" w:hAnsi="Garamond"/>
          <w:sz w:val="22"/>
          <w:szCs w:val="22"/>
        </w:rPr>
        <w:t xml:space="preserve"> in 2 Co</w:t>
      </w:r>
      <w:r>
        <w:rPr>
          <w:rFonts w:ascii="Garamond" w:hAnsi="Garamond"/>
          <w:sz w:val="22"/>
          <w:szCs w:val="22"/>
        </w:rPr>
        <w:t>r</w:t>
      </w:r>
      <w:r w:rsidRPr="00E87803">
        <w:rPr>
          <w:rFonts w:ascii="Garamond" w:hAnsi="Garamond"/>
          <w:sz w:val="22"/>
          <w:szCs w:val="22"/>
        </w:rPr>
        <w:t xml:space="preserve"> 13:1.  These NT citations complementarily adjust Deut 19:15 to state what is implicit in theory, or in practice.  Another sense given to this same Hebrew term </w:t>
      </w:r>
      <w:r w:rsidRPr="00E87803">
        <w:rPr>
          <w:rFonts w:ascii="Garamond" w:hAnsi="Garamond"/>
          <w:i/>
          <w:sz w:val="22"/>
          <w:szCs w:val="22"/>
        </w:rPr>
        <w:t>yaqum</w:t>
      </w:r>
      <w:r w:rsidRPr="00E87803">
        <w:rPr>
          <w:rFonts w:ascii="Garamond" w:hAnsi="Garamond"/>
          <w:sz w:val="22"/>
          <w:szCs w:val="22"/>
        </w:rPr>
        <w:t xml:space="preserve"> is the Greek term </w:t>
      </w:r>
      <w:r w:rsidRPr="00E87803">
        <w:rPr>
          <w:rFonts w:ascii="Garamond" w:hAnsi="Garamond"/>
          <w:i/>
          <w:sz w:val="22"/>
          <w:szCs w:val="22"/>
        </w:rPr>
        <w:t xml:space="preserve">menei </w:t>
      </w:r>
      <w:r w:rsidRPr="00E87803">
        <w:rPr>
          <w:rFonts w:ascii="Garamond" w:hAnsi="Garamond"/>
          <w:sz w:val="22"/>
          <w:szCs w:val="22"/>
        </w:rPr>
        <w:t xml:space="preserve">which is variously rendered by KJV: </w:t>
      </w:r>
      <w:r>
        <w:rPr>
          <w:rFonts w:ascii="Garamond" w:hAnsi="Garamond"/>
          <w:sz w:val="22"/>
          <w:szCs w:val="22"/>
        </w:rPr>
        <w:t>‘</w:t>
      </w:r>
      <w:r w:rsidRPr="00E87803">
        <w:rPr>
          <w:rFonts w:ascii="Garamond" w:hAnsi="Garamond"/>
          <w:sz w:val="22"/>
          <w:szCs w:val="22"/>
        </w:rPr>
        <w:t>endureth</w:t>
      </w:r>
      <w:r>
        <w:rPr>
          <w:rFonts w:ascii="Garamond" w:hAnsi="Garamond"/>
          <w:sz w:val="22"/>
          <w:szCs w:val="22"/>
        </w:rPr>
        <w:t>’</w:t>
      </w:r>
      <w:r w:rsidRPr="00E87803">
        <w:rPr>
          <w:rFonts w:ascii="Garamond" w:hAnsi="Garamond"/>
          <w:sz w:val="22"/>
          <w:szCs w:val="22"/>
        </w:rPr>
        <w:t>/</w:t>
      </w:r>
      <w:r>
        <w:rPr>
          <w:rFonts w:ascii="Garamond" w:hAnsi="Garamond"/>
          <w:sz w:val="22"/>
          <w:szCs w:val="22"/>
        </w:rPr>
        <w:t>’</w:t>
      </w:r>
      <w:r w:rsidRPr="00E87803">
        <w:rPr>
          <w:rFonts w:ascii="Garamond" w:hAnsi="Garamond"/>
          <w:sz w:val="22"/>
          <w:szCs w:val="22"/>
        </w:rPr>
        <w:t>abideth</w:t>
      </w:r>
      <w:r>
        <w:rPr>
          <w:rFonts w:ascii="Garamond" w:hAnsi="Garamond"/>
          <w:sz w:val="22"/>
          <w:szCs w:val="22"/>
        </w:rPr>
        <w:t>’</w:t>
      </w:r>
      <w:r w:rsidRPr="00E87803">
        <w:rPr>
          <w:rFonts w:ascii="Garamond" w:hAnsi="Garamond"/>
          <w:sz w:val="22"/>
          <w:szCs w:val="22"/>
        </w:rPr>
        <w:t>/</w:t>
      </w:r>
      <w:r>
        <w:rPr>
          <w:rFonts w:ascii="Garamond" w:hAnsi="Garamond"/>
          <w:sz w:val="22"/>
          <w:szCs w:val="22"/>
        </w:rPr>
        <w:t>’</w:t>
      </w:r>
      <w:r w:rsidRPr="00E87803">
        <w:rPr>
          <w:rFonts w:ascii="Garamond" w:hAnsi="Garamond"/>
          <w:sz w:val="22"/>
          <w:szCs w:val="22"/>
        </w:rPr>
        <w:t>remaineth</w:t>
      </w:r>
      <w:r>
        <w:rPr>
          <w:rFonts w:ascii="Garamond" w:hAnsi="Garamond"/>
          <w:sz w:val="22"/>
          <w:szCs w:val="22"/>
        </w:rPr>
        <w:t>’</w:t>
      </w:r>
      <w:r w:rsidRPr="00E87803">
        <w:rPr>
          <w:rFonts w:ascii="Garamond" w:hAnsi="Garamond"/>
          <w:sz w:val="22"/>
          <w:szCs w:val="22"/>
        </w:rPr>
        <w:t xml:space="preserve"> which relate to the idea of </w:t>
      </w:r>
      <w:r>
        <w:rPr>
          <w:rFonts w:ascii="Garamond" w:hAnsi="Garamond"/>
          <w:sz w:val="22"/>
          <w:szCs w:val="22"/>
        </w:rPr>
        <w:t>‘</w:t>
      </w:r>
      <w:r w:rsidRPr="00E87803">
        <w:rPr>
          <w:rFonts w:ascii="Garamond" w:hAnsi="Garamond"/>
          <w:sz w:val="22"/>
          <w:szCs w:val="22"/>
        </w:rPr>
        <w:t>that which (over time, or despite c</w:t>
      </w:r>
      <w:r>
        <w:rPr>
          <w:rFonts w:ascii="Garamond" w:hAnsi="Garamond"/>
          <w:sz w:val="22"/>
          <w:szCs w:val="22"/>
        </w:rPr>
        <w:t>ircumstance) continues to stand’.</w:t>
      </w:r>
      <w:r w:rsidRPr="00E87803">
        <w:rPr>
          <w:rFonts w:ascii="Garamond" w:hAnsi="Garamond"/>
          <w:sz w:val="22"/>
          <w:szCs w:val="22"/>
        </w:rPr>
        <w:t xml:space="preserve">  Cf. Isa. 40:8 in 1 Pet. 1:24-25. </w:t>
      </w:r>
    </w:p>
  </w:footnote>
  <w:footnote w:id="27">
    <w:p w:rsidR="00E35D87" w:rsidRPr="00E87803" w:rsidRDefault="00E35D87" w:rsidP="00E87803">
      <w:pPr>
        <w:pStyle w:val="Footnote"/>
        <w:tabs>
          <w:tab w:val="left" w:pos="384"/>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In J</w:t>
      </w:r>
      <w:r>
        <w:rPr>
          <w:rFonts w:ascii="Garamond" w:hAnsi="Garamond"/>
          <w:sz w:val="22"/>
          <w:szCs w:val="22"/>
        </w:rPr>
        <w:t>ohn</w:t>
      </w:r>
      <w:r w:rsidRPr="00E87803">
        <w:rPr>
          <w:rFonts w:ascii="Garamond" w:hAnsi="Garamond"/>
          <w:sz w:val="22"/>
          <w:szCs w:val="22"/>
        </w:rPr>
        <w:t xml:space="preserve"> 8:17</w:t>
      </w:r>
      <w:r>
        <w:rPr>
          <w:rFonts w:ascii="Garamond" w:hAnsi="Garamond"/>
          <w:sz w:val="22"/>
          <w:szCs w:val="22"/>
        </w:rPr>
        <w:t>,</w:t>
      </w:r>
      <w:r w:rsidRPr="00E87803">
        <w:rPr>
          <w:rFonts w:ascii="Garamond" w:hAnsi="Garamond"/>
          <w:sz w:val="22"/>
          <w:szCs w:val="22"/>
        </w:rPr>
        <w:t xml:space="preserve"> Jesus</w:t>
      </w:r>
      <w:r>
        <w:rPr>
          <w:rFonts w:ascii="Garamond" w:hAnsi="Garamond"/>
          <w:sz w:val="22"/>
          <w:szCs w:val="22"/>
        </w:rPr>
        <w:t>’</w:t>
      </w:r>
      <w:r w:rsidRPr="00E87803">
        <w:rPr>
          <w:rFonts w:ascii="Garamond" w:hAnsi="Garamond"/>
          <w:sz w:val="22"/>
          <w:szCs w:val="22"/>
        </w:rPr>
        <w:t xml:space="preserve"> style is to make </w:t>
      </w:r>
      <w:r>
        <w:rPr>
          <w:rFonts w:ascii="Garamond" w:hAnsi="Garamond"/>
          <w:sz w:val="22"/>
          <w:szCs w:val="22"/>
        </w:rPr>
        <w:t>‘</w:t>
      </w:r>
      <w:r w:rsidRPr="00E87803">
        <w:rPr>
          <w:rFonts w:ascii="Garamond" w:hAnsi="Garamond"/>
          <w:sz w:val="22"/>
          <w:szCs w:val="22"/>
        </w:rPr>
        <w:t>allusive reference</w:t>
      </w:r>
      <w:r>
        <w:rPr>
          <w:rFonts w:ascii="Garamond" w:hAnsi="Garamond"/>
          <w:sz w:val="22"/>
          <w:szCs w:val="22"/>
        </w:rPr>
        <w:t>’</w:t>
      </w:r>
      <w:r w:rsidRPr="00E87803">
        <w:rPr>
          <w:rFonts w:ascii="Garamond" w:hAnsi="Garamond"/>
          <w:sz w:val="22"/>
          <w:szCs w:val="22"/>
        </w:rPr>
        <w:t xml:space="preserve"> to this principle in Deut. 19:15:  </w:t>
      </w:r>
      <w:r>
        <w:rPr>
          <w:rFonts w:ascii="Garamond" w:hAnsi="Garamond"/>
          <w:sz w:val="22"/>
          <w:szCs w:val="22"/>
        </w:rPr>
        <w:t>“</w:t>
      </w:r>
      <w:r w:rsidRPr="00E87803">
        <w:rPr>
          <w:rFonts w:ascii="Garamond" w:hAnsi="Garamond"/>
          <w:sz w:val="22"/>
          <w:szCs w:val="22"/>
        </w:rPr>
        <w:t>And it is written in your law that the testimony of two men is true.</w:t>
      </w:r>
      <w:r>
        <w:rPr>
          <w:rFonts w:ascii="Garamond" w:hAnsi="Garamond"/>
          <w:sz w:val="22"/>
          <w:szCs w:val="22"/>
        </w:rPr>
        <w:t>”</w:t>
      </w:r>
      <w:r w:rsidRPr="00E87803">
        <w:rPr>
          <w:rFonts w:ascii="Garamond" w:hAnsi="Garamond"/>
          <w:sz w:val="22"/>
          <w:szCs w:val="22"/>
        </w:rPr>
        <w:t xml:space="preserve">   Interestingly, Jesus</w:t>
      </w:r>
      <w:r>
        <w:rPr>
          <w:rFonts w:ascii="Garamond" w:hAnsi="Garamond"/>
          <w:sz w:val="22"/>
          <w:szCs w:val="22"/>
        </w:rPr>
        <w:t>’</w:t>
      </w:r>
      <w:r w:rsidRPr="00E87803">
        <w:rPr>
          <w:rFonts w:ascii="Garamond" w:hAnsi="Garamond"/>
          <w:sz w:val="22"/>
          <w:szCs w:val="22"/>
        </w:rPr>
        <w:t xml:space="preserve"> use of </w:t>
      </w:r>
      <w:r>
        <w:rPr>
          <w:rFonts w:ascii="Garamond" w:hAnsi="Garamond"/>
          <w:sz w:val="22"/>
          <w:szCs w:val="22"/>
        </w:rPr>
        <w:t>‘</w:t>
      </w:r>
      <w:r w:rsidRPr="00E87803">
        <w:rPr>
          <w:rFonts w:ascii="Garamond" w:hAnsi="Garamond"/>
          <w:sz w:val="22"/>
          <w:szCs w:val="22"/>
        </w:rPr>
        <w:t>true</w:t>
      </w:r>
      <w:r>
        <w:rPr>
          <w:rFonts w:ascii="Garamond" w:hAnsi="Garamond"/>
          <w:sz w:val="22"/>
          <w:szCs w:val="22"/>
        </w:rPr>
        <w:t>’</w:t>
      </w:r>
      <w:r w:rsidRPr="00E87803">
        <w:rPr>
          <w:rFonts w:ascii="Garamond" w:hAnsi="Garamond"/>
          <w:sz w:val="22"/>
          <w:szCs w:val="22"/>
        </w:rPr>
        <w:t xml:space="preserve">, here, makes it equivalent to his use of </w:t>
      </w:r>
      <w:r>
        <w:rPr>
          <w:rFonts w:ascii="Garamond" w:hAnsi="Garamond"/>
          <w:sz w:val="22"/>
          <w:szCs w:val="22"/>
        </w:rPr>
        <w:t>‘</w:t>
      </w:r>
      <w:r w:rsidRPr="00E87803">
        <w:rPr>
          <w:rFonts w:ascii="Garamond" w:hAnsi="Garamond"/>
          <w:sz w:val="22"/>
          <w:szCs w:val="22"/>
        </w:rPr>
        <w:t>stand</w:t>
      </w:r>
      <w:r>
        <w:rPr>
          <w:rFonts w:ascii="Garamond" w:hAnsi="Garamond"/>
          <w:sz w:val="22"/>
          <w:szCs w:val="22"/>
        </w:rPr>
        <w:t>’</w:t>
      </w:r>
      <w:r w:rsidRPr="00E87803">
        <w:rPr>
          <w:rFonts w:ascii="Garamond" w:hAnsi="Garamond"/>
          <w:sz w:val="22"/>
          <w:szCs w:val="22"/>
        </w:rPr>
        <w:t xml:space="preserve"> in M</w:t>
      </w:r>
      <w:r>
        <w:rPr>
          <w:rFonts w:ascii="Garamond" w:hAnsi="Garamond"/>
          <w:sz w:val="22"/>
          <w:szCs w:val="22"/>
        </w:rPr>
        <w:t>at</w:t>
      </w:r>
      <w:r w:rsidRPr="00E87803">
        <w:rPr>
          <w:rFonts w:ascii="Garamond" w:hAnsi="Garamond"/>
          <w:sz w:val="22"/>
          <w:szCs w:val="22"/>
        </w:rPr>
        <w:t xml:space="preserve">t 18:16. Other examples of </w:t>
      </w:r>
      <w:r>
        <w:rPr>
          <w:rFonts w:ascii="Garamond" w:hAnsi="Garamond"/>
          <w:sz w:val="22"/>
          <w:szCs w:val="22"/>
        </w:rPr>
        <w:t>‘</w:t>
      </w:r>
      <w:r w:rsidRPr="00E87803">
        <w:rPr>
          <w:rFonts w:ascii="Garamond" w:hAnsi="Garamond"/>
          <w:sz w:val="22"/>
          <w:szCs w:val="22"/>
        </w:rPr>
        <w:t>allusive reference</w:t>
      </w:r>
      <w:r>
        <w:rPr>
          <w:rFonts w:ascii="Garamond" w:hAnsi="Garamond"/>
          <w:sz w:val="22"/>
          <w:szCs w:val="22"/>
        </w:rPr>
        <w:t>’</w:t>
      </w:r>
      <w:r w:rsidRPr="00E87803">
        <w:rPr>
          <w:rFonts w:ascii="Garamond" w:hAnsi="Garamond"/>
          <w:sz w:val="22"/>
          <w:szCs w:val="22"/>
        </w:rPr>
        <w:t xml:space="preserve"> involving this </w:t>
      </w:r>
      <w:r>
        <w:rPr>
          <w:rFonts w:ascii="Garamond" w:hAnsi="Garamond"/>
          <w:sz w:val="22"/>
          <w:szCs w:val="22"/>
        </w:rPr>
        <w:t>‘</w:t>
      </w:r>
      <w:r w:rsidRPr="00E87803">
        <w:rPr>
          <w:rFonts w:ascii="Garamond" w:hAnsi="Garamond"/>
          <w:sz w:val="22"/>
          <w:szCs w:val="22"/>
        </w:rPr>
        <w:t>witnessing</w:t>
      </w:r>
      <w:r>
        <w:rPr>
          <w:rFonts w:ascii="Garamond" w:hAnsi="Garamond"/>
          <w:sz w:val="22"/>
          <w:szCs w:val="22"/>
        </w:rPr>
        <w:t>’</w:t>
      </w:r>
      <w:r w:rsidRPr="00E87803">
        <w:rPr>
          <w:rFonts w:ascii="Garamond" w:hAnsi="Garamond"/>
          <w:sz w:val="22"/>
          <w:szCs w:val="22"/>
        </w:rPr>
        <w:t xml:space="preserve"> principle: </w:t>
      </w:r>
      <w:r>
        <w:rPr>
          <w:rFonts w:ascii="Garamond" w:hAnsi="Garamond"/>
          <w:sz w:val="22"/>
          <w:szCs w:val="22"/>
        </w:rPr>
        <w:t>“</w:t>
      </w:r>
      <w:r w:rsidRPr="00E87803">
        <w:rPr>
          <w:rFonts w:ascii="Garamond" w:hAnsi="Garamond"/>
          <w:sz w:val="22"/>
          <w:szCs w:val="22"/>
        </w:rPr>
        <w:t>Against an elder receive not an accusation, but before</w:t>
      </w:r>
      <w:r w:rsidRPr="00E87803">
        <w:rPr>
          <w:rFonts w:ascii="Garamond" w:hAnsi="Garamond"/>
          <w:b/>
          <w:sz w:val="22"/>
          <w:szCs w:val="22"/>
        </w:rPr>
        <w:t xml:space="preserve"> two or three witnesses</w:t>
      </w:r>
      <w:r>
        <w:rPr>
          <w:rFonts w:ascii="Garamond" w:hAnsi="Garamond"/>
          <w:sz w:val="22"/>
          <w:szCs w:val="22"/>
        </w:rPr>
        <w:t>”</w:t>
      </w:r>
      <w:r w:rsidRPr="00E87803">
        <w:rPr>
          <w:rFonts w:ascii="Garamond" w:hAnsi="Garamond"/>
          <w:sz w:val="22"/>
          <w:szCs w:val="22"/>
        </w:rPr>
        <w:t xml:space="preserve"> (1Ti</w:t>
      </w:r>
      <w:r>
        <w:rPr>
          <w:rFonts w:ascii="Garamond" w:hAnsi="Garamond"/>
          <w:sz w:val="22"/>
          <w:szCs w:val="22"/>
        </w:rPr>
        <w:t>m 5:19); o</w:t>
      </w:r>
      <w:r w:rsidRPr="00E87803">
        <w:rPr>
          <w:rFonts w:ascii="Garamond" w:hAnsi="Garamond"/>
          <w:sz w:val="22"/>
          <w:szCs w:val="22"/>
        </w:rPr>
        <w:t xml:space="preserve">r, Heb 10:28: </w:t>
      </w:r>
      <w:r>
        <w:rPr>
          <w:rFonts w:ascii="Garamond" w:hAnsi="Garamond"/>
          <w:sz w:val="22"/>
          <w:szCs w:val="22"/>
        </w:rPr>
        <w:t>“</w:t>
      </w:r>
      <w:r w:rsidRPr="00E87803">
        <w:rPr>
          <w:rFonts w:ascii="Garamond" w:hAnsi="Garamond"/>
          <w:sz w:val="22"/>
          <w:szCs w:val="22"/>
        </w:rPr>
        <w:t>He that despised Moses</w:t>
      </w:r>
      <w:r>
        <w:rPr>
          <w:rFonts w:ascii="Garamond" w:hAnsi="Garamond"/>
          <w:sz w:val="22"/>
          <w:szCs w:val="22"/>
        </w:rPr>
        <w:t>’</w:t>
      </w:r>
      <w:r w:rsidRPr="00E87803">
        <w:rPr>
          <w:rFonts w:ascii="Garamond" w:hAnsi="Garamond"/>
          <w:sz w:val="22"/>
          <w:szCs w:val="22"/>
        </w:rPr>
        <w:t xml:space="preserve"> law died without mercy under </w:t>
      </w:r>
      <w:r w:rsidRPr="00E87803">
        <w:rPr>
          <w:rFonts w:ascii="Garamond" w:hAnsi="Garamond"/>
          <w:b/>
          <w:sz w:val="22"/>
          <w:szCs w:val="22"/>
        </w:rPr>
        <w:t>two or three witnesses</w:t>
      </w:r>
      <w:r>
        <w:rPr>
          <w:rFonts w:ascii="Garamond" w:hAnsi="Garamond"/>
          <w:sz w:val="22"/>
          <w:szCs w:val="22"/>
        </w:rPr>
        <w:t>”.</w:t>
      </w:r>
      <w:r w:rsidRPr="00E87803">
        <w:rPr>
          <w:rFonts w:ascii="Garamond" w:hAnsi="Garamond"/>
          <w:sz w:val="22"/>
          <w:szCs w:val="22"/>
        </w:rPr>
        <w:t xml:space="preserve">  (</w:t>
      </w:r>
      <w:r>
        <w:rPr>
          <w:rFonts w:ascii="Garamond" w:hAnsi="Garamond"/>
          <w:sz w:val="22"/>
          <w:szCs w:val="22"/>
        </w:rPr>
        <w:t>C</w:t>
      </w:r>
      <w:r w:rsidRPr="00E87803">
        <w:rPr>
          <w:rFonts w:ascii="Garamond" w:hAnsi="Garamond"/>
          <w:sz w:val="22"/>
          <w:szCs w:val="22"/>
        </w:rPr>
        <w:t xml:space="preserve">f. Deut 17:6 </w:t>
      </w:r>
      <w:r>
        <w:rPr>
          <w:rFonts w:ascii="Garamond" w:hAnsi="Garamond"/>
          <w:sz w:val="22"/>
          <w:szCs w:val="22"/>
        </w:rPr>
        <w:t>“</w:t>
      </w:r>
      <w:r w:rsidRPr="00E87803">
        <w:rPr>
          <w:rFonts w:ascii="Garamond" w:hAnsi="Garamond"/>
          <w:sz w:val="22"/>
          <w:szCs w:val="22"/>
        </w:rPr>
        <w:t xml:space="preserve">At </w:t>
      </w:r>
      <w:r>
        <w:rPr>
          <w:rFonts w:ascii="Garamond" w:hAnsi="Garamond"/>
          <w:sz w:val="22"/>
          <w:szCs w:val="22"/>
        </w:rPr>
        <w:t>M</w:t>
      </w:r>
      <w:r w:rsidRPr="00E87803">
        <w:rPr>
          <w:rFonts w:ascii="Garamond" w:hAnsi="Garamond"/>
          <w:sz w:val="22"/>
          <w:szCs w:val="22"/>
        </w:rPr>
        <w:t>outh of two witnesses, or three witnesses, shall he that is worthy of death be put to death; [but] at Mouth of one witness he shall not be put to death</w:t>
      </w:r>
      <w:r>
        <w:rPr>
          <w:rFonts w:ascii="Garamond" w:hAnsi="Garamond"/>
          <w:sz w:val="22"/>
          <w:szCs w:val="22"/>
        </w:rPr>
        <w:t>”</w:t>
      </w:r>
      <w:r w:rsidRPr="00E87803">
        <w:rPr>
          <w:rFonts w:ascii="Garamond" w:hAnsi="Garamond"/>
          <w:sz w:val="22"/>
          <w:szCs w:val="22"/>
        </w:rPr>
        <w:t>.)</w:t>
      </w:r>
    </w:p>
  </w:footnote>
  <w:footnote w:id="28">
    <w:p w:rsidR="00E35D87" w:rsidRPr="00E87803" w:rsidRDefault="00E35D87" w:rsidP="00E87803">
      <w:pPr>
        <w:pStyle w:val="Footnote"/>
        <w:tabs>
          <w:tab w:val="left" w:pos="361"/>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(i) A relevant question to ask of those who suppose the NT uses </w:t>
      </w:r>
      <w:r>
        <w:rPr>
          <w:rFonts w:ascii="Garamond" w:hAnsi="Garamond"/>
          <w:sz w:val="22"/>
          <w:szCs w:val="22"/>
        </w:rPr>
        <w:t>‘</w:t>
      </w:r>
      <w:r w:rsidRPr="00E87803">
        <w:rPr>
          <w:rFonts w:ascii="Garamond" w:hAnsi="Garamond"/>
          <w:sz w:val="22"/>
          <w:szCs w:val="22"/>
        </w:rPr>
        <w:t>the</w:t>
      </w:r>
      <w:r>
        <w:rPr>
          <w:rFonts w:ascii="Garamond" w:hAnsi="Garamond"/>
          <w:sz w:val="22"/>
          <w:szCs w:val="22"/>
        </w:rPr>
        <w:t>’</w:t>
      </w:r>
      <w:r w:rsidRPr="00E87803">
        <w:rPr>
          <w:rFonts w:ascii="Garamond" w:hAnsi="Garamond"/>
          <w:sz w:val="22"/>
          <w:szCs w:val="22"/>
        </w:rPr>
        <w:t xml:space="preserve"> (</w:t>
      </w:r>
      <w:r w:rsidRPr="00E87803">
        <w:rPr>
          <w:rFonts w:ascii="Garamond" w:hAnsi="Garamond"/>
          <w:i/>
          <w:sz w:val="22"/>
          <w:szCs w:val="22"/>
        </w:rPr>
        <w:t>sic.</w:t>
      </w:r>
      <w:r w:rsidRPr="00E87803">
        <w:rPr>
          <w:rFonts w:ascii="Garamond" w:hAnsi="Garamond"/>
          <w:sz w:val="22"/>
          <w:szCs w:val="22"/>
        </w:rPr>
        <w:t xml:space="preserve">) LXX </w:t>
      </w:r>
      <w:r>
        <w:rPr>
          <w:rFonts w:ascii="Garamond" w:hAnsi="Garamond"/>
          <w:sz w:val="22"/>
          <w:szCs w:val="22"/>
        </w:rPr>
        <w:t xml:space="preserve">here </w:t>
      </w:r>
      <w:r w:rsidRPr="00E87803">
        <w:rPr>
          <w:rFonts w:ascii="Garamond" w:hAnsi="Garamond"/>
          <w:sz w:val="22"/>
          <w:szCs w:val="22"/>
        </w:rPr>
        <w:t xml:space="preserve">is, </w:t>
      </w:r>
      <w:r>
        <w:rPr>
          <w:rFonts w:ascii="Garamond" w:hAnsi="Garamond"/>
          <w:sz w:val="22"/>
          <w:szCs w:val="22"/>
        </w:rPr>
        <w:t>‘</w:t>
      </w:r>
      <w:r w:rsidRPr="00E87803">
        <w:rPr>
          <w:rFonts w:ascii="Garamond" w:hAnsi="Garamond"/>
          <w:sz w:val="22"/>
          <w:szCs w:val="22"/>
        </w:rPr>
        <w:t xml:space="preserve">How is it that the LXX has departed from the Hebrew?  MT has </w:t>
      </w:r>
      <w:r>
        <w:rPr>
          <w:rFonts w:ascii="Garamond" w:hAnsi="Garamond"/>
          <w:sz w:val="22"/>
          <w:szCs w:val="22"/>
        </w:rPr>
        <w:t>‘</w:t>
      </w:r>
      <w:r w:rsidRPr="00E87803">
        <w:rPr>
          <w:rFonts w:ascii="Garamond" w:hAnsi="Garamond"/>
          <w:sz w:val="22"/>
          <w:szCs w:val="22"/>
        </w:rPr>
        <w:t>in</w:t>
      </w:r>
      <w:r>
        <w:rPr>
          <w:rFonts w:ascii="Garamond" w:hAnsi="Garamond"/>
          <w:sz w:val="22"/>
          <w:szCs w:val="22"/>
        </w:rPr>
        <w:t>’</w:t>
      </w:r>
      <w:r w:rsidRPr="00E87803">
        <w:rPr>
          <w:rFonts w:ascii="Garamond" w:hAnsi="Garamond"/>
          <w:sz w:val="22"/>
          <w:szCs w:val="22"/>
        </w:rPr>
        <w:t xml:space="preserve"> prefixed repeatedly to </w:t>
      </w:r>
      <w:r>
        <w:rPr>
          <w:rFonts w:ascii="Garamond" w:hAnsi="Garamond"/>
          <w:sz w:val="22"/>
          <w:szCs w:val="22"/>
        </w:rPr>
        <w:t>‘</w:t>
      </w:r>
      <w:r w:rsidRPr="00E87803">
        <w:rPr>
          <w:rFonts w:ascii="Garamond" w:hAnsi="Garamond"/>
          <w:sz w:val="22"/>
          <w:szCs w:val="22"/>
        </w:rPr>
        <w:t>all thy</w:t>
      </w:r>
      <w:r>
        <w:rPr>
          <w:rFonts w:ascii="Garamond" w:hAnsi="Garamond"/>
          <w:sz w:val="22"/>
          <w:szCs w:val="22"/>
        </w:rPr>
        <w:t>’,</w:t>
      </w:r>
      <w:r w:rsidRPr="00E87803">
        <w:rPr>
          <w:rFonts w:ascii="Garamond" w:hAnsi="Garamond"/>
          <w:sz w:val="22"/>
          <w:szCs w:val="22"/>
        </w:rPr>
        <w:t xml:space="preserve"> whereas the LXX has the </w:t>
      </w:r>
      <w:r>
        <w:rPr>
          <w:rFonts w:ascii="Garamond" w:hAnsi="Garamond"/>
          <w:sz w:val="22"/>
          <w:szCs w:val="22"/>
        </w:rPr>
        <w:t>‘</w:t>
      </w:r>
      <w:r w:rsidRPr="00E87803">
        <w:rPr>
          <w:rFonts w:ascii="Garamond" w:hAnsi="Garamond"/>
          <w:sz w:val="22"/>
          <w:szCs w:val="22"/>
        </w:rPr>
        <w:t>out of</w:t>
      </w:r>
      <w:r>
        <w:rPr>
          <w:rFonts w:ascii="Garamond" w:hAnsi="Garamond"/>
          <w:sz w:val="22"/>
          <w:szCs w:val="22"/>
        </w:rPr>
        <w:t xml:space="preserve">’ </w:t>
      </w:r>
      <w:r w:rsidRPr="00E87803">
        <w:rPr>
          <w:rFonts w:ascii="Garamond" w:hAnsi="Garamond"/>
          <w:sz w:val="22"/>
          <w:szCs w:val="22"/>
        </w:rPr>
        <w:t xml:space="preserve">[Gk. </w:t>
      </w:r>
      <w:r w:rsidRPr="006847EF">
        <w:rPr>
          <w:rFonts w:ascii="Garamond" w:hAnsi="Garamond"/>
          <w:i/>
          <w:sz w:val="22"/>
          <w:szCs w:val="22"/>
          <w:u w:val="single"/>
        </w:rPr>
        <w:t>ek</w:t>
      </w:r>
      <w:r w:rsidRPr="00E87803">
        <w:rPr>
          <w:rFonts w:ascii="Garamond" w:hAnsi="Garamond"/>
          <w:sz w:val="22"/>
          <w:szCs w:val="22"/>
        </w:rPr>
        <w:t xml:space="preserve"> ] form of Mark (and one instance in L</w:t>
      </w:r>
      <w:r>
        <w:rPr>
          <w:rFonts w:ascii="Garamond" w:hAnsi="Garamond"/>
          <w:sz w:val="22"/>
          <w:szCs w:val="22"/>
        </w:rPr>
        <w:t>u</w:t>
      </w:r>
      <w:r w:rsidRPr="00E87803">
        <w:rPr>
          <w:rFonts w:ascii="Garamond" w:hAnsi="Garamond"/>
          <w:sz w:val="22"/>
          <w:szCs w:val="22"/>
        </w:rPr>
        <w:t>k</w:t>
      </w:r>
      <w:r>
        <w:rPr>
          <w:rFonts w:ascii="Garamond" w:hAnsi="Garamond"/>
          <w:sz w:val="22"/>
          <w:szCs w:val="22"/>
        </w:rPr>
        <w:t>e</w:t>
      </w:r>
      <w:r w:rsidRPr="00E87803">
        <w:rPr>
          <w:rFonts w:ascii="Garamond" w:hAnsi="Garamond"/>
          <w:sz w:val="22"/>
          <w:szCs w:val="22"/>
        </w:rPr>
        <w:t xml:space="preserve"> 10:27).  If </w:t>
      </w:r>
      <w:r>
        <w:rPr>
          <w:rFonts w:ascii="Garamond" w:hAnsi="Garamond"/>
          <w:sz w:val="22"/>
          <w:szCs w:val="22"/>
        </w:rPr>
        <w:t>someone</w:t>
      </w:r>
      <w:r w:rsidRPr="00E87803">
        <w:rPr>
          <w:rFonts w:ascii="Garamond" w:hAnsi="Garamond"/>
          <w:sz w:val="22"/>
          <w:szCs w:val="22"/>
        </w:rPr>
        <w:t xml:space="preserve"> repl</w:t>
      </w:r>
      <w:r>
        <w:rPr>
          <w:rFonts w:ascii="Garamond" w:hAnsi="Garamond"/>
          <w:sz w:val="22"/>
          <w:szCs w:val="22"/>
        </w:rPr>
        <w:t>ies</w:t>
      </w:r>
      <w:r w:rsidRPr="00E87803">
        <w:rPr>
          <w:rFonts w:ascii="Garamond" w:hAnsi="Garamond"/>
          <w:sz w:val="22"/>
          <w:szCs w:val="22"/>
        </w:rPr>
        <w:t xml:space="preserve"> that both Mark and the LXX use an original Hebrew text which differs from MT, then </w:t>
      </w:r>
      <w:r>
        <w:rPr>
          <w:rFonts w:ascii="Garamond" w:hAnsi="Garamond"/>
          <w:sz w:val="22"/>
          <w:szCs w:val="22"/>
        </w:rPr>
        <w:t>it should be asked,</w:t>
      </w:r>
      <w:r w:rsidRPr="00E87803">
        <w:rPr>
          <w:rFonts w:ascii="Garamond" w:hAnsi="Garamond"/>
          <w:sz w:val="22"/>
          <w:szCs w:val="22"/>
        </w:rPr>
        <w:t xml:space="preserve"> </w:t>
      </w:r>
      <w:r>
        <w:rPr>
          <w:rFonts w:ascii="Garamond" w:hAnsi="Garamond"/>
          <w:sz w:val="22"/>
          <w:szCs w:val="22"/>
        </w:rPr>
        <w:t>W</w:t>
      </w:r>
      <w:r w:rsidRPr="00E87803">
        <w:rPr>
          <w:rFonts w:ascii="Garamond" w:hAnsi="Garamond"/>
          <w:sz w:val="22"/>
          <w:szCs w:val="22"/>
        </w:rPr>
        <w:t>hat Hebrew text did</w:t>
      </w:r>
      <w:r w:rsidRPr="00E87803">
        <w:rPr>
          <w:rFonts w:ascii="Garamond" w:hAnsi="Garamond"/>
          <w:i/>
          <w:sz w:val="22"/>
          <w:szCs w:val="22"/>
        </w:rPr>
        <w:t xml:space="preserve"> Matthew</w:t>
      </w:r>
      <w:r w:rsidRPr="00E87803">
        <w:rPr>
          <w:rFonts w:ascii="Garamond" w:hAnsi="Garamond"/>
          <w:sz w:val="22"/>
          <w:szCs w:val="22"/>
        </w:rPr>
        <w:t xml:space="preserve"> use?   Since Matthew</w:t>
      </w:r>
      <w:r>
        <w:rPr>
          <w:rFonts w:ascii="Garamond" w:hAnsi="Garamond"/>
          <w:sz w:val="22"/>
          <w:szCs w:val="22"/>
        </w:rPr>
        <w:t>’</w:t>
      </w:r>
      <w:r w:rsidRPr="00E87803">
        <w:rPr>
          <w:rFonts w:ascii="Garamond" w:hAnsi="Garamond"/>
          <w:sz w:val="22"/>
          <w:szCs w:val="22"/>
        </w:rPr>
        <w:t xml:space="preserve">s quotation has </w:t>
      </w:r>
      <w:r>
        <w:rPr>
          <w:rFonts w:ascii="Garamond" w:hAnsi="Garamond"/>
          <w:sz w:val="22"/>
          <w:szCs w:val="22"/>
        </w:rPr>
        <w:t>‘</w:t>
      </w:r>
      <w:r w:rsidRPr="00E87803">
        <w:rPr>
          <w:rFonts w:ascii="Garamond" w:hAnsi="Garamond"/>
          <w:i/>
          <w:sz w:val="22"/>
          <w:szCs w:val="22"/>
        </w:rPr>
        <w:t>in</w:t>
      </w:r>
      <w:r w:rsidRPr="00E87803">
        <w:rPr>
          <w:rFonts w:ascii="Garamond" w:hAnsi="Garamond"/>
          <w:sz w:val="22"/>
          <w:szCs w:val="22"/>
        </w:rPr>
        <w:t xml:space="preserve"> all thy...</w:t>
      </w:r>
      <w:r>
        <w:rPr>
          <w:rFonts w:ascii="Garamond" w:hAnsi="Garamond"/>
          <w:sz w:val="22"/>
          <w:szCs w:val="22"/>
        </w:rPr>
        <w:t>’</w:t>
      </w:r>
      <w:r w:rsidRPr="00E87803">
        <w:rPr>
          <w:rFonts w:ascii="Garamond" w:hAnsi="Garamond"/>
          <w:sz w:val="22"/>
          <w:szCs w:val="22"/>
        </w:rPr>
        <w:t xml:space="preserve"> and agrees with MT, is not this inspired comment on the originality of the Hebrew of MT?  Who is trying to break Scripture, here?  (Cf. L</w:t>
      </w:r>
      <w:r>
        <w:rPr>
          <w:rFonts w:ascii="Garamond" w:hAnsi="Garamond"/>
          <w:sz w:val="22"/>
          <w:szCs w:val="22"/>
        </w:rPr>
        <w:t>u</w:t>
      </w:r>
      <w:r w:rsidRPr="00E87803">
        <w:rPr>
          <w:rFonts w:ascii="Garamond" w:hAnsi="Garamond"/>
          <w:sz w:val="22"/>
          <w:szCs w:val="22"/>
        </w:rPr>
        <w:t>k</w:t>
      </w:r>
      <w:r>
        <w:rPr>
          <w:rFonts w:ascii="Garamond" w:hAnsi="Garamond"/>
          <w:sz w:val="22"/>
          <w:szCs w:val="22"/>
        </w:rPr>
        <w:t>e</w:t>
      </w:r>
      <w:r w:rsidRPr="00E87803">
        <w:rPr>
          <w:rFonts w:ascii="Garamond" w:hAnsi="Garamond"/>
          <w:sz w:val="22"/>
          <w:szCs w:val="22"/>
        </w:rPr>
        <w:t xml:space="preserve"> 10:27 which combines more variation in the use of these prepositions.)</w:t>
      </w:r>
    </w:p>
    <w:p w:rsidR="00E35D87" w:rsidRPr="00E87803" w:rsidRDefault="00E35D87" w:rsidP="00E87803">
      <w:pPr>
        <w:pStyle w:val="Footnote"/>
        <w:tabs>
          <w:tab w:val="left" w:pos="361"/>
        </w:tabs>
        <w:spacing w:after="0"/>
        <w:rPr>
          <w:rFonts w:ascii="Garamond" w:hAnsi="Garamond"/>
          <w:sz w:val="22"/>
          <w:szCs w:val="22"/>
        </w:rPr>
      </w:pPr>
      <w:r w:rsidRPr="00E87803">
        <w:rPr>
          <w:rFonts w:ascii="Garamond" w:hAnsi="Garamond"/>
          <w:sz w:val="22"/>
          <w:szCs w:val="22"/>
        </w:rPr>
        <w:t>(ii) My suggestion, with other data, is that since</w:t>
      </w:r>
      <w:r w:rsidRPr="00E87803">
        <w:rPr>
          <w:rFonts w:ascii="Garamond" w:hAnsi="Garamond"/>
          <w:i/>
          <w:sz w:val="22"/>
          <w:szCs w:val="22"/>
        </w:rPr>
        <w:t xml:space="preserve"> both</w:t>
      </w:r>
      <w:r w:rsidRPr="00E87803">
        <w:rPr>
          <w:rFonts w:ascii="Garamond" w:hAnsi="Garamond"/>
          <w:sz w:val="22"/>
          <w:szCs w:val="22"/>
        </w:rPr>
        <w:t xml:space="preserve"> Mark 12: 30 </w:t>
      </w:r>
      <w:r w:rsidRPr="00E87803">
        <w:rPr>
          <w:rFonts w:ascii="Garamond" w:hAnsi="Garamond"/>
          <w:i/>
          <w:sz w:val="22"/>
          <w:szCs w:val="22"/>
        </w:rPr>
        <w:t>and</w:t>
      </w:r>
      <w:r w:rsidRPr="00E87803">
        <w:rPr>
          <w:rFonts w:ascii="Garamond" w:hAnsi="Garamond"/>
          <w:sz w:val="22"/>
          <w:szCs w:val="22"/>
        </w:rPr>
        <w:t xml:space="preserve"> Luke 10:27 have </w:t>
      </w:r>
      <w:r>
        <w:rPr>
          <w:rFonts w:ascii="Garamond" w:hAnsi="Garamond"/>
          <w:sz w:val="22"/>
          <w:szCs w:val="22"/>
        </w:rPr>
        <w:t>‘</w:t>
      </w:r>
      <w:r w:rsidRPr="00E87803">
        <w:rPr>
          <w:rFonts w:ascii="Garamond" w:hAnsi="Garamond"/>
          <w:sz w:val="22"/>
          <w:szCs w:val="22"/>
        </w:rPr>
        <w:t>out of</w:t>
      </w:r>
      <w:r>
        <w:rPr>
          <w:rFonts w:ascii="Garamond" w:hAnsi="Garamond"/>
          <w:sz w:val="22"/>
          <w:szCs w:val="22"/>
        </w:rPr>
        <w:t>’,</w:t>
      </w:r>
      <w:r w:rsidRPr="00E87803">
        <w:rPr>
          <w:rFonts w:ascii="Garamond" w:hAnsi="Garamond"/>
          <w:sz w:val="22"/>
          <w:szCs w:val="22"/>
        </w:rPr>
        <w:t xml:space="preserve"> this easily convinced a Christian LXX editor to adopt this NT originated change. Agreement between LXX and NT is limited, and in many cases clearly contrived.  Scholars accept that many of the unexpected textual deviations in the LXX reflect later editorial revisions rather than necessarily being ascribed to the original translators.   (See Barnes</w:t>
      </w:r>
      <w:r>
        <w:rPr>
          <w:rFonts w:ascii="Garamond" w:hAnsi="Garamond"/>
          <w:sz w:val="22"/>
          <w:szCs w:val="22"/>
        </w:rPr>
        <w:t>’</w:t>
      </w:r>
      <w:r w:rsidRPr="00E87803">
        <w:rPr>
          <w:rFonts w:ascii="Garamond" w:hAnsi="Garamond"/>
          <w:sz w:val="22"/>
          <w:szCs w:val="22"/>
        </w:rPr>
        <w:t xml:space="preserve">  </w:t>
      </w:r>
      <w:r>
        <w:rPr>
          <w:rFonts w:ascii="Garamond" w:hAnsi="Garamond"/>
          <w:sz w:val="22"/>
          <w:szCs w:val="22"/>
        </w:rPr>
        <w:t>“</w:t>
      </w:r>
      <w:r w:rsidRPr="00E87803">
        <w:rPr>
          <w:rFonts w:ascii="Garamond" w:hAnsi="Garamond"/>
          <w:sz w:val="22"/>
          <w:szCs w:val="22"/>
        </w:rPr>
        <w:t>concluding observation</w:t>
      </w:r>
      <w:r>
        <w:rPr>
          <w:rFonts w:ascii="Garamond" w:hAnsi="Garamond"/>
          <w:sz w:val="22"/>
          <w:szCs w:val="22"/>
        </w:rPr>
        <w:t>”</w:t>
      </w:r>
      <w:r w:rsidRPr="00E87803">
        <w:rPr>
          <w:rFonts w:ascii="Garamond" w:hAnsi="Garamond"/>
          <w:sz w:val="22"/>
          <w:szCs w:val="22"/>
        </w:rPr>
        <w:t xml:space="preserve"> in (iii), below.) </w:t>
      </w:r>
    </w:p>
    <w:p w:rsidR="00E35D87" w:rsidRPr="00E87803" w:rsidRDefault="00E35D87" w:rsidP="00E87803">
      <w:pPr>
        <w:rPr>
          <w:sz w:val="22"/>
          <w:szCs w:val="22"/>
        </w:rPr>
      </w:pPr>
      <w:r w:rsidRPr="00E87803">
        <w:rPr>
          <w:sz w:val="22"/>
          <w:szCs w:val="22"/>
        </w:rPr>
        <w:t xml:space="preserve">(iii) Cf. n. </w:t>
      </w:r>
      <w:r>
        <w:rPr>
          <w:sz w:val="22"/>
          <w:szCs w:val="22"/>
        </w:rPr>
        <w:t xml:space="preserve">1 on p. 12 </w:t>
      </w:r>
      <w:r w:rsidRPr="00E87803">
        <w:rPr>
          <w:sz w:val="22"/>
          <w:szCs w:val="22"/>
        </w:rPr>
        <w:t xml:space="preserve">above, and see S. Jellicoe, </w:t>
      </w:r>
      <w:r w:rsidRPr="00E87803">
        <w:rPr>
          <w:i/>
          <w:sz w:val="22"/>
          <w:szCs w:val="22"/>
        </w:rPr>
        <w:t>The Septuagint and Modern Study</w:t>
      </w:r>
      <w:r w:rsidRPr="00E87803">
        <w:rPr>
          <w:sz w:val="22"/>
          <w:szCs w:val="22"/>
        </w:rPr>
        <w:t>, (</w:t>
      </w:r>
      <w:r>
        <w:rPr>
          <w:sz w:val="22"/>
          <w:szCs w:val="22"/>
        </w:rPr>
        <w:t xml:space="preserve">Oxford: </w:t>
      </w:r>
      <w:r w:rsidRPr="00E87803">
        <w:rPr>
          <w:sz w:val="22"/>
          <w:szCs w:val="22"/>
        </w:rPr>
        <w:t>O</w:t>
      </w:r>
      <w:r>
        <w:rPr>
          <w:sz w:val="22"/>
          <w:szCs w:val="22"/>
        </w:rPr>
        <w:t xml:space="preserve">xford </w:t>
      </w:r>
      <w:r w:rsidRPr="00E87803">
        <w:rPr>
          <w:sz w:val="22"/>
          <w:szCs w:val="22"/>
        </w:rPr>
        <w:t>U</w:t>
      </w:r>
      <w:r>
        <w:rPr>
          <w:sz w:val="22"/>
          <w:szCs w:val="22"/>
        </w:rPr>
        <w:t xml:space="preserve">niversity </w:t>
      </w:r>
      <w:r w:rsidRPr="00E87803">
        <w:rPr>
          <w:sz w:val="22"/>
          <w:szCs w:val="22"/>
        </w:rPr>
        <w:t>P</w:t>
      </w:r>
      <w:r>
        <w:rPr>
          <w:sz w:val="22"/>
          <w:szCs w:val="22"/>
        </w:rPr>
        <w:t>ress,</w:t>
      </w:r>
      <w:r w:rsidRPr="00E87803">
        <w:rPr>
          <w:sz w:val="22"/>
          <w:szCs w:val="22"/>
        </w:rPr>
        <w:t xml:space="preserve"> 1968)</w:t>
      </w:r>
      <w:r>
        <w:rPr>
          <w:sz w:val="22"/>
          <w:szCs w:val="22"/>
        </w:rPr>
        <w:t>,</w:t>
      </w:r>
      <w:r w:rsidRPr="00E87803">
        <w:rPr>
          <w:sz w:val="22"/>
          <w:szCs w:val="22"/>
        </w:rPr>
        <w:t xml:space="preserve"> 322.  In the section, </w:t>
      </w:r>
      <w:r>
        <w:rPr>
          <w:sz w:val="22"/>
          <w:szCs w:val="22"/>
        </w:rPr>
        <w:t>‘</w:t>
      </w:r>
      <w:r w:rsidRPr="00E87803">
        <w:rPr>
          <w:sz w:val="22"/>
          <w:szCs w:val="22"/>
        </w:rPr>
        <w:t>The Hebrew Text and the Septuagint,</w:t>
      </w:r>
      <w:r>
        <w:rPr>
          <w:sz w:val="22"/>
          <w:szCs w:val="22"/>
        </w:rPr>
        <w:t>’</w:t>
      </w:r>
      <w:r w:rsidRPr="00E87803">
        <w:rPr>
          <w:sz w:val="22"/>
          <w:szCs w:val="22"/>
        </w:rPr>
        <w:t xml:space="preserve"> he underlines the point I make in his last paragraph.  Jellicoe states, having considered a particular case: </w:t>
      </w:r>
      <w:r>
        <w:rPr>
          <w:sz w:val="22"/>
          <w:szCs w:val="22"/>
        </w:rPr>
        <w:t>“</w:t>
      </w:r>
      <w:r w:rsidRPr="00E87803">
        <w:rPr>
          <w:sz w:val="22"/>
          <w:szCs w:val="22"/>
        </w:rPr>
        <w:t>We have taken this particular reading as affording an example of the extreme care which must be exercised in deciding against M in what would seem, quite plausibly, to be in favour of LXX.  But when it is recognised, though too often overlooked, that the Greek version was made initially for Jews by Jews - a fact continually underlined by H. M. Orlinsky and constituting Rahlfs</w:t>
      </w:r>
      <w:r>
        <w:rPr>
          <w:sz w:val="22"/>
          <w:szCs w:val="22"/>
        </w:rPr>
        <w:t>’</w:t>
      </w:r>
      <w:r w:rsidRPr="00E87803">
        <w:rPr>
          <w:sz w:val="22"/>
          <w:szCs w:val="22"/>
        </w:rPr>
        <w:t xml:space="preserve"> opening statement in his </w:t>
      </w:r>
      <w:r>
        <w:rPr>
          <w:sz w:val="22"/>
          <w:szCs w:val="22"/>
        </w:rPr>
        <w:t>‘</w:t>
      </w:r>
      <w:r w:rsidRPr="00E87803">
        <w:rPr>
          <w:sz w:val="22"/>
          <w:szCs w:val="22"/>
        </w:rPr>
        <w:t>History of the Septuagint Text</w:t>
      </w:r>
      <w:r>
        <w:rPr>
          <w:sz w:val="22"/>
          <w:szCs w:val="22"/>
        </w:rPr>
        <w:t>’</w:t>
      </w:r>
      <w:r w:rsidRPr="00E87803">
        <w:rPr>
          <w:sz w:val="22"/>
          <w:szCs w:val="22"/>
        </w:rPr>
        <w:t xml:space="preserve"> [</w:t>
      </w:r>
      <w:r w:rsidRPr="00E87803">
        <w:rPr>
          <w:i/>
          <w:sz w:val="22"/>
          <w:szCs w:val="22"/>
        </w:rPr>
        <w:t xml:space="preserve">Septuaginta, </w:t>
      </w:r>
      <w:r w:rsidRPr="00E87803">
        <w:rPr>
          <w:sz w:val="22"/>
          <w:szCs w:val="22"/>
        </w:rPr>
        <w:t>Stuttgart: Privileg. Württenbergische Bibelanstalt, 1935, Vol. I, XXIII-XXIV] we must take into full consideration Barnes</w:t>
      </w:r>
      <w:r>
        <w:rPr>
          <w:sz w:val="22"/>
          <w:szCs w:val="22"/>
        </w:rPr>
        <w:t>’</w:t>
      </w:r>
      <w:r w:rsidRPr="00E87803">
        <w:rPr>
          <w:sz w:val="22"/>
          <w:szCs w:val="22"/>
        </w:rPr>
        <w:t xml:space="preserve"> concluding observation: </w:t>
      </w:r>
      <w:r>
        <w:rPr>
          <w:sz w:val="22"/>
          <w:szCs w:val="22"/>
        </w:rPr>
        <w:t>‘</w:t>
      </w:r>
      <w:r w:rsidRPr="00E87803">
        <w:rPr>
          <w:sz w:val="22"/>
          <w:szCs w:val="22"/>
        </w:rPr>
        <w:t xml:space="preserve">In weighing readings we must use all the knowledge we can gain of Jewish exegesis and of Haggadic (or Halachic) comment.  Some LXX readings which sound strange to Gentiles ears will prove to be right: while some readings </w:t>
      </w:r>
      <w:r w:rsidRPr="00E87803">
        <w:rPr>
          <w:b/>
          <w:sz w:val="22"/>
          <w:szCs w:val="22"/>
        </w:rPr>
        <w:t>(due to Christian modifications of the text, intentional or accidental)</w:t>
      </w:r>
      <w:r w:rsidRPr="00E87803">
        <w:rPr>
          <w:sz w:val="22"/>
          <w:szCs w:val="22"/>
        </w:rPr>
        <w:t xml:space="preserve"> will have to be rejected as too definitely Christian</w:t>
      </w:r>
      <w:r>
        <w:rPr>
          <w:sz w:val="22"/>
          <w:szCs w:val="22"/>
        </w:rPr>
        <w:t xml:space="preserve">’ ”.  </w:t>
      </w:r>
      <w:r w:rsidRPr="00E87803">
        <w:rPr>
          <w:sz w:val="22"/>
          <w:szCs w:val="22"/>
        </w:rPr>
        <w:t xml:space="preserve"> [My bold type.]  </w:t>
      </w:r>
    </w:p>
  </w:footnote>
  <w:footnote w:id="29">
    <w:p w:rsidR="00E35D87" w:rsidRPr="00E87803" w:rsidRDefault="00E35D87" w:rsidP="00E87803">
      <w:pPr>
        <w:pStyle w:val="Footnote"/>
        <w:tabs>
          <w:tab w:val="left" w:pos="361"/>
        </w:tabs>
        <w:spacing w:after="0"/>
        <w:rPr>
          <w:rFonts w:ascii="Garamond" w:hAnsi="Garamond"/>
          <w:sz w:val="22"/>
          <w:szCs w:val="22"/>
        </w:rPr>
      </w:pPr>
      <w:r w:rsidRPr="00E87803">
        <w:rPr>
          <w:rFonts w:ascii="Garamond" w:hAnsi="Garamond"/>
          <w:sz w:val="22"/>
          <w:szCs w:val="22"/>
          <w:vertAlign w:val="superscript"/>
        </w:rPr>
        <w:footnoteRef/>
      </w:r>
      <w:r>
        <w:rPr>
          <w:rFonts w:ascii="Garamond" w:hAnsi="Garamond"/>
          <w:sz w:val="22"/>
          <w:szCs w:val="22"/>
        </w:rPr>
        <w:t xml:space="preserve"> </w:t>
      </w:r>
      <w:r w:rsidRPr="00E87803">
        <w:rPr>
          <w:rFonts w:ascii="Garamond" w:hAnsi="Garamond"/>
          <w:sz w:val="22"/>
          <w:szCs w:val="22"/>
        </w:rPr>
        <w:t xml:space="preserve">In Heb. 8:10 &amp; 10:16, cf. Jer 31:33:  </w:t>
      </w:r>
      <w:r>
        <w:rPr>
          <w:rFonts w:ascii="Garamond" w:hAnsi="Garamond"/>
          <w:sz w:val="22"/>
          <w:szCs w:val="22"/>
        </w:rPr>
        <w:t>‘</w:t>
      </w:r>
      <w:r w:rsidRPr="00E87803">
        <w:rPr>
          <w:rFonts w:ascii="Garamond" w:hAnsi="Garamond"/>
          <w:sz w:val="22"/>
          <w:szCs w:val="22"/>
        </w:rPr>
        <w:t>upon</w:t>
      </w:r>
      <w:r>
        <w:rPr>
          <w:rFonts w:ascii="Garamond" w:hAnsi="Garamond"/>
          <w:sz w:val="22"/>
          <w:szCs w:val="22"/>
        </w:rPr>
        <w:t>’</w:t>
      </w:r>
      <w:r w:rsidRPr="00E87803">
        <w:rPr>
          <w:rFonts w:ascii="Garamond" w:hAnsi="Garamond"/>
          <w:sz w:val="22"/>
          <w:szCs w:val="22"/>
        </w:rPr>
        <w:t xml:space="preserve"> [Gk., </w:t>
      </w:r>
      <w:r w:rsidRPr="00D567B9">
        <w:rPr>
          <w:rFonts w:ascii="Garamond" w:hAnsi="Garamond"/>
          <w:i/>
          <w:sz w:val="22"/>
          <w:szCs w:val="22"/>
          <w:u w:val="single"/>
        </w:rPr>
        <w:t>epi</w:t>
      </w:r>
      <w:r w:rsidRPr="00682A50">
        <w:rPr>
          <w:rFonts w:ascii="Garamond" w:hAnsi="Garamond"/>
          <w:sz w:val="22"/>
          <w:szCs w:val="22"/>
        </w:rPr>
        <w:t xml:space="preserve">] </w:t>
      </w:r>
      <w:r w:rsidRPr="00E87803">
        <w:rPr>
          <w:rFonts w:ascii="Garamond" w:hAnsi="Garamond"/>
          <w:sz w:val="22"/>
          <w:szCs w:val="22"/>
        </w:rPr>
        <w:t xml:space="preserve">the heart and mind occurs paralleling the Hebrew of Deut. 6:6-8.  </w:t>
      </w:r>
    </w:p>
    <w:p w:rsidR="00E35D87" w:rsidRPr="00E87803" w:rsidRDefault="00E35D87" w:rsidP="00E87803">
      <w:pPr>
        <w:pStyle w:val="Footnote"/>
        <w:tabs>
          <w:tab w:val="left" w:pos="361"/>
        </w:tabs>
        <w:rPr>
          <w:rFonts w:ascii="Garamond" w:hAnsi="Garamond"/>
          <w:sz w:val="22"/>
          <w:szCs w:val="22"/>
        </w:rPr>
      </w:pPr>
    </w:p>
  </w:footnote>
  <w:footnote w:id="30">
    <w:p w:rsidR="00E35D87" w:rsidRPr="00E87803" w:rsidRDefault="00E35D87" w:rsidP="001A52B5">
      <w:pPr>
        <w:pStyle w:val="FootnoteText"/>
      </w:pPr>
      <w:r w:rsidRPr="00E87803">
        <w:rPr>
          <w:rStyle w:val="FootnoteReference"/>
        </w:rPr>
        <w:footnoteRef/>
      </w:r>
      <w:r w:rsidRPr="00E87803">
        <w:t xml:space="preserve"> 1 Peter is another </w:t>
      </w:r>
      <w:r>
        <w:t>“</w:t>
      </w:r>
      <w:r w:rsidRPr="00E87803">
        <w:t>exhortation</w:t>
      </w:r>
      <w:r>
        <w:t>”</w:t>
      </w:r>
      <w:r w:rsidRPr="00E87803">
        <w:t xml:space="preserve"> letter (1 Pet 5:12).</w:t>
      </w:r>
    </w:p>
  </w:footnote>
  <w:footnote w:id="31">
    <w:p w:rsidR="00E35D87" w:rsidRPr="001858C9" w:rsidRDefault="00E35D87" w:rsidP="001A52B5">
      <w:pPr>
        <w:pStyle w:val="FootnoteText"/>
      </w:pPr>
      <w:r w:rsidRPr="001858C9">
        <w:rPr>
          <w:rStyle w:val="FootnoteReference"/>
        </w:rPr>
        <w:footnoteRef/>
      </w:r>
      <w:r w:rsidRPr="001858C9">
        <w:t xml:space="preserve"> J. A. Montgomery, </w:t>
      </w:r>
      <w:r w:rsidRPr="001858C9">
        <w:rPr>
          <w:i/>
        </w:rPr>
        <w:t xml:space="preserve">A Critical and Exegetical Commentary on the Book of Daniel </w:t>
      </w:r>
      <w:r w:rsidRPr="001858C9">
        <w:rPr>
          <w:iCs/>
        </w:rPr>
        <w:t xml:space="preserve">(ICC; </w:t>
      </w:r>
      <w:r w:rsidRPr="001858C9">
        <w:t>Edinburgh: T&amp;T Clark, 1927), 400.</w:t>
      </w:r>
    </w:p>
  </w:footnote>
  <w:footnote w:id="32">
    <w:p w:rsidR="00E35D87" w:rsidRPr="001858C9" w:rsidRDefault="00E35D87" w:rsidP="001A52B5">
      <w:pPr>
        <w:pStyle w:val="FootnoteText"/>
      </w:pPr>
      <w:r w:rsidRPr="001858C9">
        <w:rPr>
          <w:rStyle w:val="FootnoteReference"/>
        </w:rPr>
        <w:footnoteRef/>
      </w:r>
      <w:r>
        <w:t xml:space="preserve"> For instance R.</w:t>
      </w:r>
      <w:r w:rsidRPr="001858C9">
        <w:t xml:space="preserve"> Pierce proposes that culmination of the prophecy was in the days of the Hasmonean kings of Judea. The “anointed one” of v</w:t>
      </w:r>
      <w:r>
        <w:t xml:space="preserve">. </w:t>
      </w:r>
      <w:r w:rsidRPr="001858C9">
        <w:t>25 is Aristobulus I, whose reign marks the reestablishment of the kingdom of Judah, and the “anointed one” of v</w:t>
      </w:r>
      <w:r>
        <w:t xml:space="preserve">. </w:t>
      </w:r>
      <w:r w:rsidRPr="001858C9">
        <w:t>26 is his half-brother Alexander Jannaeus, who made a covenant with Greek mercenaries to fight against his own people resulting in the cessation of the daily sacrifices. Pierce admits that the six stated purposes in v</w:t>
      </w:r>
      <w:r>
        <w:t xml:space="preserve">. </w:t>
      </w:r>
      <w:r w:rsidRPr="001858C9">
        <w:t>24 were not fulfilled at this time, but this he explains as divine postponement due to</w:t>
      </w:r>
      <w:r w:rsidR="00575222">
        <w:t xml:space="preserve"> the wickedness of the people. See </w:t>
      </w:r>
      <w:r w:rsidRPr="001858C9">
        <w:t>R. W. Pierce, “</w:t>
      </w:r>
      <w:r w:rsidRPr="001858C9">
        <w:rPr>
          <w:iCs/>
        </w:rPr>
        <w:t>Spiritual Failure, Postponement, and Daniel 9”</w:t>
      </w:r>
      <w:r w:rsidRPr="001858C9">
        <w:rPr>
          <w:i/>
        </w:rPr>
        <w:t xml:space="preserve"> </w:t>
      </w:r>
      <w:r w:rsidRPr="001858C9">
        <w:rPr>
          <w:i/>
          <w:iCs/>
        </w:rPr>
        <w:t>Trinity Journal</w:t>
      </w:r>
      <w:r w:rsidRPr="001858C9">
        <w:t xml:space="preserve"> 10:2 (1989)</w:t>
      </w:r>
      <w:r>
        <w:t>:</w:t>
      </w:r>
      <w:r w:rsidRPr="001858C9">
        <w:t xml:space="preserve"> 211-222.  </w:t>
      </w:r>
    </w:p>
  </w:footnote>
  <w:footnote w:id="33">
    <w:p w:rsidR="00E35D87" w:rsidRPr="001858C9" w:rsidRDefault="00E35D87" w:rsidP="001A52B5">
      <w:pPr>
        <w:pStyle w:val="FootnoteText"/>
      </w:pPr>
      <w:r w:rsidRPr="001858C9">
        <w:rPr>
          <w:rStyle w:val="FootnoteReference"/>
        </w:rPr>
        <w:footnoteRef/>
      </w:r>
      <w:r w:rsidRPr="001858C9">
        <w:t xml:space="preserve"> N. W. Porteous</w:t>
      </w:r>
      <w:r>
        <w:t xml:space="preserve">, </w:t>
      </w:r>
      <w:r w:rsidRPr="00B64809">
        <w:rPr>
          <w:i/>
        </w:rPr>
        <w:t>Daniel</w:t>
      </w:r>
      <w:r w:rsidR="003A1F53">
        <w:t xml:space="preserve"> (London: SCM P</w:t>
      </w:r>
      <w:r>
        <w:t>ress,</w:t>
      </w:r>
      <w:r w:rsidRPr="001858C9">
        <w:t xml:space="preserve"> 1965</w:t>
      </w:r>
      <w:r>
        <w:t>),</w:t>
      </w:r>
      <w:r w:rsidRPr="001858C9">
        <w:t xml:space="preserve"> 133-5, 141</w:t>
      </w:r>
      <w:r>
        <w:t>.</w:t>
      </w:r>
    </w:p>
  </w:footnote>
  <w:footnote w:id="34">
    <w:p w:rsidR="00E35D87" w:rsidRPr="001858C9" w:rsidRDefault="00E35D87" w:rsidP="001A52B5">
      <w:pPr>
        <w:pStyle w:val="FootnoteText"/>
      </w:pPr>
      <w:r w:rsidRPr="001858C9">
        <w:rPr>
          <w:rStyle w:val="FootnoteReference"/>
        </w:rPr>
        <w:footnoteRef/>
      </w:r>
      <w:r w:rsidRPr="001858C9">
        <w:t xml:space="preserve"> For instance, the decree of Cyrus (the same year </w:t>
      </w:r>
      <w:r>
        <w:t xml:space="preserve">to </w:t>
      </w:r>
      <w:r w:rsidRPr="001858C9">
        <w:t>which Dan</w:t>
      </w:r>
      <w:r>
        <w:t>iel</w:t>
      </w:r>
      <w:r w:rsidRPr="001858C9">
        <w:t xml:space="preserve"> 9 is dated) cannot be shown to be 483 years prior to the appearance of Jesus of Nazareth without calling into question established history. (In fact, several inerrantists have attempted such an adjustment, e.g. J. Milner, “</w:t>
      </w:r>
      <w:r w:rsidRPr="001858C9">
        <w:rPr>
          <w:iCs/>
        </w:rPr>
        <w:t>The Seventy Weeks of Daniel and Persian Chronology”</w:t>
      </w:r>
      <w:r w:rsidRPr="001858C9">
        <w:rPr>
          <w:i/>
        </w:rPr>
        <w:t xml:space="preserve"> </w:t>
      </w:r>
      <w:r w:rsidRPr="001858C9">
        <w:rPr>
          <w:i/>
          <w:iCs/>
        </w:rPr>
        <w:t>Transactions of the Royal Historical Society</w:t>
      </w:r>
      <w:r w:rsidRPr="001858C9">
        <w:t xml:space="preserve"> 6 (1877)</w:t>
      </w:r>
      <w:r>
        <w:t>:</w:t>
      </w:r>
      <w:r w:rsidRPr="001858C9">
        <w:t xml:space="preserve"> 298-303, and M. Anstey, </w:t>
      </w:r>
      <w:r w:rsidRPr="001858C9">
        <w:rPr>
          <w:i/>
        </w:rPr>
        <w:t xml:space="preserve">The Romance of Bible Chronology </w:t>
      </w:r>
      <w:r w:rsidRPr="001858C9">
        <w:rPr>
          <w:iCs/>
        </w:rPr>
        <w:t>(</w:t>
      </w:r>
      <w:r w:rsidRPr="001858C9">
        <w:t>L</w:t>
      </w:r>
      <w:r>
        <w:t>ondon: Marshall Brothers, 1913)</w:t>
      </w:r>
      <w:r w:rsidRPr="001858C9">
        <w:t xml:space="preserve">. Sir Robert Anderson achieved a seemingly precise solution taking 444 BC as the </w:t>
      </w:r>
      <w:r w:rsidRPr="001858C9">
        <w:rPr>
          <w:i/>
        </w:rPr>
        <w:t xml:space="preserve">terminus a quo </w:t>
      </w:r>
      <w:r w:rsidRPr="001858C9">
        <w:t>and calculating the 483 years as years of only 360 days (thus only 476 solar years), appealing to the idea that, what he calls, “a prophetic year” was only 360 days long. The assumptions underlying Anderson’</w:t>
      </w:r>
      <w:r w:rsidR="003A1F53">
        <w:t>s</w:t>
      </w:r>
      <w:r w:rsidRPr="001858C9">
        <w:t xml:space="preserve"> solution have more recently been called into question (see V. S. Poythress, “</w:t>
      </w:r>
      <w:r w:rsidRPr="001858C9">
        <w:rPr>
          <w:iCs/>
        </w:rPr>
        <w:t>Hermeneutical Factors in Determining the Beginning of t</w:t>
      </w:r>
      <w:r>
        <w:rPr>
          <w:iCs/>
        </w:rPr>
        <w:t>he Seventy Weeks (Daniel 9:25)”</w:t>
      </w:r>
      <w:r w:rsidRPr="001858C9">
        <w:rPr>
          <w:i/>
        </w:rPr>
        <w:t xml:space="preserve"> </w:t>
      </w:r>
      <w:r w:rsidRPr="001858C9">
        <w:rPr>
          <w:i/>
          <w:iCs/>
        </w:rPr>
        <w:t xml:space="preserve">Trinity Journal </w:t>
      </w:r>
      <w:r w:rsidRPr="001858C9">
        <w:t>6</w:t>
      </w:r>
      <w:r>
        <w:t>/</w:t>
      </w:r>
      <w:r w:rsidRPr="001858C9">
        <w:t>2 (1985)</w:t>
      </w:r>
      <w:r>
        <w:t>: 131-149</w:t>
      </w:r>
      <w:r w:rsidRPr="001858C9">
        <w:t xml:space="preserve">. </w:t>
      </w:r>
    </w:p>
  </w:footnote>
  <w:footnote w:id="35">
    <w:p w:rsidR="00E35D87" w:rsidRPr="001858C9" w:rsidRDefault="00E35D87" w:rsidP="001A52B5">
      <w:pPr>
        <w:pStyle w:val="FootnoteText"/>
      </w:pPr>
      <w:r w:rsidRPr="001858C9">
        <w:rPr>
          <w:rStyle w:val="FootnoteReference"/>
        </w:rPr>
        <w:footnoteRef/>
      </w:r>
      <w:r w:rsidRPr="001858C9">
        <w:t xml:space="preserve"> C. F. Whitley, “The Term Seventy Years Captivity”</w:t>
      </w:r>
      <w:r>
        <w:rPr>
          <w:i/>
        </w:rPr>
        <w:t xml:space="preserve"> VT </w:t>
      </w:r>
      <w:r w:rsidRPr="001858C9">
        <w:t>4</w:t>
      </w:r>
      <w:r>
        <w:t>/</w:t>
      </w:r>
      <w:r w:rsidRPr="001858C9">
        <w:t>1 (1954)</w:t>
      </w:r>
      <w:r>
        <w:t>:</w:t>
      </w:r>
      <w:r w:rsidRPr="001858C9">
        <w:t xml:space="preserve"> 60-72.</w:t>
      </w:r>
    </w:p>
  </w:footnote>
  <w:footnote w:id="36">
    <w:p w:rsidR="00E35D87" w:rsidRPr="001858C9" w:rsidRDefault="00E35D87" w:rsidP="001A52B5">
      <w:pPr>
        <w:pStyle w:val="FootnoteText"/>
      </w:pPr>
      <w:r w:rsidRPr="001858C9">
        <w:rPr>
          <w:rStyle w:val="FootnoteReference"/>
        </w:rPr>
        <w:footnoteRef/>
      </w:r>
      <w:r w:rsidRPr="001858C9">
        <w:t xml:space="preserve"> H. Avalos, “Daniel 9:24-26 and Mesopotamian Temple Red</w:t>
      </w:r>
      <w:r>
        <w:t>ed</w:t>
      </w:r>
      <w:r w:rsidRPr="001858C9">
        <w:t>ications”</w:t>
      </w:r>
      <w:r w:rsidRPr="001858C9">
        <w:rPr>
          <w:i/>
        </w:rPr>
        <w:t xml:space="preserve"> JBL</w:t>
      </w:r>
      <w:r w:rsidRPr="001858C9">
        <w:t xml:space="preserve"> 117</w:t>
      </w:r>
      <w:r>
        <w:t>/</w:t>
      </w:r>
      <w:r w:rsidRPr="001858C9">
        <w:t>3 (1998)</w:t>
      </w:r>
      <w:r>
        <w:t>:</w:t>
      </w:r>
      <w:r w:rsidRPr="001858C9">
        <w:t xml:space="preserve"> </w:t>
      </w:r>
      <w:r>
        <w:t>507-511 (</w:t>
      </w:r>
      <w:r w:rsidRPr="001858C9">
        <w:t>507</w:t>
      </w:r>
      <w:r>
        <w:t>)</w:t>
      </w:r>
      <w:r w:rsidRPr="001858C9">
        <w:t xml:space="preserve">; M. Leuchter, “Jeremiah’s 70-year Prophecy and the </w:t>
      </w:r>
      <w:r>
        <w:rPr>
          <w:rFonts w:ascii="Arial" w:hAnsi="Arial"/>
        </w:rPr>
        <w:t xml:space="preserve">ששך/לב קמי </w:t>
      </w:r>
      <w:r>
        <w:t>Atbash Codes”</w:t>
      </w:r>
      <w:r w:rsidRPr="001858C9">
        <w:rPr>
          <w:i/>
        </w:rPr>
        <w:t xml:space="preserve"> Biblica</w:t>
      </w:r>
      <w:r w:rsidRPr="001858C9">
        <w:t xml:space="preserve"> 85 (2004)</w:t>
      </w:r>
      <w:r>
        <w:t>:</w:t>
      </w:r>
      <w:r w:rsidRPr="001858C9">
        <w:t xml:space="preserve"> </w:t>
      </w:r>
      <w:r>
        <w:t>503-522 (</w:t>
      </w:r>
      <w:r w:rsidRPr="001858C9">
        <w:t>509</w:t>
      </w:r>
      <w:r>
        <w:t>)</w:t>
      </w:r>
      <w:r w:rsidRPr="001858C9">
        <w:t xml:space="preserve">. </w:t>
      </w:r>
    </w:p>
  </w:footnote>
  <w:footnote w:id="37">
    <w:p w:rsidR="00E35D87" w:rsidRPr="001858C9" w:rsidRDefault="00E35D87" w:rsidP="001A52B5">
      <w:pPr>
        <w:pStyle w:val="FootnoteText"/>
      </w:pPr>
      <w:r w:rsidRPr="001858C9">
        <w:rPr>
          <w:rStyle w:val="FootnoteReference"/>
        </w:rPr>
        <w:footnoteRef/>
      </w:r>
      <w:r w:rsidRPr="001858C9">
        <w:t xml:space="preserve"> Leuchter, “Jeremiah’s 70-year Prophecy”, 510.</w:t>
      </w:r>
    </w:p>
  </w:footnote>
  <w:footnote w:id="38">
    <w:p w:rsidR="00E35D87" w:rsidRPr="001858C9" w:rsidRDefault="00E35D87" w:rsidP="001A52B5">
      <w:pPr>
        <w:pStyle w:val="FootnoteText"/>
      </w:pPr>
      <w:r w:rsidRPr="001858C9">
        <w:rPr>
          <w:rStyle w:val="FootnoteReference"/>
        </w:rPr>
        <w:footnoteRef/>
      </w:r>
      <w:r w:rsidRPr="001858C9">
        <w:t xml:space="preserve"> R. J. M. Gurney, “The Seventy Weeks of Daniel 9:24-27”</w:t>
      </w:r>
      <w:r w:rsidRPr="001858C9">
        <w:rPr>
          <w:i/>
        </w:rPr>
        <w:t xml:space="preserve"> Evangelical Quarterly</w:t>
      </w:r>
      <w:r w:rsidRPr="001858C9">
        <w:t xml:space="preserve"> 53 (1981)</w:t>
      </w:r>
      <w:r>
        <w:t>: 29-36 (</w:t>
      </w:r>
      <w:r w:rsidRPr="001858C9">
        <w:t>30</w:t>
      </w:r>
      <w:r>
        <w:t>)</w:t>
      </w:r>
      <w:r w:rsidRPr="001858C9">
        <w:t xml:space="preserve">. </w:t>
      </w:r>
    </w:p>
  </w:footnote>
  <w:footnote w:id="39">
    <w:p w:rsidR="00E35D87" w:rsidRPr="00682A50" w:rsidRDefault="00E35D87" w:rsidP="001A52B5">
      <w:pPr>
        <w:pStyle w:val="FootnoteText"/>
        <w:rPr>
          <w:lang w:val="de-DE"/>
        </w:rPr>
      </w:pPr>
      <w:r w:rsidRPr="001858C9">
        <w:rPr>
          <w:rStyle w:val="FootnoteReference"/>
        </w:rPr>
        <w:footnoteRef/>
      </w:r>
      <w:r w:rsidRPr="00682A50">
        <w:rPr>
          <w:lang w:val="de-DE"/>
        </w:rPr>
        <w:t xml:space="preserve"> A. Montgomery, </w:t>
      </w:r>
      <w:r w:rsidRPr="00682A50">
        <w:rPr>
          <w:i/>
          <w:lang w:val="de-DE"/>
        </w:rPr>
        <w:t xml:space="preserve">Daniel </w:t>
      </w:r>
      <w:r w:rsidRPr="00682A50">
        <w:rPr>
          <w:lang w:val="de-DE"/>
        </w:rPr>
        <w:t>(ICC; Edinburgh: T &amp; T Clark, 2000), 393.</w:t>
      </w:r>
    </w:p>
  </w:footnote>
  <w:footnote w:id="40">
    <w:p w:rsidR="00E35D87" w:rsidRPr="00682A50" w:rsidRDefault="00E35D87" w:rsidP="001A52B5">
      <w:pPr>
        <w:pStyle w:val="FootnoteText"/>
        <w:rPr>
          <w:lang w:val="de-DE"/>
        </w:rPr>
      </w:pPr>
      <w:r w:rsidRPr="001858C9">
        <w:rPr>
          <w:rStyle w:val="FootnoteReference"/>
        </w:rPr>
        <w:footnoteRef/>
      </w:r>
      <w:r w:rsidRPr="00682A50">
        <w:rPr>
          <w:lang w:val="de-DE"/>
        </w:rPr>
        <w:t xml:space="preserve"> Porteous, </w:t>
      </w:r>
      <w:r w:rsidRPr="00682A50">
        <w:rPr>
          <w:i/>
          <w:lang w:val="de-DE"/>
        </w:rPr>
        <w:t>Daniel</w:t>
      </w:r>
      <w:r w:rsidRPr="00682A50">
        <w:rPr>
          <w:lang w:val="de-DE"/>
        </w:rPr>
        <w:t>, 141.</w:t>
      </w:r>
    </w:p>
  </w:footnote>
  <w:footnote w:id="41">
    <w:p w:rsidR="00E35D87" w:rsidRPr="00682A50" w:rsidRDefault="00E35D87" w:rsidP="001A52B5">
      <w:pPr>
        <w:pStyle w:val="FootnoteText"/>
        <w:rPr>
          <w:lang w:val="de-DE"/>
        </w:rPr>
      </w:pPr>
      <w:r w:rsidRPr="001858C9">
        <w:rPr>
          <w:rStyle w:val="FootnoteReference"/>
        </w:rPr>
        <w:footnoteRef/>
      </w:r>
      <w:r w:rsidRPr="00682A50">
        <w:rPr>
          <w:lang w:val="de-DE"/>
        </w:rPr>
        <w:t xml:space="preserve"> K. Koch, </w:t>
      </w:r>
      <w:r w:rsidRPr="00682A50">
        <w:rPr>
          <w:i/>
          <w:iCs/>
          <w:lang w:val="de-DE"/>
        </w:rPr>
        <w:t>Das Buch Daniel</w:t>
      </w:r>
      <w:r w:rsidRPr="00682A50">
        <w:rPr>
          <w:i/>
          <w:lang w:val="de-DE"/>
        </w:rPr>
        <w:t xml:space="preserve"> </w:t>
      </w:r>
      <w:r w:rsidRPr="00682A50">
        <w:rPr>
          <w:lang w:val="de-DE"/>
        </w:rPr>
        <w:t>(Darmstadt: Wissenschaftliche Buchgesellschaft, 1980), 149.</w:t>
      </w:r>
    </w:p>
  </w:footnote>
  <w:footnote w:id="42">
    <w:p w:rsidR="00E35D87" w:rsidRPr="00E014A4" w:rsidRDefault="00E35D87" w:rsidP="001A52B5">
      <w:pPr>
        <w:pStyle w:val="FootnoteText"/>
      </w:pPr>
      <w:r w:rsidRPr="001858C9">
        <w:rPr>
          <w:rStyle w:val="FootnoteReference"/>
        </w:rPr>
        <w:footnoteRef/>
      </w:r>
      <w:r w:rsidRPr="00682A50">
        <w:t xml:space="preserve"> </w:t>
      </w:r>
      <w:r w:rsidRPr="00E014A4">
        <w:t xml:space="preserve">A. Laato, </w:t>
      </w:r>
      <w:r>
        <w:t>“</w:t>
      </w:r>
      <w:r w:rsidRPr="00E014A4">
        <w:t>The Seventy Yearweeks in the Book of Daniel</w:t>
      </w:r>
      <w:r>
        <w:t>”</w:t>
      </w:r>
      <w:r w:rsidRPr="00E014A4">
        <w:rPr>
          <w:i/>
        </w:rPr>
        <w:t xml:space="preserve"> ZAW</w:t>
      </w:r>
      <w:r w:rsidRPr="00E014A4">
        <w:t xml:space="preserve"> 102/2 (1990): </w:t>
      </w:r>
      <w:r>
        <w:t>212-22 (</w:t>
      </w:r>
      <w:r w:rsidRPr="00E014A4">
        <w:t>215-</w:t>
      </w:r>
      <w:r>
        <w:t>21</w:t>
      </w:r>
      <w:r w:rsidRPr="00E014A4">
        <w:t>6</w:t>
      </w:r>
      <w:r>
        <w:t>)</w:t>
      </w:r>
      <w:r w:rsidRPr="00E014A4">
        <w:t>.</w:t>
      </w:r>
    </w:p>
  </w:footnote>
  <w:footnote w:id="43">
    <w:p w:rsidR="00E35D87" w:rsidRPr="00682A50" w:rsidRDefault="00E35D87" w:rsidP="001A52B5">
      <w:pPr>
        <w:pStyle w:val="FootnoteText"/>
        <w:rPr>
          <w:lang w:val="de-DE"/>
        </w:rPr>
      </w:pPr>
      <w:r w:rsidRPr="001858C9">
        <w:rPr>
          <w:rStyle w:val="FootnoteReference"/>
        </w:rPr>
        <w:footnoteRef/>
      </w:r>
      <w:r w:rsidRPr="00682A50">
        <w:rPr>
          <w:lang w:val="de-DE"/>
        </w:rPr>
        <w:t xml:space="preserve"> E. Schürer, </w:t>
      </w:r>
      <w:r w:rsidRPr="00682A50">
        <w:rPr>
          <w:i/>
          <w:lang w:val="de-DE"/>
        </w:rPr>
        <w:t xml:space="preserve">Geschichte des jüduschen Volkes im Zeitalter Jesu Christi </w:t>
      </w:r>
      <w:r w:rsidRPr="00682A50">
        <w:rPr>
          <w:iCs/>
          <w:lang w:val="de-DE"/>
        </w:rPr>
        <w:t>(</w:t>
      </w:r>
      <w:r w:rsidRPr="00682A50">
        <w:rPr>
          <w:lang w:val="de-DE"/>
        </w:rPr>
        <w:t>Dritter Band, Vierte Auflage, 1909)</w:t>
      </w:r>
      <w:r>
        <w:rPr>
          <w:lang w:val="de-DE"/>
        </w:rPr>
        <w:t>,</w:t>
      </w:r>
      <w:r w:rsidRPr="00682A50">
        <w:rPr>
          <w:lang w:val="de-DE"/>
        </w:rPr>
        <w:t xml:space="preserve"> 266f; cited Montgomery, </w:t>
      </w:r>
      <w:r w:rsidRPr="00682A50">
        <w:rPr>
          <w:i/>
          <w:iCs/>
          <w:lang w:val="de-DE"/>
        </w:rPr>
        <w:t xml:space="preserve">Daniel, </w:t>
      </w:r>
      <w:r w:rsidRPr="00682A50">
        <w:rPr>
          <w:lang w:val="de-DE"/>
        </w:rPr>
        <w:t>393.</w:t>
      </w:r>
    </w:p>
  </w:footnote>
  <w:footnote w:id="44">
    <w:p w:rsidR="00E35D87" w:rsidRPr="001858C9" w:rsidRDefault="00E35D87" w:rsidP="00AB6B5D">
      <w:pPr>
        <w:rPr>
          <w:sz w:val="22"/>
          <w:szCs w:val="22"/>
        </w:rPr>
      </w:pPr>
      <w:r w:rsidRPr="007A5AC2">
        <w:rPr>
          <w:rStyle w:val="FootnoteReference"/>
          <w:szCs w:val="22"/>
        </w:rPr>
        <w:footnoteRef/>
      </w:r>
      <w:r w:rsidRPr="007A5AC2">
        <w:rPr>
          <w:szCs w:val="22"/>
        </w:rPr>
        <w:t xml:space="preserve"> T. E. Gaston, </w:t>
      </w:r>
      <w:r w:rsidRPr="007A5AC2">
        <w:rPr>
          <w:i/>
          <w:iCs/>
          <w:szCs w:val="22"/>
        </w:rPr>
        <w:t>Historical Issues in the Book of Daniel</w:t>
      </w:r>
      <w:r w:rsidRPr="007A5AC2">
        <w:rPr>
          <w:szCs w:val="22"/>
        </w:rPr>
        <w:t xml:space="preserve"> (Oxford: Taanathshiloh, 2009)</w:t>
      </w:r>
      <w:r>
        <w:rPr>
          <w:szCs w:val="22"/>
        </w:rPr>
        <w:t>,</w:t>
      </w:r>
      <w:r w:rsidRPr="007A5AC2">
        <w:rPr>
          <w:szCs w:val="22"/>
        </w:rPr>
        <w:t xml:space="preserve"> 140-143. Also see F. Parente</w:t>
      </w:r>
      <w:r w:rsidRPr="007A5AC2">
        <w:rPr>
          <w:rFonts w:cs="TimesNewRoman"/>
          <w:szCs w:val="22"/>
          <w:lang w:eastAsia="en-GB" w:bidi="th-TH"/>
        </w:rPr>
        <w:t xml:space="preserve">, </w:t>
      </w:r>
      <w:r>
        <w:rPr>
          <w:rFonts w:cs="TimesNewRoman"/>
          <w:szCs w:val="22"/>
          <w:lang w:eastAsia="en-GB" w:bidi="th-TH"/>
        </w:rPr>
        <w:t>“</w:t>
      </w:r>
      <w:r w:rsidRPr="007A5AC2">
        <w:rPr>
          <w:rFonts w:cs="TimesNewRoman"/>
          <w:szCs w:val="22"/>
          <w:lang w:eastAsia="en-GB" w:bidi="th-TH"/>
        </w:rPr>
        <w:t>Onias III’ Death and the Foundation of the Temple of Leontopolis</w:t>
      </w:r>
      <w:r>
        <w:rPr>
          <w:rFonts w:cs="TimesNewRoman"/>
          <w:szCs w:val="22"/>
          <w:lang w:eastAsia="en-GB" w:bidi="th-TH"/>
        </w:rPr>
        <w:t>”</w:t>
      </w:r>
      <w:r w:rsidRPr="007A5AC2">
        <w:rPr>
          <w:rFonts w:cs="TimesNewRoman"/>
          <w:szCs w:val="22"/>
          <w:lang w:eastAsia="en-GB" w:bidi="th-TH"/>
        </w:rPr>
        <w:t xml:space="preserve"> in </w:t>
      </w:r>
      <w:r w:rsidRPr="007A5AC2">
        <w:rPr>
          <w:rFonts w:cs="TimesNewRoman,Italic"/>
          <w:i/>
          <w:iCs/>
          <w:szCs w:val="22"/>
          <w:lang w:eastAsia="en-GB" w:bidi="th-TH"/>
        </w:rPr>
        <w:t xml:space="preserve">Josephus and the history of the Greco-Roman Period: Essays in Memory Morton Smith </w:t>
      </w:r>
      <w:r w:rsidRPr="007A5AC2">
        <w:rPr>
          <w:rFonts w:cs="TimesNewRoman"/>
          <w:szCs w:val="22"/>
          <w:lang w:eastAsia="en-GB" w:bidi="th-TH"/>
        </w:rPr>
        <w:t>(F. Parente &amp; J. Sieves eds.; Leiden: Brill,</w:t>
      </w:r>
      <w:r>
        <w:rPr>
          <w:rFonts w:cs="TimesNewRoman"/>
          <w:szCs w:val="22"/>
          <w:lang w:eastAsia="en-GB" w:bidi="th-TH"/>
        </w:rPr>
        <w:t xml:space="preserve"> </w:t>
      </w:r>
      <w:r w:rsidRPr="007A5AC2">
        <w:rPr>
          <w:rFonts w:cs="TimesNewRoman"/>
          <w:szCs w:val="22"/>
          <w:lang w:eastAsia="en-GB" w:bidi="th-TH"/>
        </w:rPr>
        <w:t>1994)</w:t>
      </w:r>
      <w:r>
        <w:rPr>
          <w:rFonts w:cs="TimesNewRoman"/>
          <w:szCs w:val="22"/>
          <w:lang w:eastAsia="en-GB" w:bidi="th-TH"/>
        </w:rPr>
        <w:t>.</w:t>
      </w:r>
    </w:p>
  </w:footnote>
  <w:footnote w:id="45">
    <w:p w:rsidR="00E35D87" w:rsidRPr="001858C9" w:rsidRDefault="00E35D87" w:rsidP="001A52B5">
      <w:pPr>
        <w:pStyle w:val="FootnoteText"/>
      </w:pPr>
      <w:r w:rsidRPr="001858C9">
        <w:rPr>
          <w:rStyle w:val="FootnoteReference"/>
        </w:rPr>
        <w:footnoteRef/>
      </w:r>
      <w:r w:rsidRPr="001858C9">
        <w:t xml:space="preserve"> </w:t>
      </w:r>
      <w:r w:rsidRPr="001858C9">
        <w:rPr>
          <w:lang w:eastAsia="en-GB" w:bidi="th-TH"/>
        </w:rPr>
        <w:t xml:space="preserve">Parente, </w:t>
      </w:r>
      <w:r>
        <w:rPr>
          <w:lang w:eastAsia="en-GB" w:bidi="th-TH"/>
        </w:rPr>
        <w:t>“</w:t>
      </w:r>
      <w:r w:rsidRPr="001858C9">
        <w:rPr>
          <w:lang w:eastAsia="en-GB" w:bidi="th-TH"/>
        </w:rPr>
        <w:t>Onias III</w:t>
      </w:r>
      <w:r>
        <w:rPr>
          <w:lang w:eastAsia="en-GB" w:bidi="th-TH"/>
        </w:rPr>
        <w:t>”</w:t>
      </w:r>
      <w:r w:rsidRPr="001858C9">
        <w:rPr>
          <w:lang w:eastAsia="en-GB" w:bidi="th-TH"/>
        </w:rPr>
        <w:t>, 84</w:t>
      </w:r>
      <w:r>
        <w:rPr>
          <w:lang w:eastAsia="en-GB" w:bidi="th-TH"/>
        </w:rPr>
        <w:t>.</w:t>
      </w:r>
    </w:p>
  </w:footnote>
  <w:footnote w:id="46">
    <w:p w:rsidR="00E35D87" w:rsidRPr="001858C9" w:rsidRDefault="00E35D87" w:rsidP="001A52B5">
      <w:pPr>
        <w:pStyle w:val="FootnoteText"/>
      </w:pPr>
      <w:r w:rsidRPr="001858C9">
        <w:rPr>
          <w:rStyle w:val="FootnoteReference"/>
        </w:rPr>
        <w:footnoteRef/>
      </w:r>
      <w:r w:rsidRPr="001858C9">
        <w:t xml:space="preserve"> </w:t>
      </w:r>
      <w:r w:rsidRPr="000E2E72">
        <w:rPr>
          <w:i/>
          <w:lang w:eastAsia="en-GB" w:bidi="th-TH"/>
        </w:rPr>
        <w:t>Diodorus</w:t>
      </w:r>
      <w:r w:rsidRPr="001858C9">
        <w:rPr>
          <w:lang w:eastAsia="en-GB" w:bidi="th-TH"/>
        </w:rPr>
        <w:t xml:space="preserve"> 30.7.2-3</w:t>
      </w:r>
      <w:r>
        <w:rPr>
          <w:lang w:eastAsia="en-GB" w:bidi="th-TH"/>
        </w:rPr>
        <w:t xml:space="preserve">; </w:t>
      </w:r>
      <w:r w:rsidRPr="00B47C73">
        <w:t>(</w:t>
      </w:r>
      <w:r>
        <w:t>trans. C. H. Oldfather;</w:t>
      </w:r>
      <w:r w:rsidRPr="00B47C73">
        <w:t xml:space="preserve"> Loeb</w:t>
      </w:r>
      <w:r>
        <w:t xml:space="preserve"> Classical Library; Cambridge</w:t>
      </w:r>
      <w:r w:rsidRPr="00B47C73">
        <w:t>: Harvard University Press, 1958)</w:t>
      </w:r>
      <w:r>
        <w:t>.</w:t>
      </w:r>
    </w:p>
  </w:footnote>
  <w:footnote w:id="47">
    <w:p w:rsidR="00E35D87" w:rsidRPr="00AE7661" w:rsidRDefault="00E35D87" w:rsidP="001A52B5">
      <w:pPr>
        <w:pStyle w:val="FootnoteText"/>
      </w:pPr>
      <w:r w:rsidRPr="00AE7661">
        <w:rPr>
          <w:rStyle w:val="FootnoteReference"/>
        </w:rPr>
        <w:footnoteRef/>
      </w:r>
      <w:r w:rsidRPr="00AE7661">
        <w:t xml:space="preserve"> H. Chadwick, </w:t>
      </w:r>
      <w:r w:rsidRPr="00AE7661">
        <w:rPr>
          <w:rStyle w:val="Emphasis"/>
        </w:rPr>
        <w:t>The Early Church</w:t>
      </w:r>
      <w:r w:rsidRPr="00AE7661">
        <w:t xml:space="preserve"> (London: Pelican Books 1984), 133</w:t>
      </w:r>
      <w:r w:rsidRPr="00AE7661">
        <w:rPr>
          <w:rStyle w:val="Emphasis"/>
        </w:rPr>
        <w:t>.</w:t>
      </w:r>
    </w:p>
  </w:footnote>
  <w:footnote w:id="48">
    <w:p w:rsidR="00E35D87" w:rsidRPr="00AE7661" w:rsidRDefault="00E35D87" w:rsidP="001A52B5">
      <w:pPr>
        <w:pStyle w:val="FootnoteText"/>
      </w:pPr>
      <w:r w:rsidRPr="00AE7661">
        <w:rPr>
          <w:rStyle w:val="FootnoteReference"/>
        </w:rPr>
        <w:footnoteRef/>
      </w:r>
      <w:r w:rsidRPr="00AE7661">
        <w:t xml:space="preserve"> S. G. Hall, </w:t>
      </w:r>
      <w:r w:rsidRPr="00AE7661">
        <w:rPr>
          <w:rStyle w:val="Emphasis"/>
        </w:rPr>
        <w:t xml:space="preserve">Doctrine and Practice in the Early Church </w:t>
      </w:r>
      <w:r w:rsidRPr="007E7EF5">
        <w:rPr>
          <w:rStyle w:val="Emphasis"/>
          <w:i w:val="0"/>
        </w:rPr>
        <w:t>(London: SPCK, 1991), 121-1.</w:t>
      </w:r>
    </w:p>
  </w:footnote>
  <w:footnote w:id="49">
    <w:p w:rsidR="00E35D87" w:rsidRPr="00AE7661" w:rsidRDefault="00E35D87" w:rsidP="001A52B5">
      <w:pPr>
        <w:pStyle w:val="FootnoteText"/>
      </w:pPr>
      <w:r w:rsidRPr="00AE7661">
        <w:rPr>
          <w:rStyle w:val="FootnoteReference"/>
        </w:rPr>
        <w:footnoteRef/>
      </w:r>
      <w:r w:rsidRPr="00AE7661">
        <w:rPr>
          <w:rStyle w:val="Emphasis"/>
        </w:rPr>
        <w:t xml:space="preserve"> </w:t>
      </w:r>
      <w:r w:rsidRPr="008F5D18">
        <w:rPr>
          <w:rStyle w:val="Emphasis"/>
          <w:i w:val="0"/>
        </w:rPr>
        <w:t>J. C. McDowell, “Arius: A Theological Conservative Persecuted?” [Cited Online, January 1</w:t>
      </w:r>
      <w:r w:rsidRPr="008F5D18">
        <w:rPr>
          <w:rStyle w:val="Emphasis"/>
          <w:i w:val="0"/>
          <w:vertAlign w:val="superscript"/>
        </w:rPr>
        <w:t>st</w:t>
      </w:r>
      <w:r w:rsidRPr="008F5D18">
        <w:rPr>
          <w:rStyle w:val="Emphasis"/>
          <w:i w:val="0"/>
        </w:rPr>
        <w:t xml:space="preserve"> 2010]</w:t>
      </w:r>
      <w:r w:rsidRPr="00AE7661">
        <w:t xml:space="preserve"> </w:t>
      </w:r>
      <w:r w:rsidRPr="00AE7661">
        <w:rPr>
          <w:u w:val="single"/>
        </w:rPr>
        <w:t>http://www.geocities.ws/johnnymcdowell/papers/Arius.doc</w:t>
      </w:r>
      <w:r w:rsidRPr="00AE7661">
        <w:t>. McDowell’s essay is a presentation of an undergraduate dissertation.</w:t>
      </w:r>
    </w:p>
  </w:footnote>
  <w:footnote w:id="50">
    <w:p w:rsidR="00E35D87" w:rsidRPr="00AE7661" w:rsidRDefault="00E35D87" w:rsidP="001A52B5">
      <w:pPr>
        <w:pStyle w:val="FootnoteText"/>
      </w:pPr>
      <w:r w:rsidRPr="00AE7661">
        <w:rPr>
          <w:rStyle w:val="FootnoteReference"/>
        </w:rPr>
        <w:footnoteRef/>
      </w:r>
      <w:r w:rsidRPr="00AE7661">
        <w:t xml:space="preserve"> Athanasius, </w:t>
      </w:r>
      <w:r w:rsidRPr="00AE7661">
        <w:rPr>
          <w:rStyle w:val="Emphasis"/>
        </w:rPr>
        <w:t>De Synodis</w:t>
      </w:r>
      <w:r w:rsidRPr="00AE7661">
        <w:t>, 27.</w:t>
      </w:r>
    </w:p>
  </w:footnote>
  <w:footnote w:id="51">
    <w:p w:rsidR="00E35D87" w:rsidRPr="00AE7661" w:rsidRDefault="00E35D87" w:rsidP="001A52B5">
      <w:pPr>
        <w:pStyle w:val="FootnoteText"/>
      </w:pPr>
      <w:r w:rsidRPr="00AE7661">
        <w:rPr>
          <w:rStyle w:val="FootnoteReference"/>
        </w:rPr>
        <w:footnoteRef/>
      </w:r>
      <w:r w:rsidRPr="00AE7661">
        <w:t xml:space="preserve"> J</w:t>
      </w:r>
      <w:r>
        <w:t>.</w:t>
      </w:r>
      <w:r w:rsidRPr="00AE7661">
        <w:t xml:space="preserve"> Pelikan, </w:t>
      </w:r>
      <w:r w:rsidRPr="008F5D18">
        <w:rPr>
          <w:i/>
        </w:rPr>
        <w:t>The Christian Tradition: A History of the Development of Doctrine</w:t>
      </w:r>
      <w:r w:rsidRPr="008F5D18">
        <w:rPr>
          <w:rStyle w:val="Emphasis"/>
          <w:i w:val="0"/>
        </w:rPr>
        <w:t xml:space="preserve">, Vol. 1: </w:t>
      </w:r>
      <w:r w:rsidRPr="008F5D18">
        <w:rPr>
          <w:i/>
        </w:rPr>
        <w:t>The Emergence of the Catholic Tradition</w:t>
      </w:r>
      <w:r w:rsidRPr="00205296">
        <w:t>, 100–600</w:t>
      </w:r>
      <w:r w:rsidRPr="00AE7661">
        <w:t xml:space="preserve">, </w:t>
      </w:r>
      <w:r>
        <w:t xml:space="preserve">(Chicago: </w:t>
      </w:r>
      <w:r w:rsidRPr="00AE7661">
        <w:t>University Of Chicago Press, 1971</w:t>
      </w:r>
      <w:r>
        <w:t>)</w:t>
      </w:r>
      <w:r w:rsidRPr="00AE7661">
        <w:t>, 199.</w:t>
      </w:r>
    </w:p>
  </w:footnote>
  <w:footnote w:id="52">
    <w:p w:rsidR="00E35D87" w:rsidRPr="00AE7661" w:rsidRDefault="00E35D87" w:rsidP="001A52B5">
      <w:pPr>
        <w:pStyle w:val="FootnoteText"/>
      </w:pPr>
      <w:r w:rsidRPr="00AE7661">
        <w:rPr>
          <w:rStyle w:val="FootnoteReference"/>
        </w:rPr>
        <w:footnoteRef/>
      </w:r>
      <w:r w:rsidRPr="00AE7661">
        <w:t xml:space="preserve"> </w:t>
      </w:r>
      <w:r w:rsidRPr="00AE7661">
        <w:rPr>
          <w:rStyle w:val="Emphasis"/>
        </w:rPr>
        <w:t>De Fide</w:t>
      </w:r>
      <w:r w:rsidRPr="00AE7661">
        <w:t>, I.II.69.</w:t>
      </w:r>
    </w:p>
  </w:footnote>
  <w:footnote w:id="53">
    <w:p w:rsidR="00E35D87" w:rsidRPr="00AE7661" w:rsidRDefault="00E35D87" w:rsidP="001A52B5">
      <w:pPr>
        <w:pStyle w:val="FootnoteText"/>
      </w:pPr>
      <w:r w:rsidRPr="00AE7661">
        <w:rPr>
          <w:rStyle w:val="FootnoteReference"/>
        </w:rPr>
        <w:footnoteRef/>
      </w:r>
      <w:r w:rsidRPr="00AE7661">
        <w:t xml:space="preserve"> Ambrose’</w:t>
      </w:r>
      <w:r>
        <w:t>s</w:t>
      </w:r>
      <w:r w:rsidRPr="00AE7661">
        <w:t xml:space="preserve"> argument runs thus:  “Paul forbids me to worship a creature and insists that I must serve Christ. Christ is therefore not a creature.” Astute readers will observe that the conclusion does not follow logically from the premise. In the language of logic, this is known as a </w:t>
      </w:r>
      <w:r w:rsidRPr="00AE7661">
        <w:rPr>
          <w:rStyle w:val="Emphasis"/>
        </w:rPr>
        <w:t>non sequiter</w:t>
      </w:r>
      <w:r>
        <w:t xml:space="preserve">. </w:t>
      </w:r>
      <w:r w:rsidRPr="00AE7661">
        <w:t>Ambrose also falsely equates “serve” with “worship” (without even addressing the question of whether or not Christ is God at all), then tosses in the quote from Paul as if this clinches the argument (which it doesn’t). He would have done better to present an argument in favour of Christ’s deity first (on the basis of which he could then claim that Jesus is worthy of worship) followed by the quote from Paul (forbidding us to worship that which is created).</w:t>
      </w:r>
    </w:p>
  </w:footnote>
  <w:footnote w:id="54">
    <w:p w:rsidR="00E35D87" w:rsidRPr="00AE7661" w:rsidRDefault="00E35D87" w:rsidP="001A52B5">
      <w:pPr>
        <w:pStyle w:val="FootnoteText"/>
      </w:pPr>
      <w:r w:rsidRPr="00AE7661">
        <w:rPr>
          <w:rStyle w:val="FootnoteReference"/>
        </w:rPr>
        <w:footnoteRef/>
      </w:r>
      <w:r w:rsidRPr="00AE7661">
        <w:t xml:space="preserve"> </w:t>
      </w:r>
      <w:r w:rsidRPr="00AE7661">
        <w:rPr>
          <w:rStyle w:val="Emphasis"/>
        </w:rPr>
        <w:t>De Fide</w:t>
      </w:r>
      <w:r w:rsidRPr="00AE7661">
        <w:t>, I.II.69</w:t>
      </w:r>
      <w:r w:rsidRPr="00AE7661">
        <w:rPr>
          <w:rStyle w:val="Emphasis"/>
        </w:rPr>
        <w:t>.</w:t>
      </w:r>
    </w:p>
  </w:footnote>
  <w:footnote w:id="55">
    <w:p w:rsidR="00E35D87" w:rsidRPr="00AE7661" w:rsidRDefault="00E35D87" w:rsidP="001A52B5">
      <w:pPr>
        <w:pStyle w:val="FootnoteText"/>
      </w:pPr>
      <w:r w:rsidRPr="00AE7661">
        <w:rPr>
          <w:rStyle w:val="FootnoteReference"/>
        </w:rPr>
        <w:footnoteRef/>
      </w:r>
      <w:r w:rsidRPr="00AE7661">
        <w:t xml:space="preserve"> Some later Arians did worship Christ but this was exceptional.</w:t>
      </w:r>
    </w:p>
  </w:footnote>
  <w:footnote w:id="56">
    <w:p w:rsidR="00E35D87" w:rsidRPr="00AE7661" w:rsidRDefault="00E35D87" w:rsidP="001A52B5">
      <w:pPr>
        <w:pStyle w:val="FootnoteText"/>
      </w:pPr>
      <w:r w:rsidRPr="00AE7661">
        <w:rPr>
          <w:rStyle w:val="FootnoteReference"/>
        </w:rPr>
        <w:footnoteRef/>
      </w:r>
      <w:r w:rsidRPr="00AE7661">
        <w:t xml:space="preserve"> A</w:t>
      </w:r>
      <w:r>
        <w:t>.</w:t>
      </w:r>
      <w:r w:rsidRPr="00AE7661">
        <w:t xml:space="preserve"> E</w:t>
      </w:r>
      <w:r>
        <w:t>.</w:t>
      </w:r>
      <w:r w:rsidRPr="00AE7661">
        <w:t xml:space="preserve"> McGrath, </w:t>
      </w:r>
      <w:r w:rsidRPr="00AE7661">
        <w:rPr>
          <w:i/>
        </w:rPr>
        <w:t>Christian Theology: An Introduction</w:t>
      </w:r>
      <w:r w:rsidRPr="00AE7661">
        <w:t xml:space="preserve">, </w:t>
      </w:r>
      <w:r>
        <w:t xml:space="preserve">(Oxford: </w:t>
      </w:r>
      <w:r w:rsidRPr="00AE7661">
        <w:t>Wiley-Blackwell, 2010</w:t>
      </w:r>
      <w:r>
        <w:t>)</w:t>
      </w:r>
      <w:r w:rsidRPr="00AE7661">
        <w:t>, 275.</w:t>
      </w:r>
    </w:p>
  </w:footnote>
  <w:footnote w:id="57">
    <w:p w:rsidR="00E35D87" w:rsidRPr="009F7923" w:rsidRDefault="00E35D87" w:rsidP="001A52B5">
      <w:pPr>
        <w:pStyle w:val="FootnoteText"/>
      </w:pPr>
      <w:r w:rsidRPr="009F7923">
        <w:rPr>
          <w:rStyle w:val="FootnoteReference"/>
        </w:rPr>
        <w:footnoteRef/>
      </w:r>
      <w:r w:rsidRPr="009F7923">
        <w:t xml:space="preserve"> E. T</w:t>
      </w:r>
      <w:r>
        <w:t>.</w:t>
      </w:r>
      <w:r w:rsidRPr="009F7923">
        <w:t xml:space="preserve"> Mullen, </w:t>
      </w:r>
      <w:r>
        <w:t>“</w:t>
      </w:r>
      <w:r w:rsidRPr="009F7923">
        <w:t>Crime and Punishment: ‘The Sins of the King and the</w:t>
      </w:r>
      <w:r>
        <w:t xml:space="preserve"> Despoliation of the Treasuries</w:t>
      </w:r>
      <w:r w:rsidRPr="009F7923">
        <w:t>’</w:t>
      </w:r>
      <w:r>
        <w:t xml:space="preserve"> ” </w:t>
      </w:r>
      <w:r w:rsidRPr="00994E08">
        <w:rPr>
          <w:i/>
        </w:rPr>
        <w:t>CBQ</w:t>
      </w:r>
      <w:r w:rsidRPr="009F7923">
        <w:t xml:space="preserve"> 54</w:t>
      </w:r>
      <w:r>
        <w:t xml:space="preserve"> (1992)</w:t>
      </w:r>
      <w:r w:rsidRPr="009F7923">
        <w:t>:</w:t>
      </w:r>
      <w:r>
        <w:t xml:space="preserve"> </w:t>
      </w:r>
      <w:r w:rsidRPr="009F7923">
        <w:t>231-48</w:t>
      </w:r>
      <w:r>
        <w:t>.</w:t>
      </w:r>
    </w:p>
  </w:footnote>
  <w:footnote w:id="58">
    <w:p w:rsidR="00E35D87" w:rsidRPr="00D65DF5" w:rsidRDefault="00E35D87" w:rsidP="00D42BC2">
      <w:pPr>
        <w:rPr>
          <w:sz w:val="22"/>
          <w:szCs w:val="22"/>
        </w:rPr>
      </w:pPr>
      <w:r w:rsidRPr="009F7923">
        <w:rPr>
          <w:rStyle w:val="FootnoteReference"/>
          <w:sz w:val="22"/>
        </w:rPr>
        <w:footnoteRef/>
      </w:r>
      <w:r w:rsidRPr="009F7923">
        <w:rPr>
          <w:sz w:val="22"/>
          <w:szCs w:val="22"/>
        </w:rPr>
        <w:t xml:space="preserve"> B</w:t>
      </w:r>
      <w:r>
        <w:rPr>
          <w:sz w:val="22"/>
          <w:szCs w:val="22"/>
        </w:rPr>
        <w:t>.</w:t>
      </w:r>
      <w:r w:rsidRPr="009F7923">
        <w:rPr>
          <w:sz w:val="22"/>
          <w:szCs w:val="22"/>
        </w:rPr>
        <w:t xml:space="preserve"> </w:t>
      </w:r>
      <w:r>
        <w:rPr>
          <w:sz w:val="22"/>
          <w:szCs w:val="22"/>
        </w:rPr>
        <w:t xml:space="preserve">S. </w:t>
      </w:r>
      <w:r w:rsidRPr="009F7923">
        <w:rPr>
          <w:sz w:val="22"/>
          <w:szCs w:val="22"/>
        </w:rPr>
        <w:t xml:space="preserve">Childs remarks that, “In terms of the specific historical problem of 701, it seems unlikely that a satisfactory historical solution will be forthcoming without fresh extra-biblical evidence” Brevard S. Childs, </w:t>
      </w:r>
      <w:r w:rsidRPr="009B481B">
        <w:rPr>
          <w:i/>
          <w:sz w:val="22"/>
          <w:szCs w:val="22"/>
        </w:rPr>
        <w:t>Isaiah and the Assyrian Crisis</w:t>
      </w:r>
      <w:r w:rsidRPr="009F7923">
        <w:rPr>
          <w:sz w:val="22"/>
          <w:szCs w:val="22"/>
        </w:rPr>
        <w:t xml:space="preserve"> (SBT 2/3;</w:t>
      </w:r>
      <w:r>
        <w:rPr>
          <w:sz w:val="22"/>
          <w:szCs w:val="22"/>
        </w:rPr>
        <w:t xml:space="preserve"> </w:t>
      </w:r>
      <w:r w:rsidRPr="009F7923">
        <w:rPr>
          <w:sz w:val="22"/>
          <w:szCs w:val="22"/>
        </w:rPr>
        <w:t>London:</w:t>
      </w:r>
      <w:r>
        <w:rPr>
          <w:sz w:val="22"/>
          <w:szCs w:val="22"/>
        </w:rPr>
        <w:t xml:space="preserve"> </w:t>
      </w:r>
      <w:r w:rsidRPr="009F7923">
        <w:rPr>
          <w:sz w:val="22"/>
          <w:szCs w:val="22"/>
        </w:rPr>
        <w:t>SCM,</w:t>
      </w:r>
      <w:r>
        <w:rPr>
          <w:sz w:val="22"/>
          <w:szCs w:val="22"/>
        </w:rPr>
        <w:t xml:space="preserve"> </w:t>
      </w:r>
      <w:r w:rsidRPr="009F7923">
        <w:rPr>
          <w:sz w:val="22"/>
          <w:szCs w:val="22"/>
        </w:rPr>
        <w:t>1967),</w:t>
      </w:r>
      <w:r>
        <w:rPr>
          <w:sz w:val="22"/>
          <w:szCs w:val="22"/>
        </w:rPr>
        <w:t xml:space="preserve"> </w:t>
      </w:r>
      <w:r w:rsidRPr="009F7923">
        <w:rPr>
          <w:sz w:val="22"/>
          <w:szCs w:val="22"/>
        </w:rPr>
        <w:t>120</w:t>
      </w:r>
      <w:r>
        <w:rPr>
          <w:sz w:val="22"/>
          <w:szCs w:val="22"/>
        </w:rPr>
        <w:t>,</w:t>
      </w:r>
      <w:r w:rsidRPr="009F7923">
        <w:rPr>
          <w:sz w:val="22"/>
          <w:szCs w:val="22"/>
        </w:rPr>
        <w:t xml:space="preserve"> and L</w:t>
      </w:r>
      <w:r>
        <w:rPr>
          <w:sz w:val="22"/>
          <w:szCs w:val="22"/>
        </w:rPr>
        <w:t>.</w:t>
      </w:r>
      <w:r w:rsidRPr="009F7923">
        <w:rPr>
          <w:sz w:val="22"/>
          <w:szCs w:val="22"/>
        </w:rPr>
        <w:t xml:space="preserve"> </w:t>
      </w:r>
      <w:r>
        <w:rPr>
          <w:sz w:val="22"/>
          <w:szCs w:val="22"/>
        </w:rPr>
        <w:t xml:space="preserve">L. </w:t>
      </w:r>
      <w:r w:rsidRPr="009F7923">
        <w:rPr>
          <w:sz w:val="22"/>
          <w:szCs w:val="22"/>
        </w:rPr>
        <w:t>Honor, asserts, “none of the hypotheses is so strongly substantiated by the facts available in the sources, that it may claim greater credence than the others” L</w:t>
      </w:r>
      <w:r>
        <w:rPr>
          <w:sz w:val="22"/>
          <w:szCs w:val="22"/>
        </w:rPr>
        <w:t>.</w:t>
      </w:r>
      <w:r w:rsidRPr="009F7923">
        <w:rPr>
          <w:sz w:val="22"/>
          <w:szCs w:val="22"/>
        </w:rPr>
        <w:t xml:space="preserve"> L. Honor, </w:t>
      </w:r>
      <w:r w:rsidRPr="009B481B">
        <w:rPr>
          <w:i/>
          <w:sz w:val="22"/>
          <w:szCs w:val="22"/>
        </w:rPr>
        <w:t>Sennacherib’s Invasion of Palestine: A Critical Source Study</w:t>
      </w:r>
      <w:r w:rsidRPr="009F7923">
        <w:rPr>
          <w:sz w:val="22"/>
          <w:szCs w:val="22"/>
        </w:rPr>
        <w:t xml:space="preserve"> </w:t>
      </w:r>
      <w:r>
        <w:rPr>
          <w:sz w:val="22"/>
          <w:szCs w:val="22"/>
        </w:rPr>
        <w:t>(</w:t>
      </w:r>
      <w:r w:rsidRPr="009F7923">
        <w:rPr>
          <w:sz w:val="22"/>
          <w:szCs w:val="22"/>
        </w:rPr>
        <w:t>COHP 12;</w:t>
      </w:r>
      <w:r>
        <w:rPr>
          <w:sz w:val="22"/>
          <w:szCs w:val="22"/>
        </w:rPr>
        <w:t xml:space="preserve"> </w:t>
      </w:r>
      <w:r w:rsidRPr="009F7923">
        <w:rPr>
          <w:sz w:val="22"/>
          <w:szCs w:val="22"/>
        </w:rPr>
        <w:t>New York: Columbia,1926), xiv-xv</w:t>
      </w:r>
      <w:r>
        <w:rPr>
          <w:sz w:val="22"/>
          <w:szCs w:val="22"/>
        </w:rPr>
        <w:t>.</w:t>
      </w:r>
    </w:p>
  </w:footnote>
  <w:footnote w:id="59">
    <w:p w:rsidR="00E35D87" w:rsidRPr="00D65DF5" w:rsidRDefault="00E35D87" w:rsidP="001A52B5">
      <w:pPr>
        <w:pStyle w:val="FootnoteText"/>
      </w:pPr>
      <w:r w:rsidRPr="009F7923">
        <w:rPr>
          <w:rStyle w:val="FootnoteReference"/>
        </w:rPr>
        <w:footnoteRef/>
      </w:r>
      <w:r w:rsidRPr="009F7923">
        <w:t xml:space="preserve"> For example, </w:t>
      </w:r>
      <w:r>
        <w:t xml:space="preserve">W. R. </w:t>
      </w:r>
      <w:r w:rsidRPr="009F7923">
        <w:t>Gallagher admits that the Assyrian annals are not always arranged chronologically but sometimes thematically</w:t>
      </w:r>
      <w:r>
        <w:t xml:space="preserve"> in </w:t>
      </w:r>
      <w:r w:rsidRPr="00D65DF5">
        <w:rPr>
          <w:i/>
        </w:rPr>
        <w:t>Sennacherib’s Campaign to Judah. New Studies</w:t>
      </w:r>
      <w:r w:rsidRPr="009F7923">
        <w:t xml:space="preserve"> (Leiden:</w:t>
      </w:r>
      <w:r>
        <w:t xml:space="preserve"> E J </w:t>
      </w:r>
      <w:r w:rsidRPr="009F7923">
        <w:t>Brill,</w:t>
      </w:r>
      <w:r>
        <w:t xml:space="preserve"> </w:t>
      </w:r>
      <w:r w:rsidRPr="009F7923">
        <w:t>1999),</w:t>
      </w:r>
      <w:r>
        <w:t xml:space="preserve"> </w:t>
      </w:r>
      <w:r w:rsidRPr="009F7923">
        <w:t>123-125.</w:t>
      </w:r>
    </w:p>
  </w:footnote>
  <w:footnote w:id="60">
    <w:p w:rsidR="00E35D87" w:rsidRPr="009F7923" w:rsidRDefault="00E35D87" w:rsidP="001A52B5">
      <w:pPr>
        <w:pStyle w:val="FootnoteText"/>
      </w:pPr>
      <w:r w:rsidRPr="009F7923">
        <w:rPr>
          <w:rStyle w:val="FootnoteReference"/>
        </w:rPr>
        <w:footnoteRef/>
      </w:r>
      <w:r w:rsidRPr="009F7923">
        <w:t xml:space="preserve"> There is consensus on this phase of the campaign occurring in 701</w:t>
      </w:r>
      <w:r>
        <w:t>-700</w:t>
      </w:r>
      <w:r w:rsidRPr="009F7923">
        <w:t xml:space="preserve"> BC (t</w:t>
      </w:r>
      <w:r>
        <w:t>he fourteenth year of Hezekiah)</w:t>
      </w:r>
      <w:r w:rsidRPr="009F7923">
        <w:t xml:space="preserve">. </w:t>
      </w:r>
    </w:p>
  </w:footnote>
  <w:footnote w:id="61">
    <w:p w:rsidR="00E35D87" w:rsidRPr="001C59E4" w:rsidRDefault="00E35D87" w:rsidP="00D42BC2">
      <w:pPr>
        <w:autoSpaceDE w:val="0"/>
        <w:autoSpaceDN w:val="0"/>
        <w:adjustRightInd w:val="0"/>
        <w:rPr>
          <w:sz w:val="22"/>
          <w:szCs w:val="22"/>
          <w:lang w:val="en-AU"/>
        </w:rPr>
      </w:pPr>
      <w:r w:rsidRPr="009F7923">
        <w:rPr>
          <w:rStyle w:val="FootnoteReference"/>
          <w:sz w:val="22"/>
        </w:rPr>
        <w:footnoteRef/>
      </w:r>
      <w:r>
        <w:rPr>
          <w:sz w:val="22"/>
          <w:szCs w:val="22"/>
        </w:rPr>
        <w:t xml:space="preserve"> The expression “</w:t>
      </w:r>
      <w:r w:rsidRPr="00D65DF5">
        <w:rPr>
          <w:sz w:val="22"/>
          <w:szCs w:val="22"/>
        </w:rPr>
        <w:t>in those days</w:t>
      </w:r>
      <w:r>
        <w:rPr>
          <w:sz w:val="22"/>
          <w:szCs w:val="22"/>
        </w:rPr>
        <w:t>”</w:t>
      </w:r>
      <w:r w:rsidRPr="009F7923">
        <w:rPr>
          <w:sz w:val="22"/>
          <w:szCs w:val="22"/>
        </w:rPr>
        <w:t xml:space="preserve"> refers to an unspecified </w:t>
      </w:r>
      <w:r>
        <w:rPr>
          <w:sz w:val="22"/>
          <w:szCs w:val="22"/>
        </w:rPr>
        <w:t xml:space="preserve">point and </w:t>
      </w:r>
      <w:r w:rsidRPr="009F7923">
        <w:rPr>
          <w:sz w:val="22"/>
          <w:szCs w:val="22"/>
        </w:rPr>
        <w:t>length of time when a certain event or chain of events was happening</w:t>
      </w:r>
      <w:r>
        <w:rPr>
          <w:sz w:val="22"/>
          <w:szCs w:val="22"/>
        </w:rPr>
        <w:t>,</w:t>
      </w:r>
      <w:r w:rsidRPr="009F7923">
        <w:rPr>
          <w:sz w:val="22"/>
          <w:szCs w:val="22"/>
        </w:rPr>
        <w:t xml:space="preserve"> and although it can denote an extended period </w:t>
      </w:r>
      <w:r w:rsidRPr="009F7923">
        <w:rPr>
          <w:sz w:val="22"/>
          <w:szCs w:val="22"/>
          <w:lang w:val="en-AU"/>
        </w:rPr>
        <w:t>(cf. Jud</w:t>
      </w:r>
      <w:r>
        <w:rPr>
          <w:sz w:val="22"/>
          <w:szCs w:val="22"/>
          <w:lang w:val="en-AU"/>
        </w:rPr>
        <w:t>g 18:1; Gen 6:4;</w:t>
      </w:r>
      <w:r w:rsidRPr="009F7923">
        <w:rPr>
          <w:sz w:val="22"/>
          <w:szCs w:val="22"/>
          <w:lang w:val="en-AU"/>
        </w:rPr>
        <w:t xml:space="preserve"> </w:t>
      </w:r>
      <w:r>
        <w:rPr>
          <w:sz w:val="22"/>
          <w:szCs w:val="22"/>
          <w:lang w:val="en-AU"/>
        </w:rPr>
        <w:t xml:space="preserve">Exod </w:t>
      </w:r>
      <w:r w:rsidRPr="009F7923">
        <w:rPr>
          <w:sz w:val="22"/>
          <w:szCs w:val="22"/>
          <w:lang w:val="en-AU"/>
        </w:rPr>
        <w:t>2:11)</w:t>
      </w:r>
      <w:r>
        <w:rPr>
          <w:sz w:val="22"/>
          <w:szCs w:val="22"/>
          <w:lang w:val="en-AU"/>
        </w:rPr>
        <w:t>,</w:t>
      </w:r>
      <w:r w:rsidRPr="009F7923">
        <w:rPr>
          <w:sz w:val="22"/>
          <w:szCs w:val="22"/>
          <w:lang w:val="en-AU"/>
        </w:rPr>
        <w:t xml:space="preserve"> it is qualified by the statement in Isa</w:t>
      </w:r>
      <w:r>
        <w:rPr>
          <w:sz w:val="22"/>
          <w:szCs w:val="22"/>
          <w:lang w:val="en-AU"/>
        </w:rPr>
        <w:t xml:space="preserve"> </w:t>
      </w:r>
      <w:r w:rsidRPr="009F7923">
        <w:rPr>
          <w:sz w:val="22"/>
          <w:szCs w:val="22"/>
          <w:lang w:val="en-AU"/>
        </w:rPr>
        <w:t>38:6 indicating that the illness and the Assyrian crisis are parallel events.</w:t>
      </w:r>
    </w:p>
  </w:footnote>
  <w:footnote w:id="62">
    <w:p w:rsidR="00E35D87" w:rsidRPr="009F7923" w:rsidRDefault="00E35D87" w:rsidP="001A52B5">
      <w:pPr>
        <w:pStyle w:val="FootnoteText"/>
      </w:pPr>
      <w:r w:rsidRPr="009F7923">
        <w:rPr>
          <w:rStyle w:val="FootnoteReference"/>
        </w:rPr>
        <w:footnoteRef/>
      </w:r>
      <w:r w:rsidRPr="009F7923">
        <w:t xml:space="preserve"> Isaiah 22:15-19 condemns the behaviour of Shebna</w:t>
      </w:r>
      <w:r>
        <w:t>;</w:t>
      </w:r>
      <w:r w:rsidRPr="009F7923">
        <w:t xml:space="preserve"> note the mention of Hezekiah’s fortifications vv.9-11 and the attitude of some of the </w:t>
      </w:r>
      <w:r>
        <w:t>people (drunken celebration v. 2</w:t>
      </w:r>
      <w:r w:rsidRPr="009F7923">
        <w:t>,</w:t>
      </w:r>
      <w:r>
        <w:t xml:space="preserve"> </w:t>
      </w:r>
      <w:r w:rsidRPr="009F7923">
        <w:t>v.</w:t>
      </w:r>
      <w:r>
        <w:t xml:space="preserve"> </w:t>
      </w:r>
      <w:r w:rsidRPr="009F7923">
        <w:t>13)</w:t>
      </w:r>
      <w:r>
        <w:t>.</w:t>
      </w:r>
    </w:p>
  </w:footnote>
  <w:footnote w:id="63">
    <w:p w:rsidR="00E35D87" w:rsidRPr="009F7923" w:rsidRDefault="00E35D87" w:rsidP="001A52B5">
      <w:pPr>
        <w:pStyle w:val="FootnoteText"/>
      </w:pPr>
      <w:r w:rsidRPr="009F7923">
        <w:rPr>
          <w:rStyle w:val="FootnoteReference"/>
        </w:rPr>
        <w:footnoteRef/>
      </w:r>
      <w:r w:rsidRPr="009F7923">
        <w:t xml:space="preserve"> This is only obliquely referred to in 2 Kgs</w:t>
      </w:r>
      <w:r>
        <w:t xml:space="preserve"> </w:t>
      </w:r>
      <w:r w:rsidRPr="009F7923">
        <w:t>18:8 the details are given in Sennacherib’s report of the rebellion</w:t>
      </w:r>
      <w:r>
        <w:t>.</w:t>
      </w:r>
    </w:p>
  </w:footnote>
  <w:footnote w:id="64">
    <w:p w:rsidR="00E35D87" w:rsidRPr="009F7923" w:rsidRDefault="00E35D87" w:rsidP="001A52B5">
      <w:pPr>
        <w:pStyle w:val="FootnoteText"/>
      </w:pPr>
      <w:r w:rsidRPr="009F7923">
        <w:rPr>
          <w:rStyle w:val="FootnoteReference"/>
        </w:rPr>
        <w:footnoteRef/>
      </w:r>
      <w:r w:rsidRPr="009F7923">
        <w:t xml:space="preserve"> Rab-shakeh’s propaganda makes use of the Isaiah prophecy and demonstrates awareness of Hezekiah’s policy of cult centralization. This indicates organized intelligence gathering.</w:t>
      </w:r>
    </w:p>
  </w:footnote>
  <w:footnote w:id="65">
    <w:p w:rsidR="00E35D87" w:rsidRPr="00243E4A" w:rsidRDefault="00E35D87" w:rsidP="00243E4A">
      <w:pPr>
        <w:rPr>
          <w:sz w:val="22"/>
          <w:szCs w:val="22"/>
          <w:lang w:val="en-AU"/>
        </w:rPr>
      </w:pPr>
      <w:r w:rsidRPr="009F7923">
        <w:rPr>
          <w:rStyle w:val="FootnoteReference"/>
          <w:sz w:val="22"/>
        </w:rPr>
        <w:footnoteRef/>
      </w:r>
      <w:r w:rsidRPr="009F7923">
        <w:rPr>
          <w:sz w:val="22"/>
          <w:szCs w:val="22"/>
        </w:rPr>
        <w:t xml:space="preserve"> </w:t>
      </w:r>
      <w:r w:rsidRPr="009F7923">
        <w:rPr>
          <w:sz w:val="22"/>
          <w:szCs w:val="22"/>
          <w:lang w:val="en-AU"/>
        </w:rPr>
        <w:t xml:space="preserve">This month </w:t>
      </w:r>
      <w:r w:rsidRPr="009F7923">
        <w:rPr>
          <w:i/>
          <w:iCs/>
          <w:sz w:val="22"/>
          <w:szCs w:val="22"/>
          <w:lang w:val="en-AU"/>
        </w:rPr>
        <w:t xml:space="preserve">shall be </w:t>
      </w:r>
      <w:r w:rsidRPr="009F7923">
        <w:rPr>
          <w:sz w:val="22"/>
          <w:szCs w:val="22"/>
          <w:lang w:val="en-AU"/>
        </w:rPr>
        <w:t xml:space="preserve">your beginning of months; it </w:t>
      </w:r>
      <w:r w:rsidRPr="009F7923">
        <w:rPr>
          <w:i/>
          <w:iCs/>
          <w:sz w:val="22"/>
          <w:szCs w:val="22"/>
          <w:lang w:val="en-AU"/>
        </w:rPr>
        <w:t xml:space="preserve">shall be </w:t>
      </w:r>
      <w:r w:rsidRPr="009F7923">
        <w:rPr>
          <w:sz w:val="22"/>
          <w:szCs w:val="22"/>
          <w:lang w:val="en-AU"/>
        </w:rPr>
        <w:t>the first month of the year to you. (Ex</w:t>
      </w:r>
      <w:r>
        <w:rPr>
          <w:sz w:val="22"/>
          <w:szCs w:val="22"/>
          <w:lang w:val="en-AU"/>
        </w:rPr>
        <w:t xml:space="preserve">od </w:t>
      </w:r>
      <w:r w:rsidRPr="009F7923">
        <w:rPr>
          <w:sz w:val="22"/>
          <w:szCs w:val="22"/>
          <w:lang w:val="en-AU"/>
        </w:rPr>
        <w:t>12:2)</w:t>
      </w:r>
    </w:p>
  </w:footnote>
  <w:footnote w:id="66">
    <w:p w:rsidR="00E35D87" w:rsidRPr="00736E9A" w:rsidRDefault="00E35D87" w:rsidP="001A52B5">
      <w:pPr>
        <w:pStyle w:val="FootnoteText"/>
      </w:pPr>
      <w:r w:rsidRPr="00243E4A">
        <w:rPr>
          <w:rStyle w:val="FootnoteReference"/>
        </w:rPr>
        <w:footnoteRef/>
      </w:r>
      <w:r w:rsidRPr="00243E4A">
        <w:t xml:space="preserve"> For the linked themes of Jubilee/trumpets/Atonement see Isaiah 58:1-5</w:t>
      </w:r>
      <w:r>
        <w:t>.</w:t>
      </w:r>
    </w:p>
  </w:footnote>
  <w:footnote w:id="67">
    <w:p w:rsidR="00E35D87" w:rsidRPr="00755321" w:rsidRDefault="00E35D87" w:rsidP="001A52B5">
      <w:pPr>
        <w:pStyle w:val="FootnoteText"/>
        <w:rPr>
          <w:lang w:val="en-AU"/>
        </w:rPr>
      </w:pPr>
      <w:r>
        <w:rPr>
          <w:rStyle w:val="FootnoteReference"/>
        </w:rPr>
        <w:footnoteRef/>
      </w:r>
      <w:r>
        <w:t xml:space="preserve"> </w:t>
      </w:r>
      <w:r w:rsidRPr="00755321">
        <w:t>Isa 52:11-12 is based on the Exodus from Egypt (pillar of cloud and fire protecting and leading them i.e. the captives from Egypt/Assyria) Isa 63:15 is again in the context of the Exodus (v.</w:t>
      </w:r>
      <w:r>
        <w:t xml:space="preserve"> </w:t>
      </w:r>
      <w:r w:rsidRPr="00755321">
        <w:t>12</w:t>
      </w:r>
      <w:r>
        <w:t xml:space="preserve">, </w:t>
      </w:r>
      <w:r w:rsidRPr="00755321">
        <w:t>Moses</w:t>
      </w:r>
      <w:r>
        <w:t xml:space="preserve"> </w:t>
      </w:r>
      <w:r w:rsidRPr="00755321">
        <w:t xml:space="preserve">dividing the water </w:t>
      </w:r>
      <w:r>
        <w:t>(</w:t>
      </w:r>
      <w:r w:rsidRPr="00755321">
        <w:t>v.</w:t>
      </w:r>
      <w:r>
        <w:t xml:space="preserve"> </w:t>
      </w:r>
      <w:r w:rsidRPr="00755321">
        <w:t>13</w:t>
      </w:r>
      <w:r>
        <w:t xml:space="preserve">) </w:t>
      </w:r>
      <w:r w:rsidRPr="00755321">
        <w:t>and</w:t>
      </w:r>
      <w:r>
        <w:t xml:space="preserve"> then </w:t>
      </w:r>
      <w:r w:rsidRPr="00755321">
        <w:t>le</w:t>
      </w:r>
      <w:r>
        <w:t>a</w:t>
      </w:r>
      <w:r w:rsidRPr="00755321">
        <w:t>d</w:t>
      </w:r>
      <w:r>
        <w:t>ing</w:t>
      </w:r>
      <w:r w:rsidRPr="00755321">
        <w:t xml:space="preserve"> through the wilderness)</w:t>
      </w:r>
      <w:r>
        <w:t>.</w:t>
      </w:r>
    </w:p>
  </w:footnote>
  <w:footnote w:id="68">
    <w:p w:rsidR="00E35D87" w:rsidRPr="006E1C50" w:rsidRDefault="00E35D87" w:rsidP="001A52B5">
      <w:pPr>
        <w:pStyle w:val="FootnoteText"/>
      </w:pPr>
      <w:r w:rsidRPr="009F7923">
        <w:rPr>
          <w:rStyle w:val="FootnoteReference"/>
        </w:rPr>
        <w:footnoteRef/>
      </w:r>
      <w:r w:rsidRPr="009F7923">
        <w:t xml:space="preserve"> S. Smith, </w:t>
      </w:r>
      <w:r w:rsidRPr="00BC1FB6">
        <w:rPr>
          <w:i/>
        </w:rPr>
        <w:t>The First Campaign of Sennacherib</w:t>
      </w:r>
      <w:r w:rsidRPr="009F7923">
        <w:t xml:space="preserve"> (London</w:t>
      </w:r>
      <w:r>
        <w:t>: Luzac &amp; Co.</w:t>
      </w:r>
      <w:r w:rsidRPr="009F7923">
        <w:t>,</w:t>
      </w:r>
      <w:r>
        <w:t xml:space="preserve"> </w:t>
      </w:r>
      <w:r w:rsidRPr="009F7923">
        <w:t>1921)</w:t>
      </w:r>
      <w:r>
        <w:t>.</w:t>
      </w:r>
    </w:p>
  </w:footnote>
  <w:footnote w:id="69">
    <w:p w:rsidR="00E35D87" w:rsidRPr="009D7506" w:rsidRDefault="00E35D87" w:rsidP="001A52B5">
      <w:pPr>
        <w:pStyle w:val="FootnoteText"/>
        <w:rPr>
          <w:lang w:val="en-AU"/>
        </w:rPr>
      </w:pPr>
      <w:r w:rsidRPr="009D7506">
        <w:rPr>
          <w:rStyle w:val="FootnoteReference"/>
        </w:rPr>
        <w:footnoteRef/>
      </w:r>
      <w:r w:rsidRPr="009D7506">
        <w:t xml:space="preserve"> L. D. Levine, “Sennacherib’s Southern Front 704-689 B.C.” </w:t>
      </w:r>
      <w:r w:rsidRPr="009D7506">
        <w:rPr>
          <w:i/>
        </w:rPr>
        <w:t>JCS</w:t>
      </w:r>
      <w:r w:rsidRPr="009D7506">
        <w:t xml:space="preserve"> 34 1/2 (1982): 28-58 (32-34).</w:t>
      </w:r>
    </w:p>
  </w:footnote>
  <w:footnote w:id="70">
    <w:p w:rsidR="00E35D87" w:rsidRPr="009F7923" w:rsidRDefault="00E35D87" w:rsidP="001A52B5">
      <w:pPr>
        <w:pStyle w:val="FootnoteText"/>
        <w:rPr>
          <w:lang w:val="en-AU"/>
        </w:rPr>
      </w:pPr>
      <w:r w:rsidRPr="009F7923">
        <w:rPr>
          <w:rStyle w:val="FootnoteReference"/>
        </w:rPr>
        <w:footnoteRef/>
      </w:r>
      <w:r w:rsidRPr="009F7923">
        <w:t xml:space="preserve"> Levine, </w:t>
      </w:r>
      <w:r w:rsidRPr="009D7506">
        <w:t>“Sennacherib’s Southern Front 704-689 B.C.”</w:t>
      </w:r>
      <w:r>
        <w:t xml:space="preserve">, </w:t>
      </w:r>
      <w:r w:rsidRPr="009F7923">
        <w:t xml:space="preserve">45-46. See also, D.D. Luckenbill, </w:t>
      </w:r>
      <w:r w:rsidRPr="0035097B">
        <w:rPr>
          <w:i/>
        </w:rPr>
        <w:t>Ancient Records of Assyria and Babylon</w:t>
      </w:r>
      <w:r w:rsidRPr="009F7923">
        <w:t xml:space="preserve"> (2 Vols</w:t>
      </w:r>
      <w:r>
        <w:t>;</w:t>
      </w:r>
      <w:r w:rsidRPr="009F7923">
        <w:t xml:space="preserve"> </w:t>
      </w:r>
      <w:r>
        <w:t xml:space="preserve">Chicago: </w:t>
      </w:r>
      <w:r w:rsidRPr="009F7923">
        <w:t>University of Chicago</w:t>
      </w:r>
      <w:r>
        <w:t xml:space="preserve"> Press</w:t>
      </w:r>
      <w:r w:rsidRPr="009F7923">
        <w:t>, 1926),</w:t>
      </w:r>
      <w:r>
        <w:t xml:space="preserve"> </w:t>
      </w:r>
      <w:r w:rsidRPr="009F7923">
        <w:t>2:351</w:t>
      </w:r>
      <w:r>
        <w:t>.</w:t>
      </w:r>
    </w:p>
  </w:footnote>
  <w:footnote w:id="71">
    <w:p w:rsidR="00E35D87" w:rsidRPr="009F7923" w:rsidRDefault="00E35D87" w:rsidP="001A52B5">
      <w:pPr>
        <w:pStyle w:val="FootnoteText"/>
        <w:rPr>
          <w:lang w:val="en-AU"/>
        </w:rPr>
      </w:pPr>
      <w:r w:rsidRPr="009F7923">
        <w:rPr>
          <w:rStyle w:val="FootnoteReference"/>
        </w:rPr>
        <w:footnoteRef/>
      </w:r>
      <w:r w:rsidRPr="009F7923">
        <w:t xml:space="preserve"> It appears that during the Jewish Passover meal of the first century, Psalms 113-114 were sung before the final meal blessing and Psalms 115-118 were sung after the final blessing. These were most probably the hymns that Jesus and his disciples sang in the contex</w:t>
      </w:r>
      <w:r>
        <w:t>t of their Passover (cf. Matt</w:t>
      </w:r>
      <w:r w:rsidRPr="009F7923">
        <w:t xml:space="preserve"> 26:30; Mark 14:26).</w:t>
      </w:r>
    </w:p>
  </w:footnote>
  <w:footnote w:id="72">
    <w:p w:rsidR="00E35D87" w:rsidRPr="00A21A72" w:rsidRDefault="00E35D87" w:rsidP="00D42BC2">
      <w:pPr>
        <w:autoSpaceDE w:val="0"/>
        <w:autoSpaceDN w:val="0"/>
        <w:adjustRightInd w:val="0"/>
        <w:rPr>
          <w:sz w:val="22"/>
          <w:szCs w:val="22"/>
          <w:lang w:val="en-GB"/>
        </w:rPr>
      </w:pPr>
      <w:r w:rsidRPr="009F7923">
        <w:rPr>
          <w:rStyle w:val="FootnoteReference"/>
          <w:sz w:val="22"/>
        </w:rPr>
        <w:footnoteRef/>
      </w:r>
      <w:r w:rsidRPr="00A21A72">
        <w:rPr>
          <w:sz w:val="22"/>
          <w:szCs w:val="22"/>
          <w:lang w:val="en-GB"/>
        </w:rPr>
        <w:t xml:space="preserve"> B. S. Childs, </w:t>
      </w:r>
      <w:r w:rsidRPr="00A21A72">
        <w:rPr>
          <w:i/>
          <w:sz w:val="22"/>
          <w:szCs w:val="22"/>
          <w:lang w:val="en-GB"/>
        </w:rPr>
        <w:t>Memory and Tradition in Israel</w:t>
      </w:r>
      <w:r w:rsidRPr="00A21A72">
        <w:rPr>
          <w:sz w:val="22"/>
          <w:szCs w:val="22"/>
          <w:lang w:val="en-GB"/>
        </w:rPr>
        <w:t xml:space="preserve"> (SBT; London: SCM Press, 1962), 22.</w:t>
      </w:r>
    </w:p>
  </w:footnote>
  <w:footnote w:id="73">
    <w:p w:rsidR="00E35D87" w:rsidRPr="00D00E96" w:rsidRDefault="00E35D87" w:rsidP="00D42BC2">
      <w:pPr>
        <w:rPr>
          <w:sz w:val="22"/>
          <w:szCs w:val="22"/>
          <w:lang w:val="en-AU"/>
        </w:rPr>
      </w:pPr>
      <w:r w:rsidRPr="009F7923">
        <w:rPr>
          <w:rStyle w:val="FootnoteReference"/>
          <w:sz w:val="22"/>
        </w:rPr>
        <w:footnoteRef/>
      </w:r>
      <w:r w:rsidRPr="009F7923">
        <w:rPr>
          <w:sz w:val="22"/>
          <w:szCs w:val="22"/>
        </w:rPr>
        <w:t xml:space="preserve"> </w:t>
      </w:r>
      <w:r>
        <w:rPr>
          <w:sz w:val="22"/>
          <w:szCs w:val="22"/>
          <w:lang w:val="en-AU"/>
        </w:rPr>
        <w:t>T</w:t>
      </w:r>
      <w:r w:rsidRPr="009F7923">
        <w:rPr>
          <w:sz w:val="22"/>
          <w:szCs w:val="22"/>
          <w:lang w:val="en-AU"/>
        </w:rPr>
        <w:t>he Hebrew employs different terms for “judgement” in Isa</w:t>
      </w:r>
      <w:r>
        <w:rPr>
          <w:sz w:val="22"/>
          <w:szCs w:val="22"/>
          <w:lang w:val="en-AU"/>
        </w:rPr>
        <w:t xml:space="preserve"> 26:8 and Exod </w:t>
      </w:r>
      <w:r w:rsidRPr="009F7923">
        <w:rPr>
          <w:sz w:val="22"/>
          <w:szCs w:val="22"/>
          <w:lang w:val="en-AU"/>
        </w:rPr>
        <w:t xml:space="preserve">6:6 </w:t>
      </w:r>
      <w:r>
        <w:rPr>
          <w:sz w:val="22"/>
          <w:szCs w:val="22"/>
          <w:lang w:val="en-AU"/>
        </w:rPr>
        <w:t xml:space="preserve">and so </w:t>
      </w:r>
      <w:r w:rsidRPr="009F7923">
        <w:rPr>
          <w:sz w:val="22"/>
          <w:szCs w:val="22"/>
          <w:lang w:val="en-AU"/>
        </w:rPr>
        <w:t xml:space="preserve">the </w:t>
      </w:r>
      <w:r>
        <w:rPr>
          <w:sz w:val="22"/>
          <w:szCs w:val="22"/>
          <w:lang w:val="en-AU"/>
        </w:rPr>
        <w:t>connection is conceptual</w:t>
      </w:r>
      <w:r w:rsidRPr="009F7923">
        <w:rPr>
          <w:sz w:val="22"/>
          <w:szCs w:val="22"/>
          <w:lang w:val="en-AU"/>
        </w:rPr>
        <w:t>.</w:t>
      </w:r>
    </w:p>
  </w:footnote>
  <w:footnote w:id="74">
    <w:p w:rsidR="00E35D87" w:rsidRPr="009F7923" w:rsidRDefault="00E35D87" w:rsidP="001A52B5">
      <w:pPr>
        <w:pStyle w:val="FootnoteText"/>
      </w:pPr>
      <w:r w:rsidRPr="009F7923">
        <w:rPr>
          <w:rStyle w:val="FootnoteReference"/>
        </w:rPr>
        <w:footnoteRef/>
      </w:r>
      <w:r w:rsidRPr="009F7923">
        <w:t xml:space="preserve"> </w:t>
      </w:r>
      <w:r>
        <w:t>See the chapters,</w:t>
      </w:r>
      <w:r w:rsidRPr="009F7923">
        <w:t xml:space="preserve"> “Israel’s ancient Passover experience” and “Jerusalem delivered at Passover” in H.A. Whittaker, </w:t>
      </w:r>
      <w:r w:rsidRPr="00556B48">
        <w:rPr>
          <w:i/>
        </w:rPr>
        <w:t>Isaiah</w:t>
      </w:r>
      <w:r>
        <w:t xml:space="preserve"> </w:t>
      </w:r>
      <w:r w:rsidRPr="009F7923">
        <w:t>(</w:t>
      </w:r>
      <w:r>
        <w:t xml:space="preserve">Cannock: </w:t>
      </w:r>
      <w:r w:rsidRPr="009F7923">
        <w:t xml:space="preserve">Biblia, </w:t>
      </w:r>
      <w:r>
        <w:t>1988)</w:t>
      </w:r>
      <w:r w:rsidRPr="009F7923">
        <w:t>,</w:t>
      </w:r>
      <w:r>
        <w:t xml:space="preserve"> </w:t>
      </w:r>
      <w:r w:rsidRPr="009F7923">
        <w:t>50-53</w:t>
      </w:r>
      <w:r>
        <w:t>.</w:t>
      </w:r>
    </w:p>
  </w:footnote>
  <w:footnote w:id="75">
    <w:p w:rsidR="00E35D87" w:rsidRPr="009F7923" w:rsidRDefault="00E35D87" w:rsidP="0051058D">
      <w:pPr>
        <w:pStyle w:val="Heading1"/>
        <w:spacing w:before="0" w:after="0"/>
        <w:rPr>
          <w:b w:val="0"/>
          <w:sz w:val="22"/>
          <w:szCs w:val="22"/>
          <w:lang w:val="en-AU"/>
        </w:rPr>
      </w:pPr>
      <w:r w:rsidRPr="009F7923">
        <w:rPr>
          <w:rStyle w:val="FootnoteReference"/>
          <w:b w:val="0"/>
          <w:sz w:val="22"/>
        </w:rPr>
        <w:footnoteRef/>
      </w:r>
      <w:r w:rsidRPr="009F7923">
        <w:rPr>
          <w:b w:val="0"/>
          <w:sz w:val="22"/>
          <w:szCs w:val="22"/>
        </w:rPr>
        <w:t xml:space="preserve"> Cited in </w:t>
      </w:r>
      <w:r w:rsidRPr="009F7923">
        <w:rPr>
          <w:b w:val="0"/>
          <w:sz w:val="22"/>
          <w:szCs w:val="22"/>
          <w:lang w:val="en-AU" w:eastAsia="en-AU"/>
        </w:rPr>
        <w:t xml:space="preserve">L. Ginzberg, </w:t>
      </w:r>
      <w:r w:rsidRPr="009F7923">
        <w:rPr>
          <w:b w:val="0"/>
          <w:i/>
          <w:kern w:val="36"/>
          <w:sz w:val="22"/>
          <w:szCs w:val="22"/>
          <w:lang w:val="en-AU" w:eastAsia="en-AU"/>
        </w:rPr>
        <w:t>The Legends of the Jews: From Moses to Esther: Notes for Volumes 3 and 4</w:t>
      </w:r>
      <w:r>
        <w:rPr>
          <w:b w:val="0"/>
          <w:sz w:val="22"/>
          <w:szCs w:val="22"/>
          <w:lang w:val="en-AU" w:eastAsia="en-AU"/>
        </w:rPr>
        <w:t xml:space="preserve"> (eds., H.</w:t>
      </w:r>
      <w:r w:rsidRPr="009F7923">
        <w:rPr>
          <w:b w:val="0"/>
          <w:sz w:val="22"/>
          <w:szCs w:val="22"/>
          <w:lang w:val="en-AU" w:eastAsia="en-AU"/>
        </w:rPr>
        <w:t xml:space="preserve"> Szold, P</w:t>
      </w:r>
      <w:r>
        <w:rPr>
          <w:b w:val="0"/>
          <w:sz w:val="22"/>
          <w:szCs w:val="22"/>
          <w:lang w:val="en-AU" w:eastAsia="en-AU"/>
        </w:rPr>
        <w:t>.</w:t>
      </w:r>
      <w:r w:rsidRPr="009F7923">
        <w:rPr>
          <w:b w:val="0"/>
          <w:sz w:val="22"/>
          <w:szCs w:val="22"/>
          <w:lang w:val="en-AU" w:eastAsia="en-AU"/>
        </w:rPr>
        <w:t xml:space="preserve"> Radin; Baltimore: John Hopkins </w:t>
      </w:r>
      <w:r w:rsidRPr="009F7923">
        <w:rPr>
          <w:b w:val="0"/>
          <w:sz w:val="22"/>
          <w:szCs w:val="22"/>
        </w:rPr>
        <w:t>University Press</w:t>
      </w:r>
      <w:r w:rsidRPr="009F7923">
        <w:rPr>
          <w:b w:val="0"/>
          <w:sz w:val="22"/>
          <w:szCs w:val="22"/>
          <w:lang w:val="en-AU" w:eastAsia="en-AU"/>
        </w:rPr>
        <w:t>, 1998), 363.</w:t>
      </w:r>
    </w:p>
  </w:footnote>
  <w:footnote w:id="76">
    <w:p w:rsidR="00E35D87" w:rsidRPr="00E87803" w:rsidRDefault="00E35D87" w:rsidP="001A52B5">
      <w:pPr>
        <w:pStyle w:val="FootnoteText"/>
      </w:pPr>
      <w:r w:rsidRPr="00E87803">
        <w:rPr>
          <w:rStyle w:val="FootnoteReference"/>
        </w:rPr>
        <w:footnoteRef/>
      </w:r>
      <w:r w:rsidRPr="00E87803">
        <w:t xml:space="preserve"> L. D. Levine, </w:t>
      </w:r>
      <w:r>
        <w:t>“</w:t>
      </w:r>
      <w:r w:rsidRPr="00E87803">
        <w:t>Sennacherib</w:t>
      </w:r>
      <w:r>
        <w:t>’</w:t>
      </w:r>
      <w:r w:rsidRPr="00E87803">
        <w:t>s Southern Front 704-689 B.C.</w:t>
      </w:r>
      <w:r>
        <w:t>”</w:t>
      </w:r>
      <w:r w:rsidRPr="00E87803">
        <w:t xml:space="preserve"> </w:t>
      </w:r>
      <w:r w:rsidRPr="00E87803">
        <w:rPr>
          <w:i/>
        </w:rPr>
        <w:t>JCS</w:t>
      </w:r>
      <w:r w:rsidRPr="00E87803">
        <w:t xml:space="preserve"> 34 1/2 (1982): 28-58 (30). Levine places no evidential significance on the phrase but this is bizarre, even though he dates the start of the first campaign to 704.</w:t>
      </w:r>
    </w:p>
  </w:footnote>
  <w:footnote w:id="77">
    <w:p w:rsidR="00E35D87" w:rsidRPr="00E87803" w:rsidRDefault="00E35D87" w:rsidP="001A52B5">
      <w:pPr>
        <w:pStyle w:val="FootnoteText"/>
      </w:pPr>
      <w:r w:rsidRPr="00E87803">
        <w:rPr>
          <w:rStyle w:val="FootnoteReference"/>
        </w:rPr>
        <w:footnoteRef/>
      </w:r>
      <w:r w:rsidRPr="00E87803">
        <w:t xml:space="preserve"> </w:t>
      </w:r>
      <w:r w:rsidRPr="00E87803">
        <w:rPr>
          <w:i/>
        </w:rPr>
        <w:t>Annals of Sennacherib</w:t>
      </w:r>
      <w:r w:rsidRPr="00E87803">
        <w:t>, (ed. D. D. Luckenbill; repr. Wipf &amp; Stock; Eugene, Oregon: 2005), 60.</w:t>
      </w:r>
    </w:p>
  </w:footnote>
  <w:footnote w:id="78">
    <w:p w:rsidR="00E35D87" w:rsidRPr="00E87803" w:rsidRDefault="00E35D87" w:rsidP="001A52B5">
      <w:pPr>
        <w:pStyle w:val="FootnoteText"/>
      </w:pPr>
      <w:r w:rsidRPr="00E87803">
        <w:rPr>
          <w:rStyle w:val="FootnoteReference"/>
        </w:rPr>
        <w:footnoteRef/>
      </w:r>
      <w:r w:rsidRPr="00E87803">
        <w:t xml:space="preserve"> H. W. F. Saggs, </w:t>
      </w:r>
      <w:r w:rsidRPr="00E87803">
        <w:rPr>
          <w:i/>
        </w:rPr>
        <w:t>The Might That Was Assyria</w:t>
      </w:r>
      <w:r w:rsidRPr="00E87803">
        <w:t xml:space="preserve"> (London: Sidgwick and Jackson, 1984), 243-268. See also W. Mayer, </w:t>
      </w:r>
      <w:r>
        <w:t>“</w:t>
      </w:r>
      <w:r w:rsidRPr="00E87803">
        <w:t>Sennacherib</w:t>
      </w:r>
      <w:r>
        <w:t>’</w:t>
      </w:r>
      <w:r w:rsidRPr="00E87803">
        <w:t>s Campaign of 701 B.C.E: The Assyrian View</w:t>
      </w:r>
      <w:r>
        <w:t>”</w:t>
      </w:r>
      <w:r w:rsidRPr="00E87803">
        <w:t xml:space="preserve"> in </w:t>
      </w:r>
      <w:r w:rsidRPr="00E87803">
        <w:rPr>
          <w:i/>
        </w:rPr>
        <w:t>Like a Bird in a Cage: The Invasion of Sennacherib in 701 B.C.E.</w:t>
      </w:r>
      <w:r w:rsidRPr="00E87803">
        <w:t xml:space="preserve"> (ed. L. L. Grabbe; JSOTSup 363; Sheffield: Sheffield Academic Press, 2003), 168-200 (175); Mayer notes the contemporary record which details Sennacherib raising troops from local vassal states.</w:t>
      </w:r>
    </w:p>
  </w:footnote>
  <w:footnote w:id="79">
    <w:p w:rsidR="00E35D87" w:rsidRPr="00E87803" w:rsidRDefault="00E35D87" w:rsidP="001A52B5">
      <w:pPr>
        <w:pStyle w:val="FootnoteText"/>
      </w:pPr>
      <w:r w:rsidRPr="00E87803">
        <w:rPr>
          <w:rStyle w:val="FootnoteReference"/>
        </w:rPr>
        <w:footnoteRef/>
      </w:r>
      <w:r w:rsidRPr="00E87803">
        <w:t xml:space="preserve"> Mayer, </w:t>
      </w:r>
      <w:r>
        <w:t>“</w:t>
      </w:r>
      <w:r w:rsidRPr="00E87803">
        <w:t>Sennacherib</w:t>
      </w:r>
      <w:r>
        <w:t>’</w:t>
      </w:r>
      <w:r w:rsidRPr="00E87803">
        <w:t>s Campaign of 701 B.C.E: The Assyrian View</w:t>
      </w:r>
      <w:r>
        <w:t>”</w:t>
      </w:r>
      <w:r w:rsidRPr="00E87803">
        <w:t>, 174. Mayer shows that preparations and logistics in the north (Israel, Syria) would have been undertaken prior to the campaign. Hezekiah would have known an invasion was coming from as early as 702; it was no surprise.</w:t>
      </w:r>
    </w:p>
  </w:footnote>
  <w:footnote w:id="80">
    <w:p w:rsidR="00E35D87" w:rsidRPr="008C09BE" w:rsidRDefault="00E35D87" w:rsidP="001A52B5">
      <w:pPr>
        <w:pStyle w:val="FootnoteText"/>
      </w:pPr>
      <w:r w:rsidRPr="008C09BE">
        <w:rPr>
          <w:rStyle w:val="FootnoteReference"/>
        </w:rPr>
        <w:footnoteRef/>
      </w:r>
      <w:r w:rsidRPr="008C09BE">
        <w:rPr>
          <w:rStyle w:val="FootnoteReference"/>
        </w:rPr>
        <w:footnoteRef/>
      </w:r>
      <w:r w:rsidRPr="008C09BE">
        <w:t xml:space="preserve"> See O. Borowski, “Agriculture” </w:t>
      </w:r>
      <w:r w:rsidRPr="008C09BE">
        <w:rPr>
          <w:i/>
        </w:rPr>
        <w:t>ABD</w:t>
      </w:r>
      <w:r w:rsidRPr="008C09BE">
        <w:t xml:space="preserve"> 1:95-98; F. S. Frick, “Rain” </w:t>
      </w:r>
      <w:r w:rsidRPr="008C09BE">
        <w:rPr>
          <w:i/>
        </w:rPr>
        <w:t>ABD</w:t>
      </w:r>
      <w:r w:rsidRPr="008C09BE">
        <w:t xml:space="preserve"> 5:612; “Palestine, Climate of” </w:t>
      </w:r>
      <w:r w:rsidRPr="008C09BE">
        <w:rPr>
          <w:i/>
        </w:rPr>
        <w:t>ABD</w:t>
      </w:r>
      <w:r w:rsidRPr="008C09BE">
        <w:t xml:space="preserve"> 5:119-126; and C. J. H. Wright, “Sabbatical Year” </w:t>
      </w:r>
      <w:r w:rsidRPr="008C09BE">
        <w:rPr>
          <w:i/>
        </w:rPr>
        <w:t>ABD</w:t>
      </w:r>
      <w:r w:rsidRPr="008C09BE">
        <w:t xml:space="preserve"> 5:857-861.</w:t>
      </w:r>
    </w:p>
  </w:footnote>
  <w:footnote w:id="81">
    <w:p w:rsidR="00E35D87" w:rsidRPr="008C09BE" w:rsidRDefault="00E35D87" w:rsidP="001A52B5">
      <w:pPr>
        <w:pStyle w:val="FootnoteText"/>
      </w:pPr>
      <w:r w:rsidRPr="008C09BE">
        <w:rPr>
          <w:rStyle w:val="FootnoteReference"/>
        </w:rPr>
        <w:footnoteRef/>
      </w:r>
      <w:r w:rsidRPr="008C09BE">
        <w:t xml:space="preserve"> The only other use is Job 14:19 which may be an allusion to the Sabbatical/Jubilee aftergrowth.</w:t>
      </w:r>
    </w:p>
  </w:footnote>
  <w:footnote w:id="82">
    <w:p w:rsidR="00E35D87" w:rsidRPr="00E87803" w:rsidRDefault="00E35D87" w:rsidP="001A52B5">
      <w:pPr>
        <w:pStyle w:val="FootnoteText"/>
      </w:pPr>
      <w:r w:rsidRPr="00E87803">
        <w:rPr>
          <w:rStyle w:val="FootnoteReference"/>
        </w:rPr>
        <w:footnoteRef/>
      </w:r>
      <w:r w:rsidRPr="00E87803">
        <w:t xml:space="preserve"> Ironically, Assyriologists do not use this evidence.</w:t>
      </w:r>
    </w:p>
  </w:footnote>
  <w:footnote w:id="83">
    <w:p w:rsidR="00E35D87" w:rsidRPr="00E87803" w:rsidRDefault="00E35D87" w:rsidP="001A52B5">
      <w:pPr>
        <w:pStyle w:val="FootnoteText"/>
      </w:pPr>
      <w:r w:rsidRPr="00E87803">
        <w:rPr>
          <w:rStyle w:val="FootnoteReference"/>
        </w:rPr>
        <w:footnoteRef/>
      </w:r>
      <w:r w:rsidRPr="00E87803">
        <w:t xml:space="preserve"> E. R. Thiele, </w:t>
      </w:r>
      <w:r w:rsidRPr="00E87803">
        <w:rPr>
          <w:i/>
        </w:rPr>
        <w:t>The Mysterious Numbers of the Hebrew Kings</w:t>
      </w:r>
      <w:r w:rsidRPr="00E87803">
        <w:t xml:space="preserve"> (Grand Rapids: Kregel, 1983). Thiele published his work in 1951 and older commentaries may not date Sennacherib</w:t>
      </w:r>
      <w:r>
        <w:t>’</w:t>
      </w:r>
      <w:r w:rsidRPr="00E87803">
        <w:t>s invasion to 701. This has been the standard date since Thiele and the fixing of Assyrian chronology.</w:t>
      </w:r>
    </w:p>
  </w:footnote>
  <w:footnote w:id="84">
    <w:p w:rsidR="00E35D87" w:rsidRPr="00E87803" w:rsidRDefault="00E35D87" w:rsidP="001A52B5">
      <w:pPr>
        <w:pStyle w:val="FootnoteText"/>
      </w:pPr>
      <w:r w:rsidRPr="00E87803">
        <w:rPr>
          <w:rStyle w:val="FootnoteReference"/>
        </w:rPr>
        <w:footnoteRef/>
      </w:r>
      <w:r w:rsidRPr="00E87803">
        <w:t xml:space="preserve"> Thiele, </w:t>
      </w:r>
      <w:r w:rsidRPr="00B8617A">
        <w:rPr>
          <w:i/>
        </w:rPr>
        <w:t>The Mysterious Numbers of the Hebrew Kings</w:t>
      </w:r>
      <w:r w:rsidRPr="00E87803">
        <w:t>, chap. 2.</w:t>
      </w:r>
    </w:p>
  </w:footnote>
  <w:footnote w:id="85">
    <w:p w:rsidR="00E35D87" w:rsidRPr="00E87803" w:rsidRDefault="00E35D87" w:rsidP="001A52B5">
      <w:pPr>
        <w:pStyle w:val="FootnoteText"/>
      </w:pPr>
      <w:r w:rsidRPr="00E87803">
        <w:rPr>
          <w:rStyle w:val="FootnoteReference"/>
        </w:rPr>
        <w:footnoteRef/>
      </w:r>
      <w:r w:rsidRPr="00E87803">
        <w:t xml:space="preserve"> </w:t>
      </w:r>
      <w:r w:rsidRPr="00E87803">
        <w:rPr>
          <w:i/>
        </w:rPr>
        <w:t>Contra</w:t>
      </w:r>
      <w:r w:rsidRPr="00E87803">
        <w:t xml:space="preserve">, H. A. Whittaker, </w:t>
      </w:r>
      <w:r w:rsidRPr="00E87803">
        <w:rPr>
          <w:i/>
        </w:rPr>
        <w:t>Isaiah</w:t>
      </w:r>
      <w:r w:rsidRPr="00E87803">
        <w:t xml:space="preserve"> (Cannock: Biblia, 1988), chap 24.</w:t>
      </w:r>
    </w:p>
  </w:footnote>
  <w:footnote w:id="86">
    <w:p w:rsidR="00E35D87" w:rsidRPr="00E87803" w:rsidRDefault="00E35D87" w:rsidP="001A52B5">
      <w:pPr>
        <w:pStyle w:val="FootnoteText"/>
      </w:pPr>
      <w:r w:rsidRPr="00E87803">
        <w:rPr>
          <w:rStyle w:val="FootnoteReference"/>
        </w:rPr>
        <w:footnoteRef/>
      </w:r>
      <w:r w:rsidRPr="00E87803">
        <w:t xml:space="preserve"> Whittaker, </w:t>
      </w:r>
      <w:r w:rsidRPr="00E87803">
        <w:rPr>
          <w:i/>
        </w:rPr>
        <w:t>Isaiah</w:t>
      </w:r>
      <w:r w:rsidRPr="00E87803">
        <w:t>, 52. The deliverance of Passover Night was the work of the Angel of the Lord rather than Moses. Moses led the people the next day.</w:t>
      </w:r>
    </w:p>
  </w:footnote>
  <w:footnote w:id="87">
    <w:p w:rsidR="00E35D87" w:rsidRPr="00A674F7" w:rsidRDefault="00E35D87" w:rsidP="00A674F7">
      <w:pPr>
        <w:rPr>
          <w:sz w:val="22"/>
        </w:rPr>
      </w:pPr>
      <w:r w:rsidRPr="00A674F7">
        <w:rPr>
          <w:rStyle w:val="FootnoteReference"/>
          <w:sz w:val="22"/>
        </w:rPr>
        <w:footnoteRef/>
      </w:r>
      <w:r w:rsidRPr="00A674F7">
        <w:rPr>
          <w:sz w:val="22"/>
        </w:rPr>
        <w:t xml:space="preserve"> [Ed. PW] The comparative particle does not express the similarity between this night and the Passover night. The preposition expresses the similarity between the singing of Passover song and the “new song” that Judah would henceforth sing (</w:t>
      </w:r>
      <w:r w:rsidRPr="00A674F7">
        <w:rPr>
          <w:bCs/>
          <w:sz w:val="22"/>
        </w:rPr>
        <w:t>You shall have a song</w:t>
      </w:r>
      <w:r w:rsidRPr="00A674F7">
        <w:rPr>
          <w:sz w:val="22"/>
        </w:rPr>
        <w:t xml:space="preserve">). </w:t>
      </w:r>
    </w:p>
    <w:p w:rsidR="00E35D87" w:rsidRDefault="00E35D87" w:rsidP="001A52B5">
      <w:pPr>
        <w:pStyle w:val="FootnoteText"/>
      </w:pPr>
    </w:p>
  </w:footnote>
  <w:footnote w:id="88">
    <w:p w:rsidR="00E35D87" w:rsidRPr="00923DED" w:rsidRDefault="00E35D87" w:rsidP="001A52B5">
      <w:pPr>
        <w:pStyle w:val="FootnoteText"/>
      </w:pPr>
      <w:r w:rsidRPr="00923DED">
        <w:rPr>
          <w:rStyle w:val="FootnoteReference"/>
        </w:rPr>
        <w:footnoteRef/>
      </w:r>
      <w:r w:rsidRPr="00923DED">
        <w:t xml:space="preserve"> H. A. Whittaker, </w:t>
      </w:r>
      <w:r w:rsidRPr="00923DED">
        <w:rPr>
          <w:i/>
        </w:rPr>
        <w:t xml:space="preserve">Exploring the Bible </w:t>
      </w:r>
      <w:r w:rsidRPr="00923DED">
        <w:t>(3</w:t>
      </w:r>
      <w:r w:rsidRPr="00923DED">
        <w:rPr>
          <w:vertAlign w:val="superscript"/>
        </w:rPr>
        <w:t>rd</w:t>
      </w:r>
      <w:r w:rsidRPr="00923DED">
        <w:t xml:space="preserve"> Ed; Wigan: Biblia, 1992) 115.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6" type="#_x0000_t75" style="width:8.7pt;height:8.7pt" o:bullet="t">
        <v:imagedata r:id="rId1" o:title=""/>
      </v:shape>
    </w:pict>
  </w:numPicBullet>
  <w:numPicBullet w:numPicBulletId="1">
    <w:pict>
      <v:shape id="_x0000_i1287" type="#_x0000_t75" style="width:8.7pt;height:8.7pt" o:bullet="t">
        <v:imagedata r:id="rId2" o:title=""/>
      </v:shape>
    </w:pict>
  </w:numPicBullet>
  <w:numPicBullet w:numPicBulletId="2">
    <w:pict>
      <v:shape id="_x0000_i1288" type="#_x0000_t75" style="width:8.7pt;height:8.7pt" o:bullet="t">
        <v:imagedata r:id="rId3" o:title=""/>
      </v:shape>
    </w:pict>
  </w:numPicBullet>
  <w:numPicBullet w:numPicBulletId="3">
    <w:pict>
      <v:shape id="_x0000_i1289" type="#_x0000_t75" style="width:11.1pt;height:11.1pt" o:bullet="t">
        <v:imagedata r:id="rId4" o:title=""/>
      </v:shape>
    </w:pict>
  </w:numPicBullet>
  <w:numPicBullet w:numPicBulletId="4">
    <w:pict>
      <v:shape id="_x0000_i1290" type="#_x0000_t75" style="width:8.7pt;height:8.7pt" o:bullet="t">
        <v:imagedata r:id="rId5" o:title=""/>
      </v:shape>
    </w:pict>
  </w:numPicBullet>
  <w:numPicBullet w:numPicBulletId="5">
    <w:pict>
      <v:shape id="_x0000_i1291" type="#_x0000_t75" style="width:8.7pt;height:8.7pt" o:bullet="t">
        <v:imagedata r:id="rId6" o:title=""/>
      </v:shape>
    </w:pict>
  </w:numPicBullet>
  <w:numPicBullet w:numPicBulletId="6">
    <w:pict>
      <v:shape id="_x0000_i1292" type="#_x0000_t75" style="width:7.9pt;height:7.9pt" o:bullet="t">
        <v:imagedata r:id="rId7" o:title=""/>
      </v:shape>
    </w:pict>
  </w:numPicBullet>
  <w:numPicBullet w:numPicBulletId="7">
    <w:pict>
      <v:shape id="_x0000_i1293" type="#_x0000_t75" style="width:7.9pt;height:7.9pt" o:bullet="t">
        <v:imagedata r:id="rId8" o:title=""/>
      </v:shape>
    </w:pict>
  </w:numPicBullet>
  <w:numPicBullet w:numPicBulletId="8">
    <w:pict>
      <v:shape id="_x0000_i1294" type="#_x0000_t75" style="width:7.9pt;height:7.9pt" o:bullet="t">
        <v:imagedata r:id="rId9" o:title=""/>
      </v:shape>
    </w:pict>
  </w:numPicBullet>
  <w:numPicBullet w:numPicBulletId="9">
    <w:pict>
      <v:shape id="_x0000_i1295" type="#_x0000_t75" style="width:3.15pt;height:8.7pt" o:bullet="t">
        <v:imagedata r:id="rId10" o:title=""/>
      </v:shape>
    </w:pict>
  </w:numPicBullet>
  <w:numPicBullet w:numPicBulletId="10">
    <w:pict>
      <v:shape id="_x0000_i1296" type="#_x0000_t75" style="width:3.15pt;height:8.7pt" o:bullet="t">
        <v:imagedata r:id="rId11" o:title=""/>
      </v:shape>
    </w:pict>
  </w:numPicBullet>
  <w:numPicBullet w:numPicBulletId="11">
    <w:pict>
      <v:shape id="_x0000_i1297" type="#_x0000_t75" style="width:3.15pt;height:8.7pt" o:bullet="t">
        <v:imagedata r:id="rId12" o:title=""/>
      </v:shape>
    </w:pict>
  </w:numPicBullet>
  <w:numPicBullet w:numPicBulletId="12">
    <w:pict>
      <v:shape id="_x0000_i1298" type="#_x0000_t75" style="width:11.1pt;height:11.1pt" o:bullet="t">
        <v:imagedata r:id="rId13" o:title=""/>
      </v:shape>
    </w:pict>
  </w:numPicBullet>
  <w:numPicBullet w:numPicBulletId="13">
    <w:pict>
      <v:shape id="_x0000_i1299" type="#_x0000_t75" style="width:8.7pt;height:8.7pt" o:bullet="t">
        <v:imagedata r:id="rId14" o:title=""/>
      </v:shape>
    </w:pict>
  </w:numPicBullet>
  <w:numPicBullet w:numPicBulletId="14">
    <w:pict>
      <v:shape id="_x0000_i1300" type="#_x0000_t75" style="width:8.7pt;height:8.7pt" o:bullet="t">
        <v:imagedata r:id="rId15" o:title=""/>
      </v:shape>
    </w:pict>
  </w:numPicBullet>
  <w:numPicBullet w:numPicBulletId="15">
    <w:pict>
      <v:shape id="_x0000_i1301" type="#_x0000_t75" style="width:11.1pt;height:11.1pt" o:bullet="t">
        <v:imagedata r:id="rId16" o:title=""/>
      </v:shape>
    </w:pict>
  </w:numPicBullet>
  <w:numPicBullet w:numPicBulletId="16">
    <w:pict>
      <v:shape id="_x0000_i1302" type="#_x0000_t75" style="width:8.7pt;height:8.7pt" o:bullet="t">
        <v:imagedata r:id="rId17" o:title=""/>
      </v:shape>
    </w:pict>
  </w:numPicBullet>
  <w:numPicBullet w:numPicBulletId="17">
    <w:pict>
      <v:shape id="_x0000_i1303" type="#_x0000_t75" style="width:8.7pt;height:8.7pt" o:bullet="t">
        <v:imagedata r:id="rId18" o:title=""/>
      </v:shape>
    </w:pict>
  </w:numPicBullet>
  <w:numPicBullet w:numPicBulletId="18">
    <w:pict>
      <v:shape id="_x0000_i1304" type="#_x0000_t75" style="width:3.95pt;height:8.7pt" o:bullet="t">
        <v:imagedata r:id="rId19" o:title=""/>
      </v:shape>
    </w:pict>
  </w:numPicBullet>
  <w:numPicBullet w:numPicBulletId="19">
    <w:pict>
      <v:shape id="_x0000_i1305" type="#_x0000_t75" style="width:3.95pt;height:8.7pt" o:bullet="t">
        <v:imagedata r:id="rId20" o:title=""/>
      </v:shape>
    </w:pict>
  </w:numPicBullet>
  <w:numPicBullet w:numPicBulletId="20">
    <w:pict>
      <v:shape id="_x0000_i1306" type="#_x0000_t75" style="width:3.95pt;height:8.7pt" o:bullet="t">
        <v:imagedata r:id="rId21" o:title=""/>
      </v:shape>
    </w:pict>
  </w:numPicBullet>
  <w:numPicBullet w:numPicBulletId="21">
    <w:pict>
      <v:shape id="_x0000_i1307" type="#_x0000_t75" style="width:3.95pt;height:8.7pt" o:bullet="t">
        <v:imagedata r:id="rId22" o:title=""/>
      </v:shape>
    </w:pict>
  </w:numPicBullet>
  <w:numPicBullet w:numPicBulletId="22">
    <w:pict>
      <v:shape id="_x0000_i1308" type="#_x0000_t75" style="width:3.95pt;height:8.7pt" o:bullet="t">
        <v:imagedata r:id="rId23" o:title=""/>
      </v:shape>
    </w:pict>
  </w:numPicBullet>
  <w:numPicBullet w:numPicBulletId="23">
    <w:pict>
      <v:shape id="_x0000_i1309" type="#_x0000_t75" style="width:10.3pt;height:11.1pt" o:bullet="t">
        <v:imagedata r:id="rId24" o:title=""/>
      </v:shape>
    </w:pict>
  </w:numPicBullet>
  <w:numPicBullet w:numPicBulletId="24">
    <w:pict>
      <v:shape id="_x0000_i1310" type="#_x0000_t75" style="width:7.1pt;height:7.9pt" o:bullet="t">
        <v:imagedata r:id="rId25" o:title=""/>
      </v:shape>
    </w:pict>
  </w:numPicBullet>
  <w:numPicBullet w:numPicBulletId="25">
    <w:pict>
      <v:shape id="_x0000_i1311" type="#_x0000_t75" style="width:7.1pt;height:7.9pt" o:bullet="t">
        <v:imagedata r:id="rId26" o:title=""/>
      </v:shape>
    </w:pict>
  </w:numPicBullet>
  <w:abstractNum w:abstractNumId="0">
    <w:nsid w:val="0A087823"/>
    <w:multiLevelType w:val="hybridMultilevel"/>
    <w:tmpl w:val="67F6E9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0BFA35F7"/>
    <w:multiLevelType w:val="hybridMultilevel"/>
    <w:tmpl w:val="10028CD2"/>
    <w:lvl w:ilvl="0" w:tplc="A6DEFD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403493"/>
    <w:multiLevelType w:val="hybridMultilevel"/>
    <w:tmpl w:val="5E9A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CC4E09"/>
    <w:multiLevelType w:val="hybridMultilevel"/>
    <w:tmpl w:val="CB1CA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B2269A"/>
    <w:multiLevelType w:val="hybridMultilevel"/>
    <w:tmpl w:val="DF484720"/>
    <w:lvl w:ilvl="0" w:tplc="4288D5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7D4F"/>
    <w:multiLevelType w:val="hybridMultilevel"/>
    <w:tmpl w:val="0B86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B11813"/>
    <w:multiLevelType w:val="hybridMultilevel"/>
    <w:tmpl w:val="6AAA7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D626F5"/>
    <w:multiLevelType w:val="hybridMultilevel"/>
    <w:tmpl w:val="9DC86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EE5BA8"/>
    <w:multiLevelType w:val="hybridMultilevel"/>
    <w:tmpl w:val="EC8A2580"/>
    <w:lvl w:ilvl="0" w:tplc="AF46A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722EB9"/>
    <w:multiLevelType w:val="singleLevel"/>
    <w:tmpl w:val="5D9A5A9E"/>
    <w:lvl w:ilvl="0">
      <w:start w:val="2"/>
      <w:numFmt w:val="lowerLetter"/>
      <w:lvlText w:val="(%1)"/>
      <w:lvlJc w:val="left"/>
      <w:pPr>
        <w:tabs>
          <w:tab w:val="num" w:pos="435"/>
        </w:tabs>
        <w:ind w:left="435" w:hanging="435"/>
      </w:pPr>
      <w:rPr>
        <w:rFonts w:hint="default"/>
      </w:rPr>
    </w:lvl>
  </w:abstractNum>
  <w:abstractNum w:abstractNumId="11">
    <w:nsid w:val="2A0251C2"/>
    <w:multiLevelType w:val="hybridMultilevel"/>
    <w:tmpl w:val="6FA6C6E4"/>
    <w:lvl w:ilvl="0" w:tplc="FEBAD41A">
      <w:start w:val="1"/>
      <w:numFmt w:val="upperLetter"/>
      <w:lvlText w:val="%1."/>
      <w:lvlJc w:val="left"/>
      <w:pPr>
        <w:ind w:left="720" w:hanging="360"/>
      </w:pPr>
      <w:rPr>
        <w:rFonts w:ascii="Garamond" w:hAnsi="Garamond"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486CBA"/>
    <w:multiLevelType w:val="hybridMultilevel"/>
    <w:tmpl w:val="CCC4050C"/>
    <w:lvl w:ilvl="0" w:tplc="E946D0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493C0E"/>
    <w:multiLevelType w:val="singleLevel"/>
    <w:tmpl w:val="46FA6360"/>
    <w:lvl w:ilvl="0">
      <w:start w:val="2"/>
      <w:numFmt w:val="lowerRoman"/>
      <w:lvlText w:val="(%1)"/>
      <w:lvlJc w:val="left"/>
      <w:pPr>
        <w:tabs>
          <w:tab w:val="num" w:pos="1155"/>
        </w:tabs>
        <w:ind w:left="1155" w:hanging="720"/>
      </w:pPr>
      <w:rPr>
        <w:rFonts w:hint="default"/>
      </w:rPr>
    </w:lvl>
  </w:abstractNum>
  <w:abstractNum w:abstractNumId="14">
    <w:nsid w:val="3ACC5598"/>
    <w:multiLevelType w:val="hybridMultilevel"/>
    <w:tmpl w:val="C55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A061C7"/>
    <w:multiLevelType w:val="hybridMultilevel"/>
    <w:tmpl w:val="B6A80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CC267FC"/>
    <w:multiLevelType w:val="hybridMultilevel"/>
    <w:tmpl w:val="1A04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73710E"/>
    <w:multiLevelType w:val="hybridMultilevel"/>
    <w:tmpl w:val="3334CAC4"/>
    <w:lvl w:ilvl="0" w:tplc="0442A1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8528E3"/>
    <w:multiLevelType w:val="singleLevel"/>
    <w:tmpl w:val="46FA6360"/>
    <w:lvl w:ilvl="0">
      <w:start w:val="2"/>
      <w:numFmt w:val="lowerRoman"/>
      <w:lvlText w:val="(%1)"/>
      <w:lvlJc w:val="left"/>
      <w:pPr>
        <w:tabs>
          <w:tab w:val="num" w:pos="1155"/>
        </w:tabs>
        <w:ind w:left="1155" w:hanging="720"/>
      </w:pPr>
      <w:rPr>
        <w:rFonts w:hint="default"/>
      </w:rPr>
    </w:lvl>
  </w:abstractNum>
  <w:abstractNum w:abstractNumId="19">
    <w:nsid w:val="545D4555"/>
    <w:multiLevelType w:val="hybridMultilevel"/>
    <w:tmpl w:val="40DE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850733"/>
    <w:multiLevelType w:val="hybridMultilevel"/>
    <w:tmpl w:val="62D62F5A"/>
    <w:lvl w:ilvl="0" w:tplc="0C09000F">
      <w:start w:val="1"/>
      <w:numFmt w:val="decimal"/>
      <w:lvlText w:val="%1."/>
      <w:lvlJc w:val="left"/>
      <w:pPr>
        <w:ind w:left="786"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1">
    <w:nsid w:val="58173FBC"/>
    <w:multiLevelType w:val="hybridMultilevel"/>
    <w:tmpl w:val="A6BA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5611B5"/>
    <w:multiLevelType w:val="hybridMultilevel"/>
    <w:tmpl w:val="F036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642D72"/>
    <w:multiLevelType w:val="hybridMultilevel"/>
    <w:tmpl w:val="B1742EA2"/>
    <w:lvl w:ilvl="0" w:tplc="8716F3A6">
      <w:start w:val="1"/>
      <w:numFmt w:val="upperLetter"/>
      <w:lvlText w:val="%1."/>
      <w:lvlJc w:val="left"/>
      <w:pPr>
        <w:ind w:left="720" w:hanging="360"/>
      </w:pPr>
      <w:rPr>
        <w:rFonts w:ascii="Garamond" w:hAnsi="Garamond"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035235"/>
    <w:multiLevelType w:val="singleLevel"/>
    <w:tmpl w:val="0FE29882"/>
    <w:lvl w:ilvl="0">
      <w:start w:val="1"/>
      <w:numFmt w:val="lowerRoman"/>
      <w:lvlText w:val="(%1)"/>
      <w:lvlJc w:val="left"/>
      <w:pPr>
        <w:tabs>
          <w:tab w:val="num" w:pos="1155"/>
        </w:tabs>
        <w:ind w:left="1155" w:hanging="720"/>
      </w:pPr>
      <w:rPr>
        <w:rFonts w:hint="default"/>
      </w:rPr>
    </w:lvl>
  </w:abstractNum>
  <w:abstractNum w:abstractNumId="25">
    <w:nsid w:val="6241349E"/>
    <w:multiLevelType w:val="hybridMultilevel"/>
    <w:tmpl w:val="A4ACC6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39A49BA"/>
    <w:multiLevelType w:val="hybridMultilevel"/>
    <w:tmpl w:val="55D087C4"/>
    <w:lvl w:ilvl="0" w:tplc="7E1C7B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7613ACC"/>
    <w:multiLevelType w:val="hybridMultilevel"/>
    <w:tmpl w:val="DF86C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8DE5A90"/>
    <w:multiLevelType w:val="hybridMultilevel"/>
    <w:tmpl w:val="7A9E937A"/>
    <w:lvl w:ilvl="0" w:tplc="40243730">
      <w:start w:val="1"/>
      <w:numFmt w:val="lowerLetter"/>
      <w:lvlText w:val="(%1)"/>
      <w:lvlJc w:val="left"/>
      <w:pPr>
        <w:ind w:left="720" w:hanging="360"/>
      </w:pPr>
      <w:rPr>
        <w:rFonts w:ascii="Garamond" w:hAnsi="Garamond"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852645"/>
    <w:multiLevelType w:val="hybridMultilevel"/>
    <w:tmpl w:val="5E08E2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1D7900"/>
    <w:multiLevelType w:val="hybridMultilevel"/>
    <w:tmpl w:val="82CC4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A1140FF"/>
    <w:multiLevelType w:val="hybridMultilevel"/>
    <w:tmpl w:val="9074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10175E"/>
    <w:multiLevelType w:val="hybridMultilevel"/>
    <w:tmpl w:val="0B1A43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1"/>
  </w:num>
  <w:num w:numId="3">
    <w:abstractNumId w:val="27"/>
  </w:num>
  <w:num w:numId="4">
    <w:abstractNumId w:val="4"/>
  </w:num>
  <w:num w:numId="5">
    <w:abstractNumId w:val="30"/>
  </w:num>
  <w:num w:numId="6">
    <w:abstractNumId w:val="14"/>
  </w:num>
  <w:num w:numId="7">
    <w:abstractNumId w:val="29"/>
  </w:num>
  <w:num w:numId="8">
    <w:abstractNumId w:val="11"/>
  </w:num>
  <w:num w:numId="9">
    <w:abstractNumId w:val="23"/>
  </w:num>
  <w:num w:numId="10">
    <w:abstractNumId w:val="3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22"/>
  </w:num>
  <w:num w:numId="14">
    <w:abstractNumId w:val="25"/>
  </w:num>
  <w:num w:numId="15">
    <w:abstractNumId w:val="0"/>
  </w:num>
  <w:num w:numId="16">
    <w:abstractNumId w:val="16"/>
  </w:num>
  <w:num w:numId="17">
    <w:abstractNumId w:val="8"/>
  </w:num>
  <w:num w:numId="18">
    <w:abstractNumId w:val="13"/>
  </w:num>
  <w:num w:numId="19">
    <w:abstractNumId w:val="24"/>
  </w:num>
  <w:num w:numId="20">
    <w:abstractNumId w:val="10"/>
  </w:num>
  <w:num w:numId="21">
    <w:abstractNumId w:val="28"/>
  </w:num>
  <w:num w:numId="22">
    <w:abstractNumId w:val="12"/>
  </w:num>
  <w:num w:numId="23">
    <w:abstractNumId w:val="18"/>
  </w:num>
  <w:num w:numId="24">
    <w:abstractNumId w:val="17"/>
  </w:num>
  <w:num w:numId="25">
    <w:abstractNumId w:val="9"/>
  </w:num>
  <w:num w:numId="26">
    <w:abstractNumId w:val="2"/>
  </w:num>
  <w:num w:numId="27">
    <w:abstractNumId w:val="26"/>
  </w:num>
  <w:num w:numId="28">
    <w:abstractNumId w:val="3"/>
  </w:num>
  <w:num w:numId="29">
    <w:abstractNumId w:val="7"/>
  </w:num>
  <w:num w:numId="30">
    <w:abstractNumId w:val="5"/>
  </w:num>
  <w:num w:numId="31">
    <w:abstractNumId w:val="19"/>
  </w:num>
  <w:num w:numId="32">
    <w:abstractNumId w:val="15"/>
  </w:num>
  <w:num w:numId="3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fill="f" fillcolor="white" stroke="f" strokecolor="blue">
      <v:fill color="white" on="f"/>
      <v:stroke color="blue" on="f"/>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6E0082"/>
    <w:rsid w:val="00001A70"/>
    <w:rsid w:val="00002870"/>
    <w:rsid w:val="000047FE"/>
    <w:rsid w:val="000052C2"/>
    <w:rsid w:val="00005770"/>
    <w:rsid w:val="000060D2"/>
    <w:rsid w:val="00006585"/>
    <w:rsid w:val="000067C3"/>
    <w:rsid w:val="00006C36"/>
    <w:rsid w:val="00006C54"/>
    <w:rsid w:val="00007CDC"/>
    <w:rsid w:val="00010EA7"/>
    <w:rsid w:val="00011C98"/>
    <w:rsid w:val="00011F60"/>
    <w:rsid w:val="00012AC9"/>
    <w:rsid w:val="00013C8C"/>
    <w:rsid w:val="00013E17"/>
    <w:rsid w:val="00016DF4"/>
    <w:rsid w:val="00020491"/>
    <w:rsid w:val="00023D99"/>
    <w:rsid w:val="00023E15"/>
    <w:rsid w:val="000242C6"/>
    <w:rsid w:val="000244BA"/>
    <w:rsid w:val="00025E6A"/>
    <w:rsid w:val="00027FC8"/>
    <w:rsid w:val="000301FB"/>
    <w:rsid w:val="0003151D"/>
    <w:rsid w:val="00032AF0"/>
    <w:rsid w:val="00033516"/>
    <w:rsid w:val="0003353A"/>
    <w:rsid w:val="00033FD5"/>
    <w:rsid w:val="0003414E"/>
    <w:rsid w:val="00034FE0"/>
    <w:rsid w:val="000352A8"/>
    <w:rsid w:val="00036891"/>
    <w:rsid w:val="00041884"/>
    <w:rsid w:val="00044B54"/>
    <w:rsid w:val="00045108"/>
    <w:rsid w:val="00045AF1"/>
    <w:rsid w:val="00045CDD"/>
    <w:rsid w:val="0004757A"/>
    <w:rsid w:val="000475E6"/>
    <w:rsid w:val="00047EA3"/>
    <w:rsid w:val="00050A60"/>
    <w:rsid w:val="00050E51"/>
    <w:rsid w:val="00051984"/>
    <w:rsid w:val="00051ADB"/>
    <w:rsid w:val="00052E1E"/>
    <w:rsid w:val="00052EE8"/>
    <w:rsid w:val="000535F2"/>
    <w:rsid w:val="0005371E"/>
    <w:rsid w:val="00054997"/>
    <w:rsid w:val="000550AF"/>
    <w:rsid w:val="00055CFC"/>
    <w:rsid w:val="00056218"/>
    <w:rsid w:val="000606B9"/>
    <w:rsid w:val="000607AE"/>
    <w:rsid w:val="00061083"/>
    <w:rsid w:val="00061738"/>
    <w:rsid w:val="000621FE"/>
    <w:rsid w:val="0006260A"/>
    <w:rsid w:val="000626CF"/>
    <w:rsid w:val="00062F6B"/>
    <w:rsid w:val="0006494B"/>
    <w:rsid w:val="0006577B"/>
    <w:rsid w:val="00066193"/>
    <w:rsid w:val="00066E93"/>
    <w:rsid w:val="00067025"/>
    <w:rsid w:val="000675CC"/>
    <w:rsid w:val="00067C20"/>
    <w:rsid w:val="00067CBA"/>
    <w:rsid w:val="00070396"/>
    <w:rsid w:val="00071F41"/>
    <w:rsid w:val="00072131"/>
    <w:rsid w:val="0007247A"/>
    <w:rsid w:val="000727B9"/>
    <w:rsid w:val="000734D2"/>
    <w:rsid w:val="00073A51"/>
    <w:rsid w:val="000740BB"/>
    <w:rsid w:val="00074F17"/>
    <w:rsid w:val="000750A3"/>
    <w:rsid w:val="00075BD7"/>
    <w:rsid w:val="00080197"/>
    <w:rsid w:val="00080E38"/>
    <w:rsid w:val="00080EFD"/>
    <w:rsid w:val="000828A4"/>
    <w:rsid w:val="000832B0"/>
    <w:rsid w:val="0008470F"/>
    <w:rsid w:val="000864CC"/>
    <w:rsid w:val="000907BF"/>
    <w:rsid w:val="00092334"/>
    <w:rsid w:val="00092DFC"/>
    <w:rsid w:val="000949C7"/>
    <w:rsid w:val="00094BC7"/>
    <w:rsid w:val="00096746"/>
    <w:rsid w:val="000A157A"/>
    <w:rsid w:val="000A325F"/>
    <w:rsid w:val="000A36C4"/>
    <w:rsid w:val="000A3EE4"/>
    <w:rsid w:val="000A3F8F"/>
    <w:rsid w:val="000A4ACB"/>
    <w:rsid w:val="000A4CEC"/>
    <w:rsid w:val="000A5C06"/>
    <w:rsid w:val="000A5E4C"/>
    <w:rsid w:val="000A6B24"/>
    <w:rsid w:val="000A6E64"/>
    <w:rsid w:val="000B0D8D"/>
    <w:rsid w:val="000B1197"/>
    <w:rsid w:val="000B1792"/>
    <w:rsid w:val="000B4218"/>
    <w:rsid w:val="000B4C8B"/>
    <w:rsid w:val="000B4D91"/>
    <w:rsid w:val="000B5A00"/>
    <w:rsid w:val="000B5EBD"/>
    <w:rsid w:val="000B6755"/>
    <w:rsid w:val="000B69D4"/>
    <w:rsid w:val="000B734D"/>
    <w:rsid w:val="000C0830"/>
    <w:rsid w:val="000C23E8"/>
    <w:rsid w:val="000C3984"/>
    <w:rsid w:val="000C3F9E"/>
    <w:rsid w:val="000C49E0"/>
    <w:rsid w:val="000C5981"/>
    <w:rsid w:val="000C5D64"/>
    <w:rsid w:val="000C6C83"/>
    <w:rsid w:val="000D03A9"/>
    <w:rsid w:val="000D1212"/>
    <w:rsid w:val="000D642B"/>
    <w:rsid w:val="000D67BC"/>
    <w:rsid w:val="000D6C6A"/>
    <w:rsid w:val="000D7257"/>
    <w:rsid w:val="000D7693"/>
    <w:rsid w:val="000E08DC"/>
    <w:rsid w:val="000E0970"/>
    <w:rsid w:val="000E1DEA"/>
    <w:rsid w:val="000E293E"/>
    <w:rsid w:val="000E2B5A"/>
    <w:rsid w:val="000E2E72"/>
    <w:rsid w:val="000E4136"/>
    <w:rsid w:val="000E4996"/>
    <w:rsid w:val="000E4CF1"/>
    <w:rsid w:val="000E6102"/>
    <w:rsid w:val="000E677F"/>
    <w:rsid w:val="000E6CB6"/>
    <w:rsid w:val="000F02C1"/>
    <w:rsid w:val="000F0B35"/>
    <w:rsid w:val="000F1965"/>
    <w:rsid w:val="000F2449"/>
    <w:rsid w:val="000F2538"/>
    <w:rsid w:val="000F480A"/>
    <w:rsid w:val="000F4865"/>
    <w:rsid w:val="000F5CF4"/>
    <w:rsid w:val="000F6C54"/>
    <w:rsid w:val="000F742B"/>
    <w:rsid w:val="000F7DCE"/>
    <w:rsid w:val="001004A6"/>
    <w:rsid w:val="00100783"/>
    <w:rsid w:val="001016E8"/>
    <w:rsid w:val="001033E5"/>
    <w:rsid w:val="001033F2"/>
    <w:rsid w:val="001051F8"/>
    <w:rsid w:val="001053A9"/>
    <w:rsid w:val="001072AB"/>
    <w:rsid w:val="00107305"/>
    <w:rsid w:val="0010798E"/>
    <w:rsid w:val="00107D37"/>
    <w:rsid w:val="0011017A"/>
    <w:rsid w:val="001101A6"/>
    <w:rsid w:val="001111A5"/>
    <w:rsid w:val="001115B3"/>
    <w:rsid w:val="001132C8"/>
    <w:rsid w:val="001136C7"/>
    <w:rsid w:val="001137EE"/>
    <w:rsid w:val="00113FC2"/>
    <w:rsid w:val="00115BD0"/>
    <w:rsid w:val="0011710A"/>
    <w:rsid w:val="00117E7C"/>
    <w:rsid w:val="00117ECF"/>
    <w:rsid w:val="001207EC"/>
    <w:rsid w:val="001213B0"/>
    <w:rsid w:val="00122EE3"/>
    <w:rsid w:val="001247FB"/>
    <w:rsid w:val="00127657"/>
    <w:rsid w:val="00127859"/>
    <w:rsid w:val="001302B9"/>
    <w:rsid w:val="0013062A"/>
    <w:rsid w:val="00131080"/>
    <w:rsid w:val="00131711"/>
    <w:rsid w:val="00132785"/>
    <w:rsid w:val="00132A4B"/>
    <w:rsid w:val="00132ADC"/>
    <w:rsid w:val="001340A1"/>
    <w:rsid w:val="00135D3C"/>
    <w:rsid w:val="001375ED"/>
    <w:rsid w:val="001419AF"/>
    <w:rsid w:val="00142CCC"/>
    <w:rsid w:val="001437B6"/>
    <w:rsid w:val="0014388F"/>
    <w:rsid w:val="00143C46"/>
    <w:rsid w:val="00144A45"/>
    <w:rsid w:val="0014501D"/>
    <w:rsid w:val="00145750"/>
    <w:rsid w:val="00146742"/>
    <w:rsid w:val="00146988"/>
    <w:rsid w:val="00147435"/>
    <w:rsid w:val="00150B76"/>
    <w:rsid w:val="00152490"/>
    <w:rsid w:val="001525DB"/>
    <w:rsid w:val="001527E4"/>
    <w:rsid w:val="0015441A"/>
    <w:rsid w:val="001571BA"/>
    <w:rsid w:val="001575DB"/>
    <w:rsid w:val="0016196A"/>
    <w:rsid w:val="00163F07"/>
    <w:rsid w:val="00165A66"/>
    <w:rsid w:val="001665A2"/>
    <w:rsid w:val="00166AF8"/>
    <w:rsid w:val="0016768C"/>
    <w:rsid w:val="001679F2"/>
    <w:rsid w:val="00170EC3"/>
    <w:rsid w:val="0017145F"/>
    <w:rsid w:val="001720A3"/>
    <w:rsid w:val="001727FC"/>
    <w:rsid w:val="001759B4"/>
    <w:rsid w:val="00175E95"/>
    <w:rsid w:val="00175F87"/>
    <w:rsid w:val="00177D61"/>
    <w:rsid w:val="001814D6"/>
    <w:rsid w:val="001822B0"/>
    <w:rsid w:val="001832BC"/>
    <w:rsid w:val="00184CAC"/>
    <w:rsid w:val="00185B78"/>
    <w:rsid w:val="001861BF"/>
    <w:rsid w:val="00190393"/>
    <w:rsid w:val="001907BB"/>
    <w:rsid w:val="00190E1C"/>
    <w:rsid w:val="00190F5C"/>
    <w:rsid w:val="001913DA"/>
    <w:rsid w:val="00191EDF"/>
    <w:rsid w:val="0019267D"/>
    <w:rsid w:val="00193AD8"/>
    <w:rsid w:val="00193F4C"/>
    <w:rsid w:val="00195D05"/>
    <w:rsid w:val="00196065"/>
    <w:rsid w:val="001966AE"/>
    <w:rsid w:val="0019771F"/>
    <w:rsid w:val="001979B5"/>
    <w:rsid w:val="001A0A42"/>
    <w:rsid w:val="001A1464"/>
    <w:rsid w:val="001A172F"/>
    <w:rsid w:val="001A1D14"/>
    <w:rsid w:val="001A2B7B"/>
    <w:rsid w:val="001A4A5E"/>
    <w:rsid w:val="001A4E84"/>
    <w:rsid w:val="001A52B5"/>
    <w:rsid w:val="001A6990"/>
    <w:rsid w:val="001A74BD"/>
    <w:rsid w:val="001A7F39"/>
    <w:rsid w:val="001B000C"/>
    <w:rsid w:val="001B00F5"/>
    <w:rsid w:val="001B03D9"/>
    <w:rsid w:val="001B06EC"/>
    <w:rsid w:val="001B3A90"/>
    <w:rsid w:val="001B45D9"/>
    <w:rsid w:val="001B7AA0"/>
    <w:rsid w:val="001C3FA4"/>
    <w:rsid w:val="001C54B2"/>
    <w:rsid w:val="001C5810"/>
    <w:rsid w:val="001C7EBB"/>
    <w:rsid w:val="001C7F28"/>
    <w:rsid w:val="001D1D67"/>
    <w:rsid w:val="001D2280"/>
    <w:rsid w:val="001D29A7"/>
    <w:rsid w:val="001D3E1A"/>
    <w:rsid w:val="001D447D"/>
    <w:rsid w:val="001D491C"/>
    <w:rsid w:val="001D4B20"/>
    <w:rsid w:val="001D4F4D"/>
    <w:rsid w:val="001D6C4A"/>
    <w:rsid w:val="001D7340"/>
    <w:rsid w:val="001D7C32"/>
    <w:rsid w:val="001E10B8"/>
    <w:rsid w:val="001E3062"/>
    <w:rsid w:val="001E416A"/>
    <w:rsid w:val="001E4AA9"/>
    <w:rsid w:val="001E4C45"/>
    <w:rsid w:val="001E54B0"/>
    <w:rsid w:val="001E57E5"/>
    <w:rsid w:val="001E751C"/>
    <w:rsid w:val="001F0C43"/>
    <w:rsid w:val="001F0F2C"/>
    <w:rsid w:val="001F1467"/>
    <w:rsid w:val="001F2951"/>
    <w:rsid w:val="001F403C"/>
    <w:rsid w:val="001F4806"/>
    <w:rsid w:val="001F60BC"/>
    <w:rsid w:val="001F6719"/>
    <w:rsid w:val="001F7D04"/>
    <w:rsid w:val="0020359C"/>
    <w:rsid w:val="00203E92"/>
    <w:rsid w:val="00204411"/>
    <w:rsid w:val="00207266"/>
    <w:rsid w:val="00207DC2"/>
    <w:rsid w:val="00207E03"/>
    <w:rsid w:val="00210BEF"/>
    <w:rsid w:val="00210D44"/>
    <w:rsid w:val="00212891"/>
    <w:rsid w:val="002133F5"/>
    <w:rsid w:val="0021351A"/>
    <w:rsid w:val="00214908"/>
    <w:rsid w:val="00214BDB"/>
    <w:rsid w:val="00215BF9"/>
    <w:rsid w:val="00215C84"/>
    <w:rsid w:val="00216350"/>
    <w:rsid w:val="00216419"/>
    <w:rsid w:val="002176BD"/>
    <w:rsid w:val="0021770A"/>
    <w:rsid w:val="00217D35"/>
    <w:rsid w:val="0022098C"/>
    <w:rsid w:val="002211C7"/>
    <w:rsid w:val="0022204D"/>
    <w:rsid w:val="00223F91"/>
    <w:rsid w:val="00225393"/>
    <w:rsid w:val="00225668"/>
    <w:rsid w:val="00226BA0"/>
    <w:rsid w:val="00231042"/>
    <w:rsid w:val="002320E2"/>
    <w:rsid w:val="00232587"/>
    <w:rsid w:val="0023319B"/>
    <w:rsid w:val="00234FCE"/>
    <w:rsid w:val="002364F0"/>
    <w:rsid w:val="00236C68"/>
    <w:rsid w:val="0023714E"/>
    <w:rsid w:val="00237958"/>
    <w:rsid w:val="00240006"/>
    <w:rsid w:val="00241633"/>
    <w:rsid w:val="002418F0"/>
    <w:rsid w:val="00242AED"/>
    <w:rsid w:val="00243811"/>
    <w:rsid w:val="00243E4A"/>
    <w:rsid w:val="002446CB"/>
    <w:rsid w:val="002505AE"/>
    <w:rsid w:val="00251326"/>
    <w:rsid w:val="00252211"/>
    <w:rsid w:val="00252817"/>
    <w:rsid w:val="00252995"/>
    <w:rsid w:val="002536D7"/>
    <w:rsid w:val="0025459F"/>
    <w:rsid w:val="002556DE"/>
    <w:rsid w:val="00256ECD"/>
    <w:rsid w:val="0025762A"/>
    <w:rsid w:val="00257FD2"/>
    <w:rsid w:val="00260B86"/>
    <w:rsid w:val="002629FD"/>
    <w:rsid w:val="00263469"/>
    <w:rsid w:val="002634E2"/>
    <w:rsid w:val="00265B24"/>
    <w:rsid w:val="00265BB0"/>
    <w:rsid w:val="00266D56"/>
    <w:rsid w:val="002672E1"/>
    <w:rsid w:val="002679C3"/>
    <w:rsid w:val="00267BC1"/>
    <w:rsid w:val="0027148D"/>
    <w:rsid w:val="0027253E"/>
    <w:rsid w:val="00274583"/>
    <w:rsid w:val="00275D2F"/>
    <w:rsid w:val="0027632B"/>
    <w:rsid w:val="002763A1"/>
    <w:rsid w:val="00276D2C"/>
    <w:rsid w:val="00277E56"/>
    <w:rsid w:val="00277F12"/>
    <w:rsid w:val="002803E5"/>
    <w:rsid w:val="00283108"/>
    <w:rsid w:val="00285AC3"/>
    <w:rsid w:val="00286517"/>
    <w:rsid w:val="002865D2"/>
    <w:rsid w:val="00292AFE"/>
    <w:rsid w:val="002934AC"/>
    <w:rsid w:val="002941D6"/>
    <w:rsid w:val="00294206"/>
    <w:rsid w:val="00294650"/>
    <w:rsid w:val="00295240"/>
    <w:rsid w:val="002A03E0"/>
    <w:rsid w:val="002A1AD2"/>
    <w:rsid w:val="002A2027"/>
    <w:rsid w:val="002A2210"/>
    <w:rsid w:val="002A27D1"/>
    <w:rsid w:val="002A2EB7"/>
    <w:rsid w:val="002A3FC5"/>
    <w:rsid w:val="002A4264"/>
    <w:rsid w:val="002A635B"/>
    <w:rsid w:val="002B1875"/>
    <w:rsid w:val="002B19ED"/>
    <w:rsid w:val="002B1BA0"/>
    <w:rsid w:val="002B235E"/>
    <w:rsid w:val="002B292F"/>
    <w:rsid w:val="002B294C"/>
    <w:rsid w:val="002B2A67"/>
    <w:rsid w:val="002B2D99"/>
    <w:rsid w:val="002B3018"/>
    <w:rsid w:val="002B5DDC"/>
    <w:rsid w:val="002B61F6"/>
    <w:rsid w:val="002B6D49"/>
    <w:rsid w:val="002B78F2"/>
    <w:rsid w:val="002C0A7E"/>
    <w:rsid w:val="002C1316"/>
    <w:rsid w:val="002C2A23"/>
    <w:rsid w:val="002C424F"/>
    <w:rsid w:val="002C5760"/>
    <w:rsid w:val="002C5E0C"/>
    <w:rsid w:val="002D0B84"/>
    <w:rsid w:val="002D19EB"/>
    <w:rsid w:val="002D391E"/>
    <w:rsid w:val="002D3B84"/>
    <w:rsid w:val="002D3C12"/>
    <w:rsid w:val="002D4ED3"/>
    <w:rsid w:val="002D507F"/>
    <w:rsid w:val="002D572A"/>
    <w:rsid w:val="002D6E2E"/>
    <w:rsid w:val="002D7041"/>
    <w:rsid w:val="002D7270"/>
    <w:rsid w:val="002E0945"/>
    <w:rsid w:val="002E0FC5"/>
    <w:rsid w:val="002E1E66"/>
    <w:rsid w:val="002E21F5"/>
    <w:rsid w:val="002E2353"/>
    <w:rsid w:val="002E28E8"/>
    <w:rsid w:val="002E356C"/>
    <w:rsid w:val="002E3A96"/>
    <w:rsid w:val="002E3D11"/>
    <w:rsid w:val="002E524C"/>
    <w:rsid w:val="002E5B4E"/>
    <w:rsid w:val="002E6E5F"/>
    <w:rsid w:val="002F2128"/>
    <w:rsid w:val="002F24A6"/>
    <w:rsid w:val="002F4E23"/>
    <w:rsid w:val="002F6082"/>
    <w:rsid w:val="002F6227"/>
    <w:rsid w:val="003003AA"/>
    <w:rsid w:val="00300899"/>
    <w:rsid w:val="00300F6E"/>
    <w:rsid w:val="003015C1"/>
    <w:rsid w:val="003041C6"/>
    <w:rsid w:val="0030545A"/>
    <w:rsid w:val="00306E91"/>
    <w:rsid w:val="00307D4F"/>
    <w:rsid w:val="0031087E"/>
    <w:rsid w:val="00310CD9"/>
    <w:rsid w:val="003111A8"/>
    <w:rsid w:val="0031151C"/>
    <w:rsid w:val="00311B08"/>
    <w:rsid w:val="00313B5E"/>
    <w:rsid w:val="00316C94"/>
    <w:rsid w:val="00316CA3"/>
    <w:rsid w:val="003172DA"/>
    <w:rsid w:val="003217FF"/>
    <w:rsid w:val="0032230C"/>
    <w:rsid w:val="003236C9"/>
    <w:rsid w:val="00324D6F"/>
    <w:rsid w:val="0032709C"/>
    <w:rsid w:val="0032732B"/>
    <w:rsid w:val="00330BE8"/>
    <w:rsid w:val="00331128"/>
    <w:rsid w:val="00332136"/>
    <w:rsid w:val="003331E0"/>
    <w:rsid w:val="00333D33"/>
    <w:rsid w:val="0033449C"/>
    <w:rsid w:val="00334AC2"/>
    <w:rsid w:val="00334E66"/>
    <w:rsid w:val="003358BA"/>
    <w:rsid w:val="00335D73"/>
    <w:rsid w:val="003370CA"/>
    <w:rsid w:val="00337A0A"/>
    <w:rsid w:val="00342D9F"/>
    <w:rsid w:val="003433DA"/>
    <w:rsid w:val="00343835"/>
    <w:rsid w:val="0034485F"/>
    <w:rsid w:val="00344F45"/>
    <w:rsid w:val="00346678"/>
    <w:rsid w:val="003467D6"/>
    <w:rsid w:val="0034730B"/>
    <w:rsid w:val="0034782B"/>
    <w:rsid w:val="00347EB7"/>
    <w:rsid w:val="00351566"/>
    <w:rsid w:val="00351EE0"/>
    <w:rsid w:val="00352C2D"/>
    <w:rsid w:val="003530FC"/>
    <w:rsid w:val="00353F08"/>
    <w:rsid w:val="003542B9"/>
    <w:rsid w:val="00354384"/>
    <w:rsid w:val="00355C42"/>
    <w:rsid w:val="003563AD"/>
    <w:rsid w:val="00357C98"/>
    <w:rsid w:val="003618B5"/>
    <w:rsid w:val="003620CE"/>
    <w:rsid w:val="0036215E"/>
    <w:rsid w:val="00363A6B"/>
    <w:rsid w:val="0036444E"/>
    <w:rsid w:val="0036573C"/>
    <w:rsid w:val="003663F2"/>
    <w:rsid w:val="00366E70"/>
    <w:rsid w:val="0037046C"/>
    <w:rsid w:val="00371387"/>
    <w:rsid w:val="0037212D"/>
    <w:rsid w:val="00372835"/>
    <w:rsid w:val="00372B85"/>
    <w:rsid w:val="003730C2"/>
    <w:rsid w:val="003740FB"/>
    <w:rsid w:val="00375576"/>
    <w:rsid w:val="003755E8"/>
    <w:rsid w:val="003759E4"/>
    <w:rsid w:val="003763B7"/>
    <w:rsid w:val="00376968"/>
    <w:rsid w:val="00376ABC"/>
    <w:rsid w:val="0038077C"/>
    <w:rsid w:val="00381618"/>
    <w:rsid w:val="003819A4"/>
    <w:rsid w:val="00381CEB"/>
    <w:rsid w:val="00382F59"/>
    <w:rsid w:val="0038354D"/>
    <w:rsid w:val="0038379D"/>
    <w:rsid w:val="00383B5C"/>
    <w:rsid w:val="00383E12"/>
    <w:rsid w:val="003846ED"/>
    <w:rsid w:val="00384C6B"/>
    <w:rsid w:val="003904F8"/>
    <w:rsid w:val="00390875"/>
    <w:rsid w:val="00390E02"/>
    <w:rsid w:val="003916BD"/>
    <w:rsid w:val="0039268C"/>
    <w:rsid w:val="0039342F"/>
    <w:rsid w:val="003942C2"/>
    <w:rsid w:val="00394CE3"/>
    <w:rsid w:val="00394DD7"/>
    <w:rsid w:val="00395438"/>
    <w:rsid w:val="003969F2"/>
    <w:rsid w:val="00396B5D"/>
    <w:rsid w:val="00396BCC"/>
    <w:rsid w:val="00397D99"/>
    <w:rsid w:val="003A0EC6"/>
    <w:rsid w:val="003A15D8"/>
    <w:rsid w:val="003A1C8F"/>
    <w:rsid w:val="003A1F53"/>
    <w:rsid w:val="003A1FC1"/>
    <w:rsid w:val="003A3143"/>
    <w:rsid w:val="003A3CEB"/>
    <w:rsid w:val="003A63D9"/>
    <w:rsid w:val="003A68E7"/>
    <w:rsid w:val="003A6A2D"/>
    <w:rsid w:val="003A6D0E"/>
    <w:rsid w:val="003A6D6E"/>
    <w:rsid w:val="003A71D3"/>
    <w:rsid w:val="003A7BED"/>
    <w:rsid w:val="003B02B7"/>
    <w:rsid w:val="003B27A7"/>
    <w:rsid w:val="003B3E71"/>
    <w:rsid w:val="003B516E"/>
    <w:rsid w:val="003B55FD"/>
    <w:rsid w:val="003B748E"/>
    <w:rsid w:val="003B7A53"/>
    <w:rsid w:val="003C05F6"/>
    <w:rsid w:val="003C0B05"/>
    <w:rsid w:val="003C1153"/>
    <w:rsid w:val="003C1E2A"/>
    <w:rsid w:val="003C313B"/>
    <w:rsid w:val="003C36DA"/>
    <w:rsid w:val="003C3EAF"/>
    <w:rsid w:val="003C4005"/>
    <w:rsid w:val="003C58FA"/>
    <w:rsid w:val="003C6A37"/>
    <w:rsid w:val="003C6D3A"/>
    <w:rsid w:val="003C7F07"/>
    <w:rsid w:val="003D0711"/>
    <w:rsid w:val="003D07F2"/>
    <w:rsid w:val="003D2C15"/>
    <w:rsid w:val="003D2E36"/>
    <w:rsid w:val="003D32B9"/>
    <w:rsid w:val="003D340C"/>
    <w:rsid w:val="003D41D2"/>
    <w:rsid w:val="003D4287"/>
    <w:rsid w:val="003D4466"/>
    <w:rsid w:val="003D48B3"/>
    <w:rsid w:val="003D512D"/>
    <w:rsid w:val="003D567A"/>
    <w:rsid w:val="003D693C"/>
    <w:rsid w:val="003D7993"/>
    <w:rsid w:val="003E012F"/>
    <w:rsid w:val="003E259E"/>
    <w:rsid w:val="003E271E"/>
    <w:rsid w:val="003E280C"/>
    <w:rsid w:val="003E3BF8"/>
    <w:rsid w:val="003E3F56"/>
    <w:rsid w:val="003E4981"/>
    <w:rsid w:val="003E5D0D"/>
    <w:rsid w:val="003E7274"/>
    <w:rsid w:val="003F00BF"/>
    <w:rsid w:val="003F1D6B"/>
    <w:rsid w:val="003F2D94"/>
    <w:rsid w:val="003F3823"/>
    <w:rsid w:val="003F42E4"/>
    <w:rsid w:val="003F452F"/>
    <w:rsid w:val="003F6284"/>
    <w:rsid w:val="0040043B"/>
    <w:rsid w:val="0040165E"/>
    <w:rsid w:val="004024BD"/>
    <w:rsid w:val="004025E9"/>
    <w:rsid w:val="0040336C"/>
    <w:rsid w:val="00403DF7"/>
    <w:rsid w:val="004040F6"/>
    <w:rsid w:val="00405942"/>
    <w:rsid w:val="00406543"/>
    <w:rsid w:val="00411147"/>
    <w:rsid w:val="00411196"/>
    <w:rsid w:val="00411EDC"/>
    <w:rsid w:val="00412302"/>
    <w:rsid w:val="0041278C"/>
    <w:rsid w:val="00412EEA"/>
    <w:rsid w:val="004137F6"/>
    <w:rsid w:val="0041389E"/>
    <w:rsid w:val="00414170"/>
    <w:rsid w:val="00414192"/>
    <w:rsid w:val="004141D8"/>
    <w:rsid w:val="00415A83"/>
    <w:rsid w:val="00416053"/>
    <w:rsid w:val="00416CD5"/>
    <w:rsid w:val="00416D57"/>
    <w:rsid w:val="004170FD"/>
    <w:rsid w:val="00417EEE"/>
    <w:rsid w:val="0042077F"/>
    <w:rsid w:val="00420EF6"/>
    <w:rsid w:val="0042209A"/>
    <w:rsid w:val="0042352A"/>
    <w:rsid w:val="00423F9C"/>
    <w:rsid w:val="00424DA8"/>
    <w:rsid w:val="0042535F"/>
    <w:rsid w:val="004267F0"/>
    <w:rsid w:val="00426D15"/>
    <w:rsid w:val="00427AC8"/>
    <w:rsid w:val="00430853"/>
    <w:rsid w:val="00430E8C"/>
    <w:rsid w:val="004324FA"/>
    <w:rsid w:val="00433088"/>
    <w:rsid w:val="004338DC"/>
    <w:rsid w:val="00433B05"/>
    <w:rsid w:val="0043579F"/>
    <w:rsid w:val="00435DCD"/>
    <w:rsid w:val="00436607"/>
    <w:rsid w:val="00436A38"/>
    <w:rsid w:val="00437A6A"/>
    <w:rsid w:val="00437B29"/>
    <w:rsid w:val="00440A9B"/>
    <w:rsid w:val="004419C6"/>
    <w:rsid w:val="00442866"/>
    <w:rsid w:val="00443D41"/>
    <w:rsid w:val="004452F3"/>
    <w:rsid w:val="00446429"/>
    <w:rsid w:val="00447FDE"/>
    <w:rsid w:val="00450AE5"/>
    <w:rsid w:val="00451911"/>
    <w:rsid w:val="00453235"/>
    <w:rsid w:val="00453F8F"/>
    <w:rsid w:val="00454C6C"/>
    <w:rsid w:val="00456D77"/>
    <w:rsid w:val="00460D23"/>
    <w:rsid w:val="00460FE4"/>
    <w:rsid w:val="00461570"/>
    <w:rsid w:val="00463356"/>
    <w:rsid w:val="004637DC"/>
    <w:rsid w:val="0046456F"/>
    <w:rsid w:val="0046482C"/>
    <w:rsid w:val="00465F41"/>
    <w:rsid w:val="00467045"/>
    <w:rsid w:val="004677AE"/>
    <w:rsid w:val="00470334"/>
    <w:rsid w:val="004703CA"/>
    <w:rsid w:val="004726B1"/>
    <w:rsid w:val="004732E5"/>
    <w:rsid w:val="004736BA"/>
    <w:rsid w:val="00474F36"/>
    <w:rsid w:val="00475597"/>
    <w:rsid w:val="004767CA"/>
    <w:rsid w:val="00480B02"/>
    <w:rsid w:val="00480C11"/>
    <w:rsid w:val="00481647"/>
    <w:rsid w:val="00481890"/>
    <w:rsid w:val="00482093"/>
    <w:rsid w:val="0048248B"/>
    <w:rsid w:val="0048312A"/>
    <w:rsid w:val="00483F2F"/>
    <w:rsid w:val="0048406B"/>
    <w:rsid w:val="004844A7"/>
    <w:rsid w:val="0048688C"/>
    <w:rsid w:val="004868A3"/>
    <w:rsid w:val="00486A22"/>
    <w:rsid w:val="0049028A"/>
    <w:rsid w:val="004904A1"/>
    <w:rsid w:val="004909BD"/>
    <w:rsid w:val="004936DC"/>
    <w:rsid w:val="004939EA"/>
    <w:rsid w:val="00495156"/>
    <w:rsid w:val="00495654"/>
    <w:rsid w:val="0049583B"/>
    <w:rsid w:val="00496610"/>
    <w:rsid w:val="004A013E"/>
    <w:rsid w:val="004A1027"/>
    <w:rsid w:val="004A1218"/>
    <w:rsid w:val="004A1312"/>
    <w:rsid w:val="004A26FE"/>
    <w:rsid w:val="004A2AA1"/>
    <w:rsid w:val="004A40C5"/>
    <w:rsid w:val="004A41D2"/>
    <w:rsid w:val="004A4477"/>
    <w:rsid w:val="004A516B"/>
    <w:rsid w:val="004A5389"/>
    <w:rsid w:val="004A5A23"/>
    <w:rsid w:val="004A6416"/>
    <w:rsid w:val="004A7A72"/>
    <w:rsid w:val="004B0F2C"/>
    <w:rsid w:val="004B1AC2"/>
    <w:rsid w:val="004B20D0"/>
    <w:rsid w:val="004B332B"/>
    <w:rsid w:val="004B55CD"/>
    <w:rsid w:val="004B644F"/>
    <w:rsid w:val="004B6769"/>
    <w:rsid w:val="004B6982"/>
    <w:rsid w:val="004B6A1B"/>
    <w:rsid w:val="004B6FFA"/>
    <w:rsid w:val="004C1F3E"/>
    <w:rsid w:val="004C5021"/>
    <w:rsid w:val="004C552B"/>
    <w:rsid w:val="004C69D3"/>
    <w:rsid w:val="004C7B4E"/>
    <w:rsid w:val="004D0C82"/>
    <w:rsid w:val="004D25B2"/>
    <w:rsid w:val="004D26CD"/>
    <w:rsid w:val="004D3082"/>
    <w:rsid w:val="004D4648"/>
    <w:rsid w:val="004D4A91"/>
    <w:rsid w:val="004D4AD4"/>
    <w:rsid w:val="004D51F5"/>
    <w:rsid w:val="004D540F"/>
    <w:rsid w:val="004D604F"/>
    <w:rsid w:val="004E083E"/>
    <w:rsid w:val="004E1BD8"/>
    <w:rsid w:val="004E33C8"/>
    <w:rsid w:val="004E3EA7"/>
    <w:rsid w:val="004E6419"/>
    <w:rsid w:val="004E7402"/>
    <w:rsid w:val="004F0C33"/>
    <w:rsid w:val="004F0D97"/>
    <w:rsid w:val="004F125E"/>
    <w:rsid w:val="004F1668"/>
    <w:rsid w:val="004F191B"/>
    <w:rsid w:val="004F20C1"/>
    <w:rsid w:val="004F4334"/>
    <w:rsid w:val="004F4A35"/>
    <w:rsid w:val="004F64EF"/>
    <w:rsid w:val="004F6557"/>
    <w:rsid w:val="004F6C4E"/>
    <w:rsid w:val="0050030B"/>
    <w:rsid w:val="00501174"/>
    <w:rsid w:val="00501701"/>
    <w:rsid w:val="00502727"/>
    <w:rsid w:val="00502ADF"/>
    <w:rsid w:val="00502EA0"/>
    <w:rsid w:val="00503272"/>
    <w:rsid w:val="0050381A"/>
    <w:rsid w:val="00505D25"/>
    <w:rsid w:val="00505F37"/>
    <w:rsid w:val="0050793E"/>
    <w:rsid w:val="00507C80"/>
    <w:rsid w:val="0051058D"/>
    <w:rsid w:val="005117DD"/>
    <w:rsid w:val="00511DA9"/>
    <w:rsid w:val="00513E6D"/>
    <w:rsid w:val="005143B1"/>
    <w:rsid w:val="00514952"/>
    <w:rsid w:val="00514DFD"/>
    <w:rsid w:val="005160A9"/>
    <w:rsid w:val="00516293"/>
    <w:rsid w:val="00517313"/>
    <w:rsid w:val="00517D18"/>
    <w:rsid w:val="005213B4"/>
    <w:rsid w:val="00521BA1"/>
    <w:rsid w:val="00521FDA"/>
    <w:rsid w:val="005228B3"/>
    <w:rsid w:val="00522BE8"/>
    <w:rsid w:val="005258A8"/>
    <w:rsid w:val="00527DFA"/>
    <w:rsid w:val="00527FB9"/>
    <w:rsid w:val="0053175E"/>
    <w:rsid w:val="00531812"/>
    <w:rsid w:val="00532724"/>
    <w:rsid w:val="00532F7A"/>
    <w:rsid w:val="0053319B"/>
    <w:rsid w:val="005351A3"/>
    <w:rsid w:val="0053609D"/>
    <w:rsid w:val="0053661C"/>
    <w:rsid w:val="00537F9F"/>
    <w:rsid w:val="00540E73"/>
    <w:rsid w:val="005417C4"/>
    <w:rsid w:val="005418BE"/>
    <w:rsid w:val="00542715"/>
    <w:rsid w:val="00542F17"/>
    <w:rsid w:val="0054337E"/>
    <w:rsid w:val="005437AE"/>
    <w:rsid w:val="00543C9C"/>
    <w:rsid w:val="00545312"/>
    <w:rsid w:val="0054552C"/>
    <w:rsid w:val="005462DE"/>
    <w:rsid w:val="00546AA2"/>
    <w:rsid w:val="0054709C"/>
    <w:rsid w:val="00547EE3"/>
    <w:rsid w:val="00550266"/>
    <w:rsid w:val="005506B8"/>
    <w:rsid w:val="005512E0"/>
    <w:rsid w:val="00551391"/>
    <w:rsid w:val="00553D92"/>
    <w:rsid w:val="00553E3F"/>
    <w:rsid w:val="005554EB"/>
    <w:rsid w:val="00557265"/>
    <w:rsid w:val="00561586"/>
    <w:rsid w:val="00561619"/>
    <w:rsid w:val="005616C2"/>
    <w:rsid w:val="00561947"/>
    <w:rsid w:val="00561AE6"/>
    <w:rsid w:val="00562334"/>
    <w:rsid w:val="00565769"/>
    <w:rsid w:val="00565ED4"/>
    <w:rsid w:val="00566452"/>
    <w:rsid w:val="005672CA"/>
    <w:rsid w:val="005679B7"/>
    <w:rsid w:val="00567BC9"/>
    <w:rsid w:val="00567E36"/>
    <w:rsid w:val="0057045A"/>
    <w:rsid w:val="00570F68"/>
    <w:rsid w:val="005716DE"/>
    <w:rsid w:val="00571C06"/>
    <w:rsid w:val="00572564"/>
    <w:rsid w:val="00572C7D"/>
    <w:rsid w:val="00572EB2"/>
    <w:rsid w:val="00573500"/>
    <w:rsid w:val="00573C04"/>
    <w:rsid w:val="00574105"/>
    <w:rsid w:val="0057491C"/>
    <w:rsid w:val="0057496B"/>
    <w:rsid w:val="00575222"/>
    <w:rsid w:val="00575AAA"/>
    <w:rsid w:val="00576610"/>
    <w:rsid w:val="00577C11"/>
    <w:rsid w:val="005810A6"/>
    <w:rsid w:val="0058166B"/>
    <w:rsid w:val="0058187D"/>
    <w:rsid w:val="005821AF"/>
    <w:rsid w:val="005826DD"/>
    <w:rsid w:val="00584AED"/>
    <w:rsid w:val="0058608C"/>
    <w:rsid w:val="005860C0"/>
    <w:rsid w:val="00586EF8"/>
    <w:rsid w:val="00587B71"/>
    <w:rsid w:val="00590B5C"/>
    <w:rsid w:val="00591898"/>
    <w:rsid w:val="005924EB"/>
    <w:rsid w:val="005938F1"/>
    <w:rsid w:val="00594E99"/>
    <w:rsid w:val="00595B9B"/>
    <w:rsid w:val="0059686D"/>
    <w:rsid w:val="00596925"/>
    <w:rsid w:val="005A107B"/>
    <w:rsid w:val="005A281F"/>
    <w:rsid w:val="005A2984"/>
    <w:rsid w:val="005A339E"/>
    <w:rsid w:val="005A3425"/>
    <w:rsid w:val="005A3804"/>
    <w:rsid w:val="005A4CAF"/>
    <w:rsid w:val="005A4F9B"/>
    <w:rsid w:val="005A5C35"/>
    <w:rsid w:val="005A6EC1"/>
    <w:rsid w:val="005A7045"/>
    <w:rsid w:val="005A74E6"/>
    <w:rsid w:val="005B0D0C"/>
    <w:rsid w:val="005B0F71"/>
    <w:rsid w:val="005B1683"/>
    <w:rsid w:val="005B345B"/>
    <w:rsid w:val="005B3769"/>
    <w:rsid w:val="005B5BF1"/>
    <w:rsid w:val="005B7681"/>
    <w:rsid w:val="005C0D9F"/>
    <w:rsid w:val="005C1A87"/>
    <w:rsid w:val="005C1CD6"/>
    <w:rsid w:val="005C3129"/>
    <w:rsid w:val="005C42F4"/>
    <w:rsid w:val="005C47D1"/>
    <w:rsid w:val="005C4A36"/>
    <w:rsid w:val="005C53BA"/>
    <w:rsid w:val="005C57A8"/>
    <w:rsid w:val="005C6565"/>
    <w:rsid w:val="005C675B"/>
    <w:rsid w:val="005C693C"/>
    <w:rsid w:val="005C6F7D"/>
    <w:rsid w:val="005C7D94"/>
    <w:rsid w:val="005D00C3"/>
    <w:rsid w:val="005D123F"/>
    <w:rsid w:val="005D22AE"/>
    <w:rsid w:val="005D2890"/>
    <w:rsid w:val="005D44D3"/>
    <w:rsid w:val="005D4EF8"/>
    <w:rsid w:val="005D5C8A"/>
    <w:rsid w:val="005D6986"/>
    <w:rsid w:val="005D73E1"/>
    <w:rsid w:val="005D74CB"/>
    <w:rsid w:val="005D7954"/>
    <w:rsid w:val="005E0154"/>
    <w:rsid w:val="005E0EF2"/>
    <w:rsid w:val="005E1349"/>
    <w:rsid w:val="005E231A"/>
    <w:rsid w:val="005E2449"/>
    <w:rsid w:val="005E2851"/>
    <w:rsid w:val="005E2913"/>
    <w:rsid w:val="005E2ABC"/>
    <w:rsid w:val="005E30DF"/>
    <w:rsid w:val="005E3144"/>
    <w:rsid w:val="005E3A51"/>
    <w:rsid w:val="005E3D15"/>
    <w:rsid w:val="005E4A35"/>
    <w:rsid w:val="005E55E7"/>
    <w:rsid w:val="005E725D"/>
    <w:rsid w:val="005E77B5"/>
    <w:rsid w:val="005E7B1C"/>
    <w:rsid w:val="005E7B5F"/>
    <w:rsid w:val="005F17BD"/>
    <w:rsid w:val="005F1C26"/>
    <w:rsid w:val="005F3069"/>
    <w:rsid w:val="005F3765"/>
    <w:rsid w:val="005F4BA0"/>
    <w:rsid w:val="005F531D"/>
    <w:rsid w:val="005F6C97"/>
    <w:rsid w:val="005F7E59"/>
    <w:rsid w:val="005F7EA8"/>
    <w:rsid w:val="00601530"/>
    <w:rsid w:val="00603C1F"/>
    <w:rsid w:val="00603F45"/>
    <w:rsid w:val="00605673"/>
    <w:rsid w:val="00606A54"/>
    <w:rsid w:val="00607D46"/>
    <w:rsid w:val="00610397"/>
    <w:rsid w:val="006108EA"/>
    <w:rsid w:val="00610E6D"/>
    <w:rsid w:val="00612266"/>
    <w:rsid w:val="0061264B"/>
    <w:rsid w:val="006127FD"/>
    <w:rsid w:val="00613D19"/>
    <w:rsid w:val="00613E28"/>
    <w:rsid w:val="00614657"/>
    <w:rsid w:val="0061520B"/>
    <w:rsid w:val="0061539B"/>
    <w:rsid w:val="006213E4"/>
    <w:rsid w:val="006220A7"/>
    <w:rsid w:val="0062256E"/>
    <w:rsid w:val="00622AEB"/>
    <w:rsid w:val="0062315A"/>
    <w:rsid w:val="00623AA0"/>
    <w:rsid w:val="00623E72"/>
    <w:rsid w:val="006245C6"/>
    <w:rsid w:val="0062540C"/>
    <w:rsid w:val="0062782E"/>
    <w:rsid w:val="00630181"/>
    <w:rsid w:val="006304D9"/>
    <w:rsid w:val="00630E00"/>
    <w:rsid w:val="00631665"/>
    <w:rsid w:val="00632577"/>
    <w:rsid w:val="00634D60"/>
    <w:rsid w:val="00640705"/>
    <w:rsid w:val="00642408"/>
    <w:rsid w:val="00643911"/>
    <w:rsid w:val="006455BB"/>
    <w:rsid w:val="00645C38"/>
    <w:rsid w:val="00645F99"/>
    <w:rsid w:val="00646F90"/>
    <w:rsid w:val="00647D6C"/>
    <w:rsid w:val="00650119"/>
    <w:rsid w:val="00650C41"/>
    <w:rsid w:val="00650D9C"/>
    <w:rsid w:val="006526BB"/>
    <w:rsid w:val="00652798"/>
    <w:rsid w:val="00652862"/>
    <w:rsid w:val="00652EF4"/>
    <w:rsid w:val="00652FAC"/>
    <w:rsid w:val="00654835"/>
    <w:rsid w:val="006550C0"/>
    <w:rsid w:val="006555D3"/>
    <w:rsid w:val="00656281"/>
    <w:rsid w:val="00660158"/>
    <w:rsid w:val="006605DE"/>
    <w:rsid w:val="0066122F"/>
    <w:rsid w:val="00661B0A"/>
    <w:rsid w:val="00666F00"/>
    <w:rsid w:val="00670E4F"/>
    <w:rsid w:val="00671AA4"/>
    <w:rsid w:val="00672CBF"/>
    <w:rsid w:val="00674C53"/>
    <w:rsid w:val="006759A8"/>
    <w:rsid w:val="00676057"/>
    <w:rsid w:val="00677C70"/>
    <w:rsid w:val="006828B9"/>
    <w:rsid w:val="00682A50"/>
    <w:rsid w:val="00683926"/>
    <w:rsid w:val="00683946"/>
    <w:rsid w:val="0068434F"/>
    <w:rsid w:val="00684670"/>
    <w:rsid w:val="006847EF"/>
    <w:rsid w:val="006849AB"/>
    <w:rsid w:val="00685772"/>
    <w:rsid w:val="00686C20"/>
    <w:rsid w:val="00686F82"/>
    <w:rsid w:val="00687E74"/>
    <w:rsid w:val="00692DB6"/>
    <w:rsid w:val="006934FF"/>
    <w:rsid w:val="0069394F"/>
    <w:rsid w:val="00693D7C"/>
    <w:rsid w:val="00695759"/>
    <w:rsid w:val="00695B50"/>
    <w:rsid w:val="00695B61"/>
    <w:rsid w:val="0069620F"/>
    <w:rsid w:val="006963C2"/>
    <w:rsid w:val="00696484"/>
    <w:rsid w:val="00696BF0"/>
    <w:rsid w:val="006A04C3"/>
    <w:rsid w:val="006A1127"/>
    <w:rsid w:val="006A1596"/>
    <w:rsid w:val="006A1727"/>
    <w:rsid w:val="006A23AD"/>
    <w:rsid w:val="006A2A8C"/>
    <w:rsid w:val="006A3CC5"/>
    <w:rsid w:val="006A4663"/>
    <w:rsid w:val="006A586D"/>
    <w:rsid w:val="006A5BBF"/>
    <w:rsid w:val="006A5D18"/>
    <w:rsid w:val="006A6057"/>
    <w:rsid w:val="006A6905"/>
    <w:rsid w:val="006B0D3E"/>
    <w:rsid w:val="006B1A88"/>
    <w:rsid w:val="006B3A75"/>
    <w:rsid w:val="006B415F"/>
    <w:rsid w:val="006B426D"/>
    <w:rsid w:val="006B467F"/>
    <w:rsid w:val="006B5165"/>
    <w:rsid w:val="006B59D3"/>
    <w:rsid w:val="006B5B96"/>
    <w:rsid w:val="006B6B66"/>
    <w:rsid w:val="006C0977"/>
    <w:rsid w:val="006C10AC"/>
    <w:rsid w:val="006C2378"/>
    <w:rsid w:val="006C30A6"/>
    <w:rsid w:val="006C359A"/>
    <w:rsid w:val="006C5DB2"/>
    <w:rsid w:val="006C6061"/>
    <w:rsid w:val="006D02F5"/>
    <w:rsid w:val="006D281C"/>
    <w:rsid w:val="006D35B6"/>
    <w:rsid w:val="006D4D2F"/>
    <w:rsid w:val="006D5E23"/>
    <w:rsid w:val="006D604F"/>
    <w:rsid w:val="006D658B"/>
    <w:rsid w:val="006D6A74"/>
    <w:rsid w:val="006D6E26"/>
    <w:rsid w:val="006D78F6"/>
    <w:rsid w:val="006E0082"/>
    <w:rsid w:val="006E0FFE"/>
    <w:rsid w:val="006E195F"/>
    <w:rsid w:val="006E221F"/>
    <w:rsid w:val="006E2AD7"/>
    <w:rsid w:val="006E3452"/>
    <w:rsid w:val="006E34AA"/>
    <w:rsid w:val="006E3B5F"/>
    <w:rsid w:val="006E44B1"/>
    <w:rsid w:val="006E458E"/>
    <w:rsid w:val="006E5EEF"/>
    <w:rsid w:val="006E6BD9"/>
    <w:rsid w:val="006E76D1"/>
    <w:rsid w:val="006F0DEA"/>
    <w:rsid w:val="006F1281"/>
    <w:rsid w:val="006F18E1"/>
    <w:rsid w:val="006F1A91"/>
    <w:rsid w:val="006F208C"/>
    <w:rsid w:val="006F2F3C"/>
    <w:rsid w:val="006F41C7"/>
    <w:rsid w:val="006F466C"/>
    <w:rsid w:val="006F5023"/>
    <w:rsid w:val="006F604C"/>
    <w:rsid w:val="00700B32"/>
    <w:rsid w:val="0070324C"/>
    <w:rsid w:val="00703B43"/>
    <w:rsid w:val="00703CF2"/>
    <w:rsid w:val="00705540"/>
    <w:rsid w:val="007066E3"/>
    <w:rsid w:val="00706934"/>
    <w:rsid w:val="007069BE"/>
    <w:rsid w:val="00706AF4"/>
    <w:rsid w:val="00706D65"/>
    <w:rsid w:val="00710436"/>
    <w:rsid w:val="007108E7"/>
    <w:rsid w:val="00710E35"/>
    <w:rsid w:val="007115A8"/>
    <w:rsid w:val="0071182F"/>
    <w:rsid w:val="007118BF"/>
    <w:rsid w:val="00713B4C"/>
    <w:rsid w:val="00715633"/>
    <w:rsid w:val="007173EA"/>
    <w:rsid w:val="007178FD"/>
    <w:rsid w:val="00717DA6"/>
    <w:rsid w:val="00717F47"/>
    <w:rsid w:val="007202A7"/>
    <w:rsid w:val="00721563"/>
    <w:rsid w:val="007222D6"/>
    <w:rsid w:val="00722953"/>
    <w:rsid w:val="00722EA2"/>
    <w:rsid w:val="00724523"/>
    <w:rsid w:val="0072553C"/>
    <w:rsid w:val="00726130"/>
    <w:rsid w:val="007269B8"/>
    <w:rsid w:val="007271F7"/>
    <w:rsid w:val="0072733F"/>
    <w:rsid w:val="007303E5"/>
    <w:rsid w:val="00730565"/>
    <w:rsid w:val="007307EC"/>
    <w:rsid w:val="007315DF"/>
    <w:rsid w:val="007318FC"/>
    <w:rsid w:val="00732EFB"/>
    <w:rsid w:val="00734B95"/>
    <w:rsid w:val="00734C7A"/>
    <w:rsid w:val="00734C86"/>
    <w:rsid w:val="00735028"/>
    <w:rsid w:val="007358BA"/>
    <w:rsid w:val="0073620A"/>
    <w:rsid w:val="0073629D"/>
    <w:rsid w:val="00736815"/>
    <w:rsid w:val="00736B5B"/>
    <w:rsid w:val="00741001"/>
    <w:rsid w:val="00741117"/>
    <w:rsid w:val="0074321A"/>
    <w:rsid w:val="00743A83"/>
    <w:rsid w:val="0074440D"/>
    <w:rsid w:val="00744D76"/>
    <w:rsid w:val="00746AD1"/>
    <w:rsid w:val="00746EA1"/>
    <w:rsid w:val="0075056A"/>
    <w:rsid w:val="007509CD"/>
    <w:rsid w:val="00751223"/>
    <w:rsid w:val="00751C8E"/>
    <w:rsid w:val="007524DB"/>
    <w:rsid w:val="00753103"/>
    <w:rsid w:val="00754320"/>
    <w:rsid w:val="00761E5A"/>
    <w:rsid w:val="00764359"/>
    <w:rsid w:val="00765A59"/>
    <w:rsid w:val="00770133"/>
    <w:rsid w:val="007703DC"/>
    <w:rsid w:val="0077054A"/>
    <w:rsid w:val="0077327F"/>
    <w:rsid w:val="00774C93"/>
    <w:rsid w:val="00775B12"/>
    <w:rsid w:val="00775DC6"/>
    <w:rsid w:val="00776080"/>
    <w:rsid w:val="00776C84"/>
    <w:rsid w:val="007775AE"/>
    <w:rsid w:val="00780138"/>
    <w:rsid w:val="00780E35"/>
    <w:rsid w:val="00781972"/>
    <w:rsid w:val="0078312F"/>
    <w:rsid w:val="007832FD"/>
    <w:rsid w:val="0078388E"/>
    <w:rsid w:val="00784E9C"/>
    <w:rsid w:val="007851A8"/>
    <w:rsid w:val="0078606B"/>
    <w:rsid w:val="0078686E"/>
    <w:rsid w:val="00790724"/>
    <w:rsid w:val="00791714"/>
    <w:rsid w:val="00791CE9"/>
    <w:rsid w:val="0079407F"/>
    <w:rsid w:val="007946BC"/>
    <w:rsid w:val="00794B85"/>
    <w:rsid w:val="00794CCB"/>
    <w:rsid w:val="0079511C"/>
    <w:rsid w:val="00797577"/>
    <w:rsid w:val="00797AA7"/>
    <w:rsid w:val="007A159C"/>
    <w:rsid w:val="007A2C7B"/>
    <w:rsid w:val="007A3DFB"/>
    <w:rsid w:val="007A6D09"/>
    <w:rsid w:val="007B002D"/>
    <w:rsid w:val="007B0220"/>
    <w:rsid w:val="007B0261"/>
    <w:rsid w:val="007B03BB"/>
    <w:rsid w:val="007B077D"/>
    <w:rsid w:val="007B3871"/>
    <w:rsid w:val="007B42F9"/>
    <w:rsid w:val="007B452A"/>
    <w:rsid w:val="007B499C"/>
    <w:rsid w:val="007B62C4"/>
    <w:rsid w:val="007B6643"/>
    <w:rsid w:val="007B795A"/>
    <w:rsid w:val="007C03AA"/>
    <w:rsid w:val="007C1300"/>
    <w:rsid w:val="007C171D"/>
    <w:rsid w:val="007C2E15"/>
    <w:rsid w:val="007C3C5A"/>
    <w:rsid w:val="007C4E6A"/>
    <w:rsid w:val="007C57AE"/>
    <w:rsid w:val="007C7906"/>
    <w:rsid w:val="007D0234"/>
    <w:rsid w:val="007D13E7"/>
    <w:rsid w:val="007D1413"/>
    <w:rsid w:val="007D17A7"/>
    <w:rsid w:val="007D17B8"/>
    <w:rsid w:val="007D2974"/>
    <w:rsid w:val="007D2E20"/>
    <w:rsid w:val="007D3CE9"/>
    <w:rsid w:val="007D3D89"/>
    <w:rsid w:val="007D40F6"/>
    <w:rsid w:val="007D5E42"/>
    <w:rsid w:val="007D6372"/>
    <w:rsid w:val="007D6D34"/>
    <w:rsid w:val="007D6F8F"/>
    <w:rsid w:val="007D7FA3"/>
    <w:rsid w:val="007E17EC"/>
    <w:rsid w:val="007E1E88"/>
    <w:rsid w:val="007E2A2C"/>
    <w:rsid w:val="007E37A1"/>
    <w:rsid w:val="007E38B4"/>
    <w:rsid w:val="007E42E4"/>
    <w:rsid w:val="007E4797"/>
    <w:rsid w:val="007E4EB3"/>
    <w:rsid w:val="007E544D"/>
    <w:rsid w:val="007E5EAF"/>
    <w:rsid w:val="007E72AE"/>
    <w:rsid w:val="007E76FB"/>
    <w:rsid w:val="007E7E20"/>
    <w:rsid w:val="007E7EF5"/>
    <w:rsid w:val="007F07DD"/>
    <w:rsid w:val="007F2E54"/>
    <w:rsid w:val="007F3C30"/>
    <w:rsid w:val="007F3CE2"/>
    <w:rsid w:val="007F45F4"/>
    <w:rsid w:val="007F6444"/>
    <w:rsid w:val="007F6C55"/>
    <w:rsid w:val="007F6F3E"/>
    <w:rsid w:val="007F7557"/>
    <w:rsid w:val="007F7D85"/>
    <w:rsid w:val="00800043"/>
    <w:rsid w:val="00800BDD"/>
    <w:rsid w:val="00801066"/>
    <w:rsid w:val="008018F9"/>
    <w:rsid w:val="00801BA9"/>
    <w:rsid w:val="008021B0"/>
    <w:rsid w:val="00803AC4"/>
    <w:rsid w:val="0080430F"/>
    <w:rsid w:val="00804B15"/>
    <w:rsid w:val="00804FA9"/>
    <w:rsid w:val="00805C0B"/>
    <w:rsid w:val="00805EB7"/>
    <w:rsid w:val="00806A19"/>
    <w:rsid w:val="00810C7E"/>
    <w:rsid w:val="008127F1"/>
    <w:rsid w:val="00812B4A"/>
    <w:rsid w:val="00812F07"/>
    <w:rsid w:val="00814CF4"/>
    <w:rsid w:val="00814FB2"/>
    <w:rsid w:val="00816520"/>
    <w:rsid w:val="0081673C"/>
    <w:rsid w:val="008207C0"/>
    <w:rsid w:val="008211BB"/>
    <w:rsid w:val="00821BF1"/>
    <w:rsid w:val="00822BB9"/>
    <w:rsid w:val="00823C9A"/>
    <w:rsid w:val="008254F2"/>
    <w:rsid w:val="00825917"/>
    <w:rsid w:val="00826279"/>
    <w:rsid w:val="008263FD"/>
    <w:rsid w:val="00827245"/>
    <w:rsid w:val="008273C0"/>
    <w:rsid w:val="00827558"/>
    <w:rsid w:val="0082774E"/>
    <w:rsid w:val="008306DA"/>
    <w:rsid w:val="00830B12"/>
    <w:rsid w:val="008312D5"/>
    <w:rsid w:val="00831A9D"/>
    <w:rsid w:val="008335A0"/>
    <w:rsid w:val="0083414C"/>
    <w:rsid w:val="00834775"/>
    <w:rsid w:val="00835003"/>
    <w:rsid w:val="0083521D"/>
    <w:rsid w:val="00835EED"/>
    <w:rsid w:val="00837858"/>
    <w:rsid w:val="008379D7"/>
    <w:rsid w:val="00837A4F"/>
    <w:rsid w:val="00837E2F"/>
    <w:rsid w:val="0084004D"/>
    <w:rsid w:val="00840169"/>
    <w:rsid w:val="008403CA"/>
    <w:rsid w:val="00840549"/>
    <w:rsid w:val="0084063B"/>
    <w:rsid w:val="008407D5"/>
    <w:rsid w:val="00840BAB"/>
    <w:rsid w:val="0084166E"/>
    <w:rsid w:val="008426D1"/>
    <w:rsid w:val="0084330C"/>
    <w:rsid w:val="00843F00"/>
    <w:rsid w:val="00844712"/>
    <w:rsid w:val="00844EF4"/>
    <w:rsid w:val="00844F26"/>
    <w:rsid w:val="00845486"/>
    <w:rsid w:val="008459FB"/>
    <w:rsid w:val="0084603B"/>
    <w:rsid w:val="00846554"/>
    <w:rsid w:val="008469A3"/>
    <w:rsid w:val="00846C95"/>
    <w:rsid w:val="0084794E"/>
    <w:rsid w:val="00847EE7"/>
    <w:rsid w:val="00851BB4"/>
    <w:rsid w:val="0085238B"/>
    <w:rsid w:val="008525FF"/>
    <w:rsid w:val="0085274F"/>
    <w:rsid w:val="008528EC"/>
    <w:rsid w:val="0085294E"/>
    <w:rsid w:val="00852F34"/>
    <w:rsid w:val="008539CA"/>
    <w:rsid w:val="008544FB"/>
    <w:rsid w:val="00854B5A"/>
    <w:rsid w:val="00855E19"/>
    <w:rsid w:val="00855FD5"/>
    <w:rsid w:val="00857055"/>
    <w:rsid w:val="0085750D"/>
    <w:rsid w:val="00861925"/>
    <w:rsid w:val="008636D8"/>
    <w:rsid w:val="00863774"/>
    <w:rsid w:val="00863F88"/>
    <w:rsid w:val="0086432C"/>
    <w:rsid w:val="008645FD"/>
    <w:rsid w:val="00864842"/>
    <w:rsid w:val="0086510C"/>
    <w:rsid w:val="00865456"/>
    <w:rsid w:val="00866DE0"/>
    <w:rsid w:val="0086743A"/>
    <w:rsid w:val="00867698"/>
    <w:rsid w:val="00870373"/>
    <w:rsid w:val="008703C3"/>
    <w:rsid w:val="00870F1E"/>
    <w:rsid w:val="008710D9"/>
    <w:rsid w:val="008736F1"/>
    <w:rsid w:val="008736F2"/>
    <w:rsid w:val="00873EB5"/>
    <w:rsid w:val="0087438B"/>
    <w:rsid w:val="0087450C"/>
    <w:rsid w:val="00876E7C"/>
    <w:rsid w:val="00877FDC"/>
    <w:rsid w:val="00880A34"/>
    <w:rsid w:val="00881AF1"/>
    <w:rsid w:val="008857DD"/>
    <w:rsid w:val="008860CD"/>
    <w:rsid w:val="0088665A"/>
    <w:rsid w:val="00886695"/>
    <w:rsid w:val="00886DA1"/>
    <w:rsid w:val="008919A1"/>
    <w:rsid w:val="00891B12"/>
    <w:rsid w:val="00891BDD"/>
    <w:rsid w:val="0089380E"/>
    <w:rsid w:val="00893C07"/>
    <w:rsid w:val="008946F2"/>
    <w:rsid w:val="0089675E"/>
    <w:rsid w:val="008976FD"/>
    <w:rsid w:val="008A12A0"/>
    <w:rsid w:val="008A2373"/>
    <w:rsid w:val="008A2509"/>
    <w:rsid w:val="008A4642"/>
    <w:rsid w:val="008A5192"/>
    <w:rsid w:val="008A5A4A"/>
    <w:rsid w:val="008A665B"/>
    <w:rsid w:val="008A6D5F"/>
    <w:rsid w:val="008B1189"/>
    <w:rsid w:val="008B142C"/>
    <w:rsid w:val="008B2943"/>
    <w:rsid w:val="008B2ED7"/>
    <w:rsid w:val="008B51BD"/>
    <w:rsid w:val="008B55E4"/>
    <w:rsid w:val="008B6B9A"/>
    <w:rsid w:val="008B746E"/>
    <w:rsid w:val="008B7ACC"/>
    <w:rsid w:val="008C08D1"/>
    <w:rsid w:val="008C0AC0"/>
    <w:rsid w:val="008C12AC"/>
    <w:rsid w:val="008C1827"/>
    <w:rsid w:val="008C1A67"/>
    <w:rsid w:val="008C2BEC"/>
    <w:rsid w:val="008C2E97"/>
    <w:rsid w:val="008C3EEA"/>
    <w:rsid w:val="008C5115"/>
    <w:rsid w:val="008C5D57"/>
    <w:rsid w:val="008C629F"/>
    <w:rsid w:val="008D0111"/>
    <w:rsid w:val="008D01BD"/>
    <w:rsid w:val="008D0909"/>
    <w:rsid w:val="008D12B4"/>
    <w:rsid w:val="008D15AF"/>
    <w:rsid w:val="008D1975"/>
    <w:rsid w:val="008D28D3"/>
    <w:rsid w:val="008D3CE2"/>
    <w:rsid w:val="008D40E9"/>
    <w:rsid w:val="008D46D8"/>
    <w:rsid w:val="008D5108"/>
    <w:rsid w:val="008D6361"/>
    <w:rsid w:val="008E048C"/>
    <w:rsid w:val="008E2110"/>
    <w:rsid w:val="008E2F00"/>
    <w:rsid w:val="008E312B"/>
    <w:rsid w:val="008E3387"/>
    <w:rsid w:val="008E38CE"/>
    <w:rsid w:val="008E3DAD"/>
    <w:rsid w:val="008E5521"/>
    <w:rsid w:val="008E5C8B"/>
    <w:rsid w:val="008E6265"/>
    <w:rsid w:val="008F06B8"/>
    <w:rsid w:val="008F20E0"/>
    <w:rsid w:val="008F2274"/>
    <w:rsid w:val="008F3D16"/>
    <w:rsid w:val="008F440C"/>
    <w:rsid w:val="008F4B7E"/>
    <w:rsid w:val="008F5514"/>
    <w:rsid w:val="008F5D18"/>
    <w:rsid w:val="008F6831"/>
    <w:rsid w:val="008F69F5"/>
    <w:rsid w:val="008F6CE9"/>
    <w:rsid w:val="008F7D9A"/>
    <w:rsid w:val="00900C4F"/>
    <w:rsid w:val="00901092"/>
    <w:rsid w:val="00901139"/>
    <w:rsid w:val="00902217"/>
    <w:rsid w:val="00902288"/>
    <w:rsid w:val="009032FD"/>
    <w:rsid w:val="00903E70"/>
    <w:rsid w:val="00903EA1"/>
    <w:rsid w:val="00904361"/>
    <w:rsid w:val="0090670F"/>
    <w:rsid w:val="009074CC"/>
    <w:rsid w:val="00907E84"/>
    <w:rsid w:val="00911D02"/>
    <w:rsid w:val="00912B54"/>
    <w:rsid w:val="00914681"/>
    <w:rsid w:val="009146CD"/>
    <w:rsid w:val="00914AB3"/>
    <w:rsid w:val="009159EE"/>
    <w:rsid w:val="009174C8"/>
    <w:rsid w:val="00917539"/>
    <w:rsid w:val="00917AB8"/>
    <w:rsid w:val="009214E0"/>
    <w:rsid w:val="00921BF6"/>
    <w:rsid w:val="00923CD8"/>
    <w:rsid w:val="00923DED"/>
    <w:rsid w:val="00923FF3"/>
    <w:rsid w:val="00926392"/>
    <w:rsid w:val="009278F1"/>
    <w:rsid w:val="009303C1"/>
    <w:rsid w:val="00930AC2"/>
    <w:rsid w:val="00931924"/>
    <w:rsid w:val="0093381F"/>
    <w:rsid w:val="00933B70"/>
    <w:rsid w:val="009352B2"/>
    <w:rsid w:val="0093536A"/>
    <w:rsid w:val="00935718"/>
    <w:rsid w:val="00936D30"/>
    <w:rsid w:val="009400A8"/>
    <w:rsid w:val="009408A8"/>
    <w:rsid w:val="009417B1"/>
    <w:rsid w:val="00941CBB"/>
    <w:rsid w:val="009434A3"/>
    <w:rsid w:val="00943848"/>
    <w:rsid w:val="00943A06"/>
    <w:rsid w:val="00943C4E"/>
    <w:rsid w:val="00945678"/>
    <w:rsid w:val="00945929"/>
    <w:rsid w:val="00945E26"/>
    <w:rsid w:val="0094774B"/>
    <w:rsid w:val="00947918"/>
    <w:rsid w:val="00951A02"/>
    <w:rsid w:val="00952772"/>
    <w:rsid w:val="00952EF5"/>
    <w:rsid w:val="00954A72"/>
    <w:rsid w:val="00954BC7"/>
    <w:rsid w:val="009557D4"/>
    <w:rsid w:val="009563A3"/>
    <w:rsid w:val="009563B6"/>
    <w:rsid w:val="00957037"/>
    <w:rsid w:val="0096108E"/>
    <w:rsid w:val="0096199F"/>
    <w:rsid w:val="009619EE"/>
    <w:rsid w:val="00963939"/>
    <w:rsid w:val="00963BAC"/>
    <w:rsid w:val="00963C7C"/>
    <w:rsid w:val="00964986"/>
    <w:rsid w:val="0096539C"/>
    <w:rsid w:val="00966EB3"/>
    <w:rsid w:val="00966F0C"/>
    <w:rsid w:val="009671A8"/>
    <w:rsid w:val="00967D3B"/>
    <w:rsid w:val="00970955"/>
    <w:rsid w:val="00970CED"/>
    <w:rsid w:val="009710C4"/>
    <w:rsid w:val="00972DCE"/>
    <w:rsid w:val="00972EDA"/>
    <w:rsid w:val="009744AD"/>
    <w:rsid w:val="00974E23"/>
    <w:rsid w:val="00975C96"/>
    <w:rsid w:val="00977687"/>
    <w:rsid w:val="0098081C"/>
    <w:rsid w:val="00980DB6"/>
    <w:rsid w:val="00981C80"/>
    <w:rsid w:val="00982688"/>
    <w:rsid w:val="00984A54"/>
    <w:rsid w:val="00985D4F"/>
    <w:rsid w:val="00986C40"/>
    <w:rsid w:val="009873C2"/>
    <w:rsid w:val="009878ED"/>
    <w:rsid w:val="00987E0A"/>
    <w:rsid w:val="00990290"/>
    <w:rsid w:val="009932F5"/>
    <w:rsid w:val="00994AE6"/>
    <w:rsid w:val="00995EFD"/>
    <w:rsid w:val="009A10D3"/>
    <w:rsid w:val="009A1B94"/>
    <w:rsid w:val="009A205F"/>
    <w:rsid w:val="009A249B"/>
    <w:rsid w:val="009A3414"/>
    <w:rsid w:val="009A44E5"/>
    <w:rsid w:val="009A532A"/>
    <w:rsid w:val="009A5D36"/>
    <w:rsid w:val="009A774A"/>
    <w:rsid w:val="009B0961"/>
    <w:rsid w:val="009B1413"/>
    <w:rsid w:val="009B39CF"/>
    <w:rsid w:val="009B4D9A"/>
    <w:rsid w:val="009B59F8"/>
    <w:rsid w:val="009B6096"/>
    <w:rsid w:val="009C185E"/>
    <w:rsid w:val="009C1DD0"/>
    <w:rsid w:val="009C2EFE"/>
    <w:rsid w:val="009C33E7"/>
    <w:rsid w:val="009C3A65"/>
    <w:rsid w:val="009C4D6A"/>
    <w:rsid w:val="009C549D"/>
    <w:rsid w:val="009C6FA9"/>
    <w:rsid w:val="009C7B23"/>
    <w:rsid w:val="009D002E"/>
    <w:rsid w:val="009D106F"/>
    <w:rsid w:val="009D2C87"/>
    <w:rsid w:val="009D2F71"/>
    <w:rsid w:val="009D3BB5"/>
    <w:rsid w:val="009D4154"/>
    <w:rsid w:val="009D415E"/>
    <w:rsid w:val="009D470D"/>
    <w:rsid w:val="009D6AA5"/>
    <w:rsid w:val="009D7097"/>
    <w:rsid w:val="009D7207"/>
    <w:rsid w:val="009D7960"/>
    <w:rsid w:val="009D7B9F"/>
    <w:rsid w:val="009E03D5"/>
    <w:rsid w:val="009E07F2"/>
    <w:rsid w:val="009E0DDA"/>
    <w:rsid w:val="009E0E2D"/>
    <w:rsid w:val="009E19E7"/>
    <w:rsid w:val="009E1CED"/>
    <w:rsid w:val="009E1EA1"/>
    <w:rsid w:val="009E2FDA"/>
    <w:rsid w:val="009E5CD2"/>
    <w:rsid w:val="009E6403"/>
    <w:rsid w:val="009E716A"/>
    <w:rsid w:val="009E7BB1"/>
    <w:rsid w:val="009F0B2C"/>
    <w:rsid w:val="009F1B29"/>
    <w:rsid w:val="009F2C19"/>
    <w:rsid w:val="009F5669"/>
    <w:rsid w:val="009F5E06"/>
    <w:rsid w:val="009F6088"/>
    <w:rsid w:val="009F6E68"/>
    <w:rsid w:val="009F78E9"/>
    <w:rsid w:val="00A00083"/>
    <w:rsid w:val="00A01C31"/>
    <w:rsid w:val="00A01F47"/>
    <w:rsid w:val="00A03B34"/>
    <w:rsid w:val="00A05339"/>
    <w:rsid w:val="00A0752C"/>
    <w:rsid w:val="00A1188F"/>
    <w:rsid w:val="00A11898"/>
    <w:rsid w:val="00A11FD2"/>
    <w:rsid w:val="00A138BA"/>
    <w:rsid w:val="00A14CF0"/>
    <w:rsid w:val="00A1589B"/>
    <w:rsid w:val="00A15993"/>
    <w:rsid w:val="00A17C7B"/>
    <w:rsid w:val="00A20BA5"/>
    <w:rsid w:val="00A21A72"/>
    <w:rsid w:val="00A23A06"/>
    <w:rsid w:val="00A23A2F"/>
    <w:rsid w:val="00A23ECF"/>
    <w:rsid w:val="00A241A6"/>
    <w:rsid w:val="00A24BE6"/>
    <w:rsid w:val="00A25464"/>
    <w:rsid w:val="00A26D7C"/>
    <w:rsid w:val="00A271D3"/>
    <w:rsid w:val="00A2724A"/>
    <w:rsid w:val="00A279DE"/>
    <w:rsid w:val="00A27F04"/>
    <w:rsid w:val="00A300F7"/>
    <w:rsid w:val="00A3021B"/>
    <w:rsid w:val="00A3069B"/>
    <w:rsid w:val="00A30C5F"/>
    <w:rsid w:val="00A310F6"/>
    <w:rsid w:val="00A322DB"/>
    <w:rsid w:val="00A33589"/>
    <w:rsid w:val="00A33A7F"/>
    <w:rsid w:val="00A34352"/>
    <w:rsid w:val="00A34A78"/>
    <w:rsid w:val="00A35FEE"/>
    <w:rsid w:val="00A379D0"/>
    <w:rsid w:val="00A37E4D"/>
    <w:rsid w:val="00A40722"/>
    <w:rsid w:val="00A4098A"/>
    <w:rsid w:val="00A40C3D"/>
    <w:rsid w:val="00A4105A"/>
    <w:rsid w:val="00A4105F"/>
    <w:rsid w:val="00A42D44"/>
    <w:rsid w:val="00A43AD9"/>
    <w:rsid w:val="00A45218"/>
    <w:rsid w:val="00A4620F"/>
    <w:rsid w:val="00A46388"/>
    <w:rsid w:val="00A477BF"/>
    <w:rsid w:val="00A512F6"/>
    <w:rsid w:val="00A52D1B"/>
    <w:rsid w:val="00A52D51"/>
    <w:rsid w:val="00A52FDD"/>
    <w:rsid w:val="00A52FE5"/>
    <w:rsid w:val="00A53968"/>
    <w:rsid w:val="00A543E6"/>
    <w:rsid w:val="00A54796"/>
    <w:rsid w:val="00A562B3"/>
    <w:rsid w:val="00A57458"/>
    <w:rsid w:val="00A633B2"/>
    <w:rsid w:val="00A638DF"/>
    <w:rsid w:val="00A64A6E"/>
    <w:rsid w:val="00A662A2"/>
    <w:rsid w:val="00A66A63"/>
    <w:rsid w:val="00A674F7"/>
    <w:rsid w:val="00A679CD"/>
    <w:rsid w:val="00A70210"/>
    <w:rsid w:val="00A71064"/>
    <w:rsid w:val="00A71D03"/>
    <w:rsid w:val="00A71F89"/>
    <w:rsid w:val="00A72F7F"/>
    <w:rsid w:val="00A737C3"/>
    <w:rsid w:val="00A73EC8"/>
    <w:rsid w:val="00A74871"/>
    <w:rsid w:val="00A75235"/>
    <w:rsid w:val="00A75A22"/>
    <w:rsid w:val="00A75D81"/>
    <w:rsid w:val="00A7736D"/>
    <w:rsid w:val="00A809C2"/>
    <w:rsid w:val="00A80A59"/>
    <w:rsid w:val="00A8335A"/>
    <w:rsid w:val="00A850B4"/>
    <w:rsid w:val="00A85409"/>
    <w:rsid w:val="00A855BE"/>
    <w:rsid w:val="00A859AC"/>
    <w:rsid w:val="00A866A6"/>
    <w:rsid w:val="00A879F7"/>
    <w:rsid w:val="00A90156"/>
    <w:rsid w:val="00A9078E"/>
    <w:rsid w:val="00A91853"/>
    <w:rsid w:val="00A92540"/>
    <w:rsid w:val="00A9413F"/>
    <w:rsid w:val="00A9432E"/>
    <w:rsid w:val="00A95372"/>
    <w:rsid w:val="00A9556D"/>
    <w:rsid w:val="00A958B0"/>
    <w:rsid w:val="00A95BD5"/>
    <w:rsid w:val="00A96271"/>
    <w:rsid w:val="00A963B1"/>
    <w:rsid w:val="00A96A23"/>
    <w:rsid w:val="00AA1511"/>
    <w:rsid w:val="00AA1587"/>
    <w:rsid w:val="00AA478A"/>
    <w:rsid w:val="00AA4796"/>
    <w:rsid w:val="00AA5AF2"/>
    <w:rsid w:val="00AA7082"/>
    <w:rsid w:val="00AA7411"/>
    <w:rsid w:val="00AA7A0D"/>
    <w:rsid w:val="00AB18B5"/>
    <w:rsid w:val="00AB1FF8"/>
    <w:rsid w:val="00AB2A8D"/>
    <w:rsid w:val="00AB4E31"/>
    <w:rsid w:val="00AB57E1"/>
    <w:rsid w:val="00AB59CC"/>
    <w:rsid w:val="00AB5AFF"/>
    <w:rsid w:val="00AB5F7B"/>
    <w:rsid w:val="00AB683A"/>
    <w:rsid w:val="00AB6B5D"/>
    <w:rsid w:val="00AB7401"/>
    <w:rsid w:val="00AB7499"/>
    <w:rsid w:val="00AC037D"/>
    <w:rsid w:val="00AC054B"/>
    <w:rsid w:val="00AC16B1"/>
    <w:rsid w:val="00AC1C1F"/>
    <w:rsid w:val="00AC2616"/>
    <w:rsid w:val="00AC3175"/>
    <w:rsid w:val="00AC368C"/>
    <w:rsid w:val="00AC452B"/>
    <w:rsid w:val="00AC6ABC"/>
    <w:rsid w:val="00AC73F5"/>
    <w:rsid w:val="00AD0328"/>
    <w:rsid w:val="00AD0E93"/>
    <w:rsid w:val="00AD121E"/>
    <w:rsid w:val="00AD33E5"/>
    <w:rsid w:val="00AD457F"/>
    <w:rsid w:val="00AD6DB4"/>
    <w:rsid w:val="00AD6E54"/>
    <w:rsid w:val="00AD73B0"/>
    <w:rsid w:val="00AD7A9E"/>
    <w:rsid w:val="00AD7C4E"/>
    <w:rsid w:val="00AE1828"/>
    <w:rsid w:val="00AE1D42"/>
    <w:rsid w:val="00AE2C13"/>
    <w:rsid w:val="00AE44CB"/>
    <w:rsid w:val="00AE494C"/>
    <w:rsid w:val="00AE5437"/>
    <w:rsid w:val="00AE5FC1"/>
    <w:rsid w:val="00AE669E"/>
    <w:rsid w:val="00AE7101"/>
    <w:rsid w:val="00AE734E"/>
    <w:rsid w:val="00AE763E"/>
    <w:rsid w:val="00AF056E"/>
    <w:rsid w:val="00AF3974"/>
    <w:rsid w:val="00AF5927"/>
    <w:rsid w:val="00AF5F4A"/>
    <w:rsid w:val="00AF6127"/>
    <w:rsid w:val="00AF70A9"/>
    <w:rsid w:val="00B0034F"/>
    <w:rsid w:val="00B03130"/>
    <w:rsid w:val="00B03CCF"/>
    <w:rsid w:val="00B05DE0"/>
    <w:rsid w:val="00B05E50"/>
    <w:rsid w:val="00B06599"/>
    <w:rsid w:val="00B123E1"/>
    <w:rsid w:val="00B129E6"/>
    <w:rsid w:val="00B144C9"/>
    <w:rsid w:val="00B16254"/>
    <w:rsid w:val="00B165EA"/>
    <w:rsid w:val="00B168BC"/>
    <w:rsid w:val="00B176A2"/>
    <w:rsid w:val="00B17C52"/>
    <w:rsid w:val="00B20426"/>
    <w:rsid w:val="00B206CB"/>
    <w:rsid w:val="00B20C35"/>
    <w:rsid w:val="00B21FC8"/>
    <w:rsid w:val="00B2208C"/>
    <w:rsid w:val="00B229A2"/>
    <w:rsid w:val="00B23882"/>
    <w:rsid w:val="00B258DA"/>
    <w:rsid w:val="00B25915"/>
    <w:rsid w:val="00B272DA"/>
    <w:rsid w:val="00B3041A"/>
    <w:rsid w:val="00B3064B"/>
    <w:rsid w:val="00B31C18"/>
    <w:rsid w:val="00B32DB3"/>
    <w:rsid w:val="00B33776"/>
    <w:rsid w:val="00B3381F"/>
    <w:rsid w:val="00B33847"/>
    <w:rsid w:val="00B33B3E"/>
    <w:rsid w:val="00B349EF"/>
    <w:rsid w:val="00B3570F"/>
    <w:rsid w:val="00B35D25"/>
    <w:rsid w:val="00B371C8"/>
    <w:rsid w:val="00B37691"/>
    <w:rsid w:val="00B37868"/>
    <w:rsid w:val="00B407AB"/>
    <w:rsid w:val="00B414EA"/>
    <w:rsid w:val="00B41C5A"/>
    <w:rsid w:val="00B42042"/>
    <w:rsid w:val="00B43794"/>
    <w:rsid w:val="00B437B1"/>
    <w:rsid w:val="00B43BD4"/>
    <w:rsid w:val="00B4428D"/>
    <w:rsid w:val="00B46232"/>
    <w:rsid w:val="00B50FC3"/>
    <w:rsid w:val="00B510D4"/>
    <w:rsid w:val="00B51DE4"/>
    <w:rsid w:val="00B5264D"/>
    <w:rsid w:val="00B52D81"/>
    <w:rsid w:val="00B54893"/>
    <w:rsid w:val="00B574ED"/>
    <w:rsid w:val="00B57758"/>
    <w:rsid w:val="00B5791F"/>
    <w:rsid w:val="00B57FB4"/>
    <w:rsid w:val="00B606BA"/>
    <w:rsid w:val="00B60AAB"/>
    <w:rsid w:val="00B62199"/>
    <w:rsid w:val="00B62D5C"/>
    <w:rsid w:val="00B64135"/>
    <w:rsid w:val="00B64809"/>
    <w:rsid w:val="00B65F30"/>
    <w:rsid w:val="00B66ED6"/>
    <w:rsid w:val="00B675F7"/>
    <w:rsid w:val="00B70D59"/>
    <w:rsid w:val="00B7172B"/>
    <w:rsid w:val="00B719C5"/>
    <w:rsid w:val="00B7226D"/>
    <w:rsid w:val="00B7346D"/>
    <w:rsid w:val="00B73539"/>
    <w:rsid w:val="00B741DE"/>
    <w:rsid w:val="00B76010"/>
    <w:rsid w:val="00B767FD"/>
    <w:rsid w:val="00B76930"/>
    <w:rsid w:val="00B76D36"/>
    <w:rsid w:val="00B770E6"/>
    <w:rsid w:val="00B80F80"/>
    <w:rsid w:val="00B8201F"/>
    <w:rsid w:val="00B83455"/>
    <w:rsid w:val="00B8617A"/>
    <w:rsid w:val="00B86B2D"/>
    <w:rsid w:val="00B87E81"/>
    <w:rsid w:val="00B87F3E"/>
    <w:rsid w:val="00B90845"/>
    <w:rsid w:val="00B92DC5"/>
    <w:rsid w:val="00B930E7"/>
    <w:rsid w:val="00B939B8"/>
    <w:rsid w:val="00B94799"/>
    <w:rsid w:val="00B94FE6"/>
    <w:rsid w:val="00B95BD2"/>
    <w:rsid w:val="00B95DAE"/>
    <w:rsid w:val="00B96AEB"/>
    <w:rsid w:val="00B97BC3"/>
    <w:rsid w:val="00BA091A"/>
    <w:rsid w:val="00BA1134"/>
    <w:rsid w:val="00BA442C"/>
    <w:rsid w:val="00BA5B92"/>
    <w:rsid w:val="00BA6D6B"/>
    <w:rsid w:val="00BA70F4"/>
    <w:rsid w:val="00BA7352"/>
    <w:rsid w:val="00BA7669"/>
    <w:rsid w:val="00BA7E20"/>
    <w:rsid w:val="00BA7E6C"/>
    <w:rsid w:val="00BA7FDF"/>
    <w:rsid w:val="00BB164C"/>
    <w:rsid w:val="00BB1954"/>
    <w:rsid w:val="00BB1BC4"/>
    <w:rsid w:val="00BB1EB6"/>
    <w:rsid w:val="00BB200B"/>
    <w:rsid w:val="00BB3508"/>
    <w:rsid w:val="00BB3CF0"/>
    <w:rsid w:val="00BB43FF"/>
    <w:rsid w:val="00BB45AB"/>
    <w:rsid w:val="00BB649B"/>
    <w:rsid w:val="00BB69CA"/>
    <w:rsid w:val="00BB7B4E"/>
    <w:rsid w:val="00BB7D35"/>
    <w:rsid w:val="00BC0718"/>
    <w:rsid w:val="00BC0CA5"/>
    <w:rsid w:val="00BC0CDA"/>
    <w:rsid w:val="00BC3564"/>
    <w:rsid w:val="00BC3DDA"/>
    <w:rsid w:val="00BC5F94"/>
    <w:rsid w:val="00BC64B5"/>
    <w:rsid w:val="00BC65C9"/>
    <w:rsid w:val="00BC67B4"/>
    <w:rsid w:val="00BC68A0"/>
    <w:rsid w:val="00BC6D0F"/>
    <w:rsid w:val="00BC7889"/>
    <w:rsid w:val="00BD0192"/>
    <w:rsid w:val="00BD0569"/>
    <w:rsid w:val="00BD1A7A"/>
    <w:rsid w:val="00BD2EC0"/>
    <w:rsid w:val="00BD35C1"/>
    <w:rsid w:val="00BD3EBA"/>
    <w:rsid w:val="00BD49F5"/>
    <w:rsid w:val="00BD5243"/>
    <w:rsid w:val="00BD6E9C"/>
    <w:rsid w:val="00BD7430"/>
    <w:rsid w:val="00BE028C"/>
    <w:rsid w:val="00BE066B"/>
    <w:rsid w:val="00BE0CBA"/>
    <w:rsid w:val="00BE1065"/>
    <w:rsid w:val="00BE229F"/>
    <w:rsid w:val="00BE2C4B"/>
    <w:rsid w:val="00BE2C4D"/>
    <w:rsid w:val="00BE4E69"/>
    <w:rsid w:val="00BE5FE4"/>
    <w:rsid w:val="00BF095D"/>
    <w:rsid w:val="00BF3BE8"/>
    <w:rsid w:val="00BF4319"/>
    <w:rsid w:val="00BF47E6"/>
    <w:rsid w:val="00BF4ADC"/>
    <w:rsid w:val="00BF501B"/>
    <w:rsid w:val="00BF50F5"/>
    <w:rsid w:val="00BF5AAF"/>
    <w:rsid w:val="00BF5D41"/>
    <w:rsid w:val="00BF6F18"/>
    <w:rsid w:val="00C00A1F"/>
    <w:rsid w:val="00C022BF"/>
    <w:rsid w:val="00C02496"/>
    <w:rsid w:val="00C02DE4"/>
    <w:rsid w:val="00C04B09"/>
    <w:rsid w:val="00C057FF"/>
    <w:rsid w:val="00C06044"/>
    <w:rsid w:val="00C060D8"/>
    <w:rsid w:val="00C073FC"/>
    <w:rsid w:val="00C07462"/>
    <w:rsid w:val="00C07DBD"/>
    <w:rsid w:val="00C10F36"/>
    <w:rsid w:val="00C1265A"/>
    <w:rsid w:val="00C14338"/>
    <w:rsid w:val="00C14435"/>
    <w:rsid w:val="00C14F9B"/>
    <w:rsid w:val="00C14FE7"/>
    <w:rsid w:val="00C15982"/>
    <w:rsid w:val="00C15F92"/>
    <w:rsid w:val="00C17903"/>
    <w:rsid w:val="00C21027"/>
    <w:rsid w:val="00C2157D"/>
    <w:rsid w:val="00C22909"/>
    <w:rsid w:val="00C22E12"/>
    <w:rsid w:val="00C2344F"/>
    <w:rsid w:val="00C23A15"/>
    <w:rsid w:val="00C25E24"/>
    <w:rsid w:val="00C25FDB"/>
    <w:rsid w:val="00C26246"/>
    <w:rsid w:val="00C26CA2"/>
    <w:rsid w:val="00C270D6"/>
    <w:rsid w:val="00C30233"/>
    <w:rsid w:val="00C3086B"/>
    <w:rsid w:val="00C30F4D"/>
    <w:rsid w:val="00C326D9"/>
    <w:rsid w:val="00C32B75"/>
    <w:rsid w:val="00C33148"/>
    <w:rsid w:val="00C33168"/>
    <w:rsid w:val="00C3369A"/>
    <w:rsid w:val="00C34B80"/>
    <w:rsid w:val="00C35093"/>
    <w:rsid w:val="00C35BC4"/>
    <w:rsid w:val="00C41EF9"/>
    <w:rsid w:val="00C42647"/>
    <w:rsid w:val="00C427C9"/>
    <w:rsid w:val="00C4512A"/>
    <w:rsid w:val="00C45134"/>
    <w:rsid w:val="00C45D6C"/>
    <w:rsid w:val="00C46F84"/>
    <w:rsid w:val="00C471F0"/>
    <w:rsid w:val="00C508B0"/>
    <w:rsid w:val="00C51707"/>
    <w:rsid w:val="00C54751"/>
    <w:rsid w:val="00C5503F"/>
    <w:rsid w:val="00C55B92"/>
    <w:rsid w:val="00C5646A"/>
    <w:rsid w:val="00C605FD"/>
    <w:rsid w:val="00C6092E"/>
    <w:rsid w:val="00C61AB6"/>
    <w:rsid w:val="00C6247A"/>
    <w:rsid w:val="00C624A9"/>
    <w:rsid w:val="00C631C6"/>
    <w:rsid w:val="00C63773"/>
    <w:rsid w:val="00C641F0"/>
    <w:rsid w:val="00C6591E"/>
    <w:rsid w:val="00C662F8"/>
    <w:rsid w:val="00C664EB"/>
    <w:rsid w:val="00C665BE"/>
    <w:rsid w:val="00C66B40"/>
    <w:rsid w:val="00C6707E"/>
    <w:rsid w:val="00C67328"/>
    <w:rsid w:val="00C72287"/>
    <w:rsid w:val="00C72B0C"/>
    <w:rsid w:val="00C73970"/>
    <w:rsid w:val="00C73ACE"/>
    <w:rsid w:val="00C7531D"/>
    <w:rsid w:val="00C75CAF"/>
    <w:rsid w:val="00C76827"/>
    <w:rsid w:val="00C77550"/>
    <w:rsid w:val="00C77654"/>
    <w:rsid w:val="00C80697"/>
    <w:rsid w:val="00C80B09"/>
    <w:rsid w:val="00C82564"/>
    <w:rsid w:val="00C8283E"/>
    <w:rsid w:val="00C82969"/>
    <w:rsid w:val="00C84237"/>
    <w:rsid w:val="00C85B76"/>
    <w:rsid w:val="00C86A62"/>
    <w:rsid w:val="00C91AFA"/>
    <w:rsid w:val="00C92065"/>
    <w:rsid w:val="00C93823"/>
    <w:rsid w:val="00C95CE6"/>
    <w:rsid w:val="00C97A95"/>
    <w:rsid w:val="00CA01A6"/>
    <w:rsid w:val="00CA0D6A"/>
    <w:rsid w:val="00CA14E8"/>
    <w:rsid w:val="00CA1D61"/>
    <w:rsid w:val="00CA2176"/>
    <w:rsid w:val="00CA3D49"/>
    <w:rsid w:val="00CA40F5"/>
    <w:rsid w:val="00CA4395"/>
    <w:rsid w:val="00CA6EF7"/>
    <w:rsid w:val="00CA7341"/>
    <w:rsid w:val="00CA7D8A"/>
    <w:rsid w:val="00CA7DDF"/>
    <w:rsid w:val="00CB088A"/>
    <w:rsid w:val="00CB1300"/>
    <w:rsid w:val="00CB23EA"/>
    <w:rsid w:val="00CB2E73"/>
    <w:rsid w:val="00CB3E28"/>
    <w:rsid w:val="00CB4873"/>
    <w:rsid w:val="00CB5622"/>
    <w:rsid w:val="00CB5774"/>
    <w:rsid w:val="00CB59E4"/>
    <w:rsid w:val="00CB5D06"/>
    <w:rsid w:val="00CB6CF3"/>
    <w:rsid w:val="00CC0749"/>
    <w:rsid w:val="00CC0883"/>
    <w:rsid w:val="00CC2BE6"/>
    <w:rsid w:val="00CC38B8"/>
    <w:rsid w:val="00CC4C38"/>
    <w:rsid w:val="00CC52CD"/>
    <w:rsid w:val="00CC5C3D"/>
    <w:rsid w:val="00CC5D82"/>
    <w:rsid w:val="00CC6279"/>
    <w:rsid w:val="00CC6CB8"/>
    <w:rsid w:val="00CD09D0"/>
    <w:rsid w:val="00CD0C05"/>
    <w:rsid w:val="00CD2837"/>
    <w:rsid w:val="00CD38F4"/>
    <w:rsid w:val="00CD3D77"/>
    <w:rsid w:val="00CD5556"/>
    <w:rsid w:val="00CD569D"/>
    <w:rsid w:val="00CD7850"/>
    <w:rsid w:val="00CD7EB0"/>
    <w:rsid w:val="00CE22F4"/>
    <w:rsid w:val="00CE25B6"/>
    <w:rsid w:val="00CE267E"/>
    <w:rsid w:val="00CE2BFA"/>
    <w:rsid w:val="00CE6A92"/>
    <w:rsid w:val="00CE7C65"/>
    <w:rsid w:val="00CF01D0"/>
    <w:rsid w:val="00CF2A4E"/>
    <w:rsid w:val="00CF338F"/>
    <w:rsid w:val="00CF3751"/>
    <w:rsid w:val="00CF4477"/>
    <w:rsid w:val="00CF6B3C"/>
    <w:rsid w:val="00CF6C72"/>
    <w:rsid w:val="00D004A5"/>
    <w:rsid w:val="00D0161C"/>
    <w:rsid w:val="00D0171F"/>
    <w:rsid w:val="00D01AFE"/>
    <w:rsid w:val="00D025BD"/>
    <w:rsid w:val="00D02D47"/>
    <w:rsid w:val="00D03C0E"/>
    <w:rsid w:val="00D061CB"/>
    <w:rsid w:val="00D0681F"/>
    <w:rsid w:val="00D069F1"/>
    <w:rsid w:val="00D076E4"/>
    <w:rsid w:val="00D07727"/>
    <w:rsid w:val="00D101CC"/>
    <w:rsid w:val="00D10A23"/>
    <w:rsid w:val="00D115C5"/>
    <w:rsid w:val="00D12282"/>
    <w:rsid w:val="00D13BB6"/>
    <w:rsid w:val="00D13FC3"/>
    <w:rsid w:val="00D14404"/>
    <w:rsid w:val="00D15185"/>
    <w:rsid w:val="00D1602F"/>
    <w:rsid w:val="00D168E9"/>
    <w:rsid w:val="00D1710F"/>
    <w:rsid w:val="00D173C9"/>
    <w:rsid w:val="00D2004E"/>
    <w:rsid w:val="00D20BFA"/>
    <w:rsid w:val="00D21A3A"/>
    <w:rsid w:val="00D22796"/>
    <w:rsid w:val="00D22839"/>
    <w:rsid w:val="00D2311E"/>
    <w:rsid w:val="00D2392B"/>
    <w:rsid w:val="00D2583B"/>
    <w:rsid w:val="00D25D1A"/>
    <w:rsid w:val="00D26079"/>
    <w:rsid w:val="00D26B7B"/>
    <w:rsid w:val="00D30648"/>
    <w:rsid w:val="00D30877"/>
    <w:rsid w:val="00D30F78"/>
    <w:rsid w:val="00D3182B"/>
    <w:rsid w:val="00D31F61"/>
    <w:rsid w:val="00D32B4F"/>
    <w:rsid w:val="00D32BC3"/>
    <w:rsid w:val="00D33882"/>
    <w:rsid w:val="00D33D13"/>
    <w:rsid w:val="00D341A1"/>
    <w:rsid w:val="00D36C8A"/>
    <w:rsid w:val="00D36D83"/>
    <w:rsid w:val="00D37C5E"/>
    <w:rsid w:val="00D417C5"/>
    <w:rsid w:val="00D41BDA"/>
    <w:rsid w:val="00D42B4D"/>
    <w:rsid w:val="00D42BC2"/>
    <w:rsid w:val="00D43B43"/>
    <w:rsid w:val="00D44517"/>
    <w:rsid w:val="00D44957"/>
    <w:rsid w:val="00D44B8F"/>
    <w:rsid w:val="00D4662B"/>
    <w:rsid w:val="00D5026B"/>
    <w:rsid w:val="00D503F7"/>
    <w:rsid w:val="00D50702"/>
    <w:rsid w:val="00D51869"/>
    <w:rsid w:val="00D5200B"/>
    <w:rsid w:val="00D522B4"/>
    <w:rsid w:val="00D53B60"/>
    <w:rsid w:val="00D54ACB"/>
    <w:rsid w:val="00D564BB"/>
    <w:rsid w:val="00D565E4"/>
    <w:rsid w:val="00D567B9"/>
    <w:rsid w:val="00D57BE8"/>
    <w:rsid w:val="00D60506"/>
    <w:rsid w:val="00D61B56"/>
    <w:rsid w:val="00D625C3"/>
    <w:rsid w:val="00D62A99"/>
    <w:rsid w:val="00D63FD9"/>
    <w:rsid w:val="00D6455C"/>
    <w:rsid w:val="00D64BBA"/>
    <w:rsid w:val="00D64EBC"/>
    <w:rsid w:val="00D674A7"/>
    <w:rsid w:val="00D677DB"/>
    <w:rsid w:val="00D70256"/>
    <w:rsid w:val="00D70D5E"/>
    <w:rsid w:val="00D7195F"/>
    <w:rsid w:val="00D71CB0"/>
    <w:rsid w:val="00D71FCB"/>
    <w:rsid w:val="00D72584"/>
    <w:rsid w:val="00D727F1"/>
    <w:rsid w:val="00D730D8"/>
    <w:rsid w:val="00D733C3"/>
    <w:rsid w:val="00D75BBA"/>
    <w:rsid w:val="00D76BEF"/>
    <w:rsid w:val="00D80175"/>
    <w:rsid w:val="00D82292"/>
    <w:rsid w:val="00D82306"/>
    <w:rsid w:val="00D82C41"/>
    <w:rsid w:val="00D82D08"/>
    <w:rsid w:val="00D83309"/>
    <w:rsid w:val="00D8409A"/>
    <w:rsid w:val="00D84274"/>
    <w:rsid w:val="00D842B2"/>
    <w:rsid w:val="00D8451D"/>
    <w:rsid w:val="00D84750"/>
    <w:rsid w:val="00D85335"/>
    <w:rsid w:val="00D87AA8"/>
    <w:rsid w:val="00D87B32"/>
    <w:rsid w:val="00D906EF"/>
    <w:rsid w:val="00D90952"/>
    <w:rsid w:val="00D92369"/>
    <w:rsid w:val="00D93325"/>
    <w:rsid w:val="00D93748"/>
    <w:rsid w:val="00D9393F"/>
    <w:rsid w:val="00D93A97"/>
    <w:rsid w:val="00D93E57"/>
    <w:rsid w:val="00D9405C"/>
    <w:rsid w:val="00D94C9A"/>
    <w:rsid w:val="00D94F1F"/>
    <w:rsid w:val="00D97F1B"/>
    <w:rsid w:val="00DA1DCF"/>
    <w:rsid w:val="00DA1F71"/>
    <w:rsid w:val="00DA6AC5"/>
    <w:rsid w:val="00DA720A"/>
    <w:rsid w:val="00DA74DE"/>
    <w:rsid w:val="00DA76BB"/>
    <w:rsid w:val="00DA7B3A"/>
    <w:rsid w:val="00DB0EA3"/>
    <w:rsid w:val="00DB3D82"/>
    <w:rsid w:val="00DB48AB"/>
    <w:rsid w:val="00DB490B"/>
    <w:rsid w:val="00DB5D49"/>
    <w:rsid w:val="00DB5E40"/>
    <w:rsid w:val="00DB66DD"/>
    <w:rsid w:val="00DC08FD"/>
    <w:rsid w:val="00DC2763"/>
    <w:rsid w:val="00DC4918"/>
    <w:rsid w:val="00DC4965"/>
    <w:rsid w:val="00DC5210"/>
    <w:rsid w:val="00DC5428"/>
    <w:rsid w:val="00DC5550"/>
    <w:rsid w:val="00DC67A7"/>
    <w:rsid w:val="00DC69AB"/>
    <w:rsid w:val="00DC6FB9"/>
    <w:rsid w:val="00DC72C6"/>
    <w:rsid w:val="00DC7A2C"/>
    <w:rsid w:val="00DD04DD"/>
    <w:rsid w:val="00DD1EBE"/>
    <w:rsid w:val="00DD239A"/>
    <w:rsid w:val="00DD3510"/>
    <w:rsid w:val="00DD371A"/>
    <w:rsid w:val="00DD551D"/>
    <w:rsid w:val="00DD56CD"/>
    <w:rsid w:val="00DD7C57"/>
    <w:rsid w:val="00DE0576"/>
    <w:rsid w:val="00DE111F"/>
    <w:rsid w:val="00DE6C15"/>
    <w:rsid w:val="00DE7F9A"/>
    <w:rsid w:val="00DF4885"/>
    <w:rsid w:val="00DF5FFB"/>
    <w:rsid w:val="00DF60D0"/>
    <w:rsid w:val="00DF6B1D"/>
    <w:rsid w:val="00DF74E3"/>
    <w:rsid w:val="00DF78C5"/>
    <w:rsid w:val="00E00B8C"/>
    <w:rsid w:val="00E00BC9"/>
    <w:rsid w:val="00E0203F"/>
    <w:rsid w:val="00E030BB"/>
    <w:rsid w:val="00E0534A"/>
    <w:rsid w:val="00E055C5"/>
    <w:rsid w:val="00E10DAB"/>
    <w:rsid w:val="00E12F16"/>
    <w:rsid w:val="00E13AC8"/>
    <w:rsid w:val="00E14D33"/>
    <w:rsid w:val="00E1530C"/>
    <w:rsid w:val="00E15675"/>
    <w:rsid w:val="00E1732E"/>
    <w:rsid w:val="00E17A5D"/>
    <w:rsid w:val="00E2030D"/>
    <w:rsid w:val="00E2059A"/>
    <w:rsid w:val="00E22421"/>
    <w:rsid w:val="00E25154"/>
    <w:rsid w:val="00E2543A"/>
    <w:rsid w:val="00E270EA"/>
    <w:rsid w:val="00E27C21"/>
    <w:rsid w:val="00E27CED"/>
    <w:rsid w:val="00E307B5"/>
    <w:rsid w:val="00E31773"/>
    <w:rsid w:val="00E319DE"/>
    <w:rsid w:val="00E31B11"/>
    <w:rsid w:val="00E31C0F"/>
    <w:rsid w:val="00E33DB9"/>
    <w:rsid w:val="00E35BC0"/>
    <w:rsid w:val="00E35C1B"/>
    <w:rsid w:val="00E35D87"/>
    <w:rsid w:val="00E3653A"/>
    <w:rsid w:val="00E3703D"/>
    <w:rsid w:val="00E372CB"/>
    <w:rsid w:val="00E374D1"/>
    <w:rsid w:val="00E44D98"/>
    <w:rsid w:val="00E47081"/>
    <w:rsid w:val="00E4787F"/>
    <w:rsid w:val="00E509E2"/>
    <w:rsid w:val="00E5112D"/>
    <w:rsid w:val="00E51D6C"/>
    <w:rsid w:val="00E531C9"/>
    <w:rsid w:val="00E553C1"/>
    <w:rsid w:val="00E57DD8"/>
    <w:rsid w:val="00E6025D"/>
    <w:rsid w:val="00E61195"/>
    <w:rsid w:val="00E618F7"/>
    <w:rsid w:val="00E62250"/>
    <w:rsid w:val="00E62A37"/>
    <w:rsid w:val="00E62B4A"/>
    <w:rsid w:val="00E62FCB"/>
    <w:rsid w:val="00E6375C"/>
    <w:rsid w:val="00E649A4"/>
    <w:rsid w:val="00E65E9B"/>
    <w:rsid w:val="00E663B0"/>
    <w:rsid w:val="00E66815"/>
    <w:rsid w:val="00E6733A"/>
    <w:rsid w:val="00E7048A"/>
    <w:rsid w:val="00E70D23"/>
    <w:rsid w:val="00E719B9"/>
    <w:rsid w:val="00E7323A"/>
    <w:rsid w:val="00E735D0"/>
    <w:rsid w:val="00E73867"/>
    <w:rsid w:val="00E740B2"/>
    <w:rsid w:val="00E75036"/>
    <w:rsid w:val="00E77432"/>
    <w:rsid w:val="00E80235"/>
    <w:rsid w:val="00E8109B"/>
    <w:rsid w:val="00E812CE"/>
    <w:rsid w:val="00E815C3"/>
    <w:rsid w:val="00E81775"/>
    <w:rsid w:val="00E81F94"/>
    <w:rsid w:val="00E824CA"/>
    <w:rsid w:val="00E82525"/>
    <w:rsid w:val="00E84663"/>
    <w:rsid w:val="00E84D4D"/>
    <w:rsid w:val="00E850CA"/>
    <w:rsid w:val="00E8519C"/>
    <w:rsid w:val="00E85967"/>
    <w:rsid w:val="00E85AE6"/>
    <w:rsid w:val="00E86659"/>
    <w:rsid w:val="00E86FF4"/>
    <w:rsid w:val="00E87750"/>
    <w:rsid w:val="00E87803"/>
    <w:rsid w:val="00E87B0C"/>
    <w:rsid w:val="00E907A3"/>
    <w:rsid w:val="00E90C55"/>
    <w:rsid w:val="00E91A8B"/>
    <w:rsid w:val="00E92A38"/>
    <w:rsid w:val="00E92B46"/>
    <w:rsid w:val="00E92C0A"/>
    <w:rsid w:val="00E92E62"/>
    <w:rsid w:val="00E93857"/>
    <w:rsid w:val="00E953EB"/>
    <w:rsid w:val="00E955E0"/>
    <w:rsid w:val="00EA0DEB"/>
    <w:rsid w:val="00EA2F77"/>
    <w:rsid w:val="00EA5D73"/>
    <w:rsid w:val="00EA7732"/>
    <w:rsid w:val="00EB0F84"/>
    <w:rsid w:val="00EB1203"/>
    <w:rsid w:val="00EB282C"/>
    <w:rsid w:val="00EB345F"/>
    <w:rsid w:val="00EB5167"/>
    <w:rsid w:val="00EB65DE"/>
    <w:rsid w:val="00EB70E7"/>
    <w:rsid w:val="00EB7342"/>
    <w:rsid w:val="00EB7A0E"/>
    <w:rsid w:val="00EC0756"/>
    <w:rsid w:val="00EC1D65"/>
    <w:rsid w:val="00EC28D8"/>
    <w:rsid w:val="00EC3EE6"/>
    <w:rsid w:val="00EC56DB"/>
    <w:rsid w:val="00EC66C6"/>
    <w:rsid w:val="00EC7873"/>
    <w:rsid w:val="00EC7986"/>
    <w:rsid w:val="00ED01D0"/>
    <w:rsid w:val="00ED0AF0"/>
    <w:rsid w:val="00ED1195"/>
    <w:rsid w:val="00ED1D32"/>
    <w:rsid w:val="00ED2726"/>
    <w:rsid w:val="00ED389A"/>
    <w:rsid w:val="00ED4446"/>
    <w:rsid w:val="00ED4EF1"/>
    <w:rsid w:val="00ED52B9"/>
    <w:rsid w:val="00ED5EA3"/>
    <w:rsid w:val="00ED60FE"/>
    <w:rsid w:val="00ED644B"/>
    <w:rsid w:val="00EE05D8"/>
    <w:rsid w:val="00EE0728"/>
    <w:rsid w:val="00EE0B1B"/>
    <w:rsid w:val="00EE0D3E"/>
    <w:rsid w:val="00EE1D98"/>
    <w:rsid w:val="00EE1DE6"/>
    <w:rsid w:val="00EE23D8"/>
    <w:rsid w:val="00EE3A5F"/>
    <w:rsid w:val="00EE40C5"/>
    <w:rsid w:val="00EE4608"/>
    <w:rsid w:val="00EE4F0D"/>
    <w:rsid w:val="00EE64A4"/>
    <w:rsid w:val="00EE78F4"/>
    <w:rsid w:val="00EF03C4"/>
    <w:rsid w:val="00EF3DEE"/>
    <w:rsid w:val="00EF44DF"/>
    <w:rsid w:val="00EF52B4"/>
    <w:rsid w:val="00EF54D1"/>
    <w:rsid w:val="00EF5CF2"/>
    <w:rsid w:val="00EF755B"/>
    <w:rsid w:val="00EF7BFF"/>
    <w:rsid w:val="00F009F0"/>
    <w:rsid w:val="00F00E3E"/>
    <w:rsid w:val="00F01233"/>
    <w:rsid w:val="00F019BA"/>
    <w:rsid w:val="00F02125"/>
    <w:rsid w:val="00F02C61"/>
    <w:rsid w:val="00F0343A"/>
    <w:rsid w:val="00F10D8D"/>
    <w:rsid w:val="00F117E2"/>
    <w:rsid w:val="00F141AA"/>
    <w:rsid w:val="00F14990"/>
    <w:rsid w:val="00F14D84"/>
    <w:rsid w:val="00F15959"/>
    <w:rsid w:val="00F159DA"/>
    <w:rsid w:val="00F15B08"/>
    <w:rsid w:val="00F16D9B"/>
    <w:rsid w:val="00F17232"/>
    <w:rsid w:val="00F2108B"/>
    <w:rsid w:val="00F21695"/>
    <w:rsid w:val="00F21D0C"/>
    <w:rsid w:val="00F2336A"/>
    <w:rsid w:val="00F2391F"/>
    <w:rsid w:val="00F24D32"/>
    <w:rsid w:val="00F24F42"/>
    <w:rsid w:val="00F251CC"/>
    <w:rsid w:val="00F2553B"/>
    <w:rsid w:val="00F26712"/>
    <w:rsid w:val="00F27F55"/>
    <w:rsid w:val="00F30503"/>
    <w:rsid w:val="00F3086F"/>
    <w:rsid w:val="00F308A9"/>
    <w:rsid w:val="00F32F3C"/>
    <w:rsid w:val="00F3331D"/>
    <w:rsid w:val="00F36BBA"/>
    <w:rsid w:val="00F375BB"/>
    <w:rsid w:val="00F404C6"/>
    <w:rsid w:val="00F40A95"/>
    <w:rsid w:val="00F4188F"/>
    <w:rsid w:val="00F41AB1"/>
    <w:rsid w:val="00F41CD2"/>
    <w:rsid w:val="00F43C61"/>
    <w:rsid w:val="00F44129"/>
    <w:rsid w:val="00F465B8"/>
    <w:rsid w:val="00F47DB9"/>
    <w:rsid w:val="00F501BE"/>
    <w:rsid w:val="00F50308"/>
    <w:rsid w:val="00F509C6"/>
    <w:rsid w:val="00F50F37"/>
    <w:rsid w:val="00F528EC"/>
    <w:rsid w:val="00F536C6"/>
    <w:rsid w:val="00F548B0"/>
    <w:rsid w:val="00F55D2A"/>
    <w:rsid w:val="00F560DA"/>
    <w:rsid w:val="00F5620A"/>
    <w:rsid w:val="00F56B29"/>
    <w:rsid w:val="00F641F8"/>
    <w:rsid w:val="00F64A56"/>
    <w:rsid w:val="00F64D11"/>
    <w:rsid w:val="00F64E8D"/>
    <w:rsid w:val="00F6613E"/>
    <w:rsid w:val="00F667E9"/>
    <w:rsid w:val="00F66F23"/>
    <w:rsid w:val="00F670FD"/>
    <w:rsid w:val="00F67209"/>
    <w:rsid w:val="00F67C09"/>
    <w:rsid w:val="00F701D7"/>
    <w:rsid w:val="00F7030E"/>
    <w:rsid w:val="00F71B19"/>
    <w:rsid w:val="00F72444"/>
    <w:rsid w:val="00F72E0C"/>
    <w:rsid w:val="00F72FF8"/>
    <w:rsid w:val="00F73927"/>
    <w:rsid w:val="00F74B50"/>
    <w:rsid w:val="00F74D4C"/>
    <w:rsid w:val="00F75DAD"/>
    <w:rsid w:val="00F76335"/>
    <w:rsid w:val="00F7707F"/>
    <w:rsid w:val="00F80F06"/>
    <w:rsid w:val="00F81179"/>
    <w:rsid w:val="00F825FF"/>
    <w:rsid w:val="00F826A6"/>
    <w:rsid w:val="00F82F27"/>
    <w:rsid w:val="00F8333D"/>
    <w:rsid w:val="00F84857"/>
    <w:rsid w:val="00F8495B"/>
    <w:rsid w:val="00F84A1A"/>
    <w:rsid w:val="00F85232"/>
    <w:rsid w:val="00F86E4A"/>
    <w:rsid w:val="00F87740"/>
    <w:rsid w:val="00F87FDA"/>
    <w:rsid w:val="00F90530"/>
    <w:rsid w:val="00F9095A"/>
    <w:rsid w:val="00F909C1"/>
    <w:rsid w:val="00F90BC8"/>
    <w:rsid w:val="00F90E62"/>
    <w:rsid w:val="00F90F74"/>
    <w:rsid w:val="00F90F91"/>
    <w:rsid w:val="00F9185D"/>
    <w:rsid w:val="00F92559"/>
    <w:rsid w:val="00F928A9"/>
    <w:rsid w:val="00F92B62"/>
    <w:rsid w:val="00F932F5"/>
    <w:rsid w:val="00F93444"/>
    <w:rsid w:val="00F97568"/>
    <w:rsid w:val="00FA0A0C"/>
    <w:rsid w:val="00FA276F"/>
    <w:rsid w:val="00FA2A5D"/>
    <w:rsid w:val="00FA73C4"/>
    <w:rsid w:val="00FA7750"/>
    <w:rsid w:val="00FB24AB"/>
    <w:rsid w:val="00FB3802"/>
    <w:rsid w:val="00FB3887"/>
    <w:rsid w:val="00FB3CE5"/>
    <w:rsid w:val="00FB408D"/>
    <w:rsid w:val="00FB562B"/>
    <w:rsid w:val="00FB6088"/>
    <w:rsid w:val="00FB6147"/>
    <w:rsid w:val="00FB66CC"/>
    <w:rsid w:val="00FB692E"/>
    <w:rsid w:val="00FC0B8D"/>
    <w:rsid w:val="00FC1208"/>
    <w:rsid w:val="00FC1C02"/>
    <w:rsid w:val="00FC4E7E"/>
    <w:rsid w:val="00FC5430"/>
    <w:rsid w:val="00FC5B85"/>
    <w:rsid w:val="00FC5E02"/>
    <w:rsid w:val="00FC6112"/>
    <w:rsid w:val="00FC6A07"/>
    <w:rsid w:val="00FC7317"/>
    <w:rsid w:val="00FD03B5"/>
    <w:rsid w:val="00FD1EF4"/>
    <w:rsid w:val="00FD24F5"/>
    <w:rsid w:val="00FD2E40"/>
    <w:rsid w:val="00FD4637"/>
    <w:rsid w:val="00FD55DA"/>
    <w:rsid w:val="00FD5719"/>
    <w:rsid w:val="00FD5971"/>
    <w:rsid w:val="00FD5A08"/>
    <w:rsid w:val="00FE2105"/>
    <w:rsid w:val="00FE42BF"/>
    <w:rsid w:val="00FE45E3"/>
    <w:rsid w:val="00FE4613"/>
    <w:rsid w:val="00FE5513"/>
    <w:rsid w:val="00FE5C35"/>
    <w:rsid w:val="00FE5E3B"/>
    <w:rsid w:val="00FE61BC"/>
    <w:rsid w:val="00FE7B2D"/>
    <w:rsid w:val="00FE7ECD"/>
    <w:rsid w:val="00FF2051"/>
    <w:rsid w:val="00FF2935"/>
    <w:rsid w:val="00FF3868"/>
    <w:rsid w:val="00FF6B03"/>
    <w:rsid w:val="00FF7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fill="f" fillcolor="white" stroke="f" strokecolor="blue">
      <v:fill color="white" on="f"/>
      <v:stroke color="blue" on="f"/>
    </o:shapedefaults>
    <o:shapelayout v:ext="edit">
      <o:idmap v:ext="edit" data="1"/>
      <o:rules v:ext="edit">
        <o:r id="V:Rule1" type="connector" idref="#_x0000_s1185"/>
        <o:r id="V:Rule2" type="connector" idref="#_x0000_s1190"/>
        <o:r id="V:Rule3" type="connector" idref="#_x0000_s119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caption" w:qFormat="1"/>
    <w:lsdException w:name="footnote reference" w:uiPriority="99" w:qFormat="1"/>
    <w:lsdException w:name="page number" w:uiPriority="99"/>
    <w:lsdException w:name="Title" w:qFormat="1"/>
    <w:lsdException w:name="Body Text" w:uiPriority="99"/>
    <w:lsdException w:name="Body Text Indent" w:uiPriority="99"/>
    <w:lsdException w:name="Subtitle" w:uiPriority="11" w:qFormat="1"/>
    <w:lsdException w:name="Body Text 2" w:uiPriority="99"/>
    <w:lsdException w:name="FollowedHyperlink" w:uiPriority="99"/>
    <w:lsdException w:name="Strong" w:qFormat="1"/>
    <w:lsdException w:name="Emphasis" w:uiPriority="20" w:qFormat="1"/>
    <w:lsdException w:name="Plain Text" w:uiPriority="99"/>
    <w:lsdException w:name="Normal (Web)" w:uiPriority="99"/>
    <w:lsdException w:name="HTML Cite" w:uiPriority="99"/>
    <w:lsdException w:name="HTML Preformatted" w:uiPriority="99"/>
    <w:lsdException w:name="No List" w:uiPriority="99"/>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5B3"/>
    <w:pPr>
      <w:jc w:val="both"/>
    </w:pPr>
    <w:rPr>
      <w:rFonts w:ascii="Garamond" w:hAnsi="Garamond"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900C4F"/>
    <w:pPr>
      <w:keepNext/>
      <w:spacing w:before="240"/>
      <w:outlineLvl w:val="2"/>
    </w:pPr>
    <w:rPr>
      <w:rFonts w:ascii="Bradley Hand ITC" w:hAnsi="Bradley Hand ITC"/>
      <w:b/>
      <w:color w:val="auto"/>
      <w:sz w:val="28"/>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D29A7"/>
    <w:rPr>
      <w:rFonts w:ascii="Cambria" w:eastAsia="Times New Roman" w:hAnsi="Cambria" w:cs="Times New Roman"/>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sid w:val="001D29A7"/>
    <w:rPr>
      <w:rFonts w:ascii="Cambria" w:eastAsia="Times New Roman" w:hAnsi="Cambria" w:cs="Times New Roman"/>
      <w:b/>
      <w:bCs/>
      <w:i/>
      <w:iCs/>
      <w:color w:val="000000"/>
      <w:sz w:val="28"/>
      <w:szCs w:val="28"/>
      <w:lang w:val="en-US" w:eastAsia="en-US"/>
    </w:rPr>
  </w:style>
  <w:style w:type="character" w:customStyle="1" w:styleId="Heading3Char">
    <w:name w:val="Heading 3 Char"/>
    <w:basedOn w:val="DefaultParagraphFont"/>
    <w:link w:val="Heading3"/>
    <w:uiPriority w:val="9"/>
    <w:locked/>
    <w:rsid w:val="00900C4F"/>
    <w:rPr>
      <w:rFonts w:ascii="Bradley Hand ITC" w:hAnsi="Bradley Hand ITC" w:cs="Arial"/>
      <w:b/>
      <w:sz w:val="28"/>
      <w:szCs w:val="26"/>
      <w:lang w:val="en-US" w:eastAsia="en-US"/>
    </w:rPr>
  </w:style>
  <w:style w:type="character" w:customStyle="1" w:styleId="Heading4Char">
    <w:name w:val="Heading 4 Char"/>
    <w:basedOn w:val="DefaultParagraphFont"/>
    <w:link w:val="Heading4"/>
    <w:uiPriority w:val="9"/>
    <w:locked/>
    <w:rsid w:val="001D29A7"/>
    <w:rPr>
      <w:rFonts w:ascii="Calibri" w:eastAsia="Times New Roman" w:hAnsi="Calibri" w:cs="Times New Roman"/>
      <w:b/>
      <w:bCs/>
      <w:color w:val="000000"/>
      <w:sz w:val="28"/>
      <w:szCs w:val="28"/>
      <w:lang w:val="en-US" w:eastAsia="en-US"/>
    </w:rPr>
  </w:style>
  <w:style w:type="character" w:customStyle="1" w:styleId="Heading5Char">
    <w:name w:val="Heading 5 Char"/>
    <w:basedOn w:val="DefaultParagraphFont"/>
    <w:link w:val="Heading5"/>
    <w:uiPriority w:val="9"/>
    <w:semiHidden/>
    <w:locked/>
    <w:rsid w:val="001D29A7"/>
    <w:rPr>
      <w:rFonts w:ascii="Calibri" w:eastAsia="Times New Roman" w:hAnsi="Calibri" w:cs="Times New Roman"/>
      <w:b/>
      <w:bCs/>
      <w:i/>
      <w:iCs/>
      <w:color w:val="000000"/>
      <w:sz w:val="26"/>
      <w:szCs w:val="26"/>
      <w:lang w:val="en-US" w:eastAsia="en-US"/>
    </w:rPr>
  </w:style>
  <w:style w:type="character" w:customStyle="1" w:styleId="Heading6Char">
    <w:name w:val="Heading 6 Char"/>
    <w:basedOn w:val="DefaultParagraphFont"/>
    <w:link w:val="Heading6"/>
    <w:uiPriority w:val="9"/>
    <w:semiHidden/>
    <w:locked/>
    <w:rsid w:val="001D29A7"/>
    <w:rPr>
      <w:rFonts w:ascii="Calibri" w:eastAsia="Times New Roman" w:hAnsi="Calibri" w:cs="Times New Roman"/>
      <w:b/>
      <w:bCs/>
      <w:color w:val="000000"/>
      <w:sz w:val="22"/>
      <w:szCs w:val="22"/>
      <w:lang w:val="en-US" w:eastAsia="en-US"/>
    </w:rPr>
  </w:style>
  <w:style w:type="character" w:styleId="Hyperlink">
    <w:name w:val="Hyperlink"/>
    <w:basedOn w:val="DefaultParagraphFont"/>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rsid w:val="002536D7"/>
    <w:pPr>
      <w:tabs>
        <w:tab w:val="center" w:pos="4320"/>
        <w:tab w:val="right" w:pos="8640"/>
      </w:tabs>
    </w:pPr>
  </w:style>
  <w:style w:type="character" w:customStyle="1" w:styleId="FooterChar">
    <w:name w:val="Footer Char"/>
    <w:basedOn w:val="DefaultParagraphFont"/>
    <w:link w:val="Footer"/>
    <w:locked/>
    <w:rsid w:val="001D29A7"/>
    <w:rPr>
      <w:rFonts w:ascii="Arial" w:hAnsi="Arial" w:cs="Arial"/>
      <w:color w:val="000000"/>
      <w:sz w:val="24"/>
      <w:szCs w:val="24"/>
      <w:lang w:val="en-US" w:eastAsia="en-US"/>
    </w:rPr>
  </w:style>
  <w:style w:type="character" w:styleId="PageNumber">
    <w:name w:val="page number"/>
    <w:basedOn w:val="DefaultParagraphFont"/>
    <w:uiPriority w:val="99"/>
    <w:rsid w:val="00686C20"/>
    <w:rPr>
      <w:rFonts w:cs="Times New Roman"/>
    </w:rPr>
  </w:style>
  <w:style w:type="paragraph" w:customStyle="1" w:styleId="BibleQuotation">
    <w:name w:val="Bible Quotation"/>
    <w:basedOn w:val="Normal"/>
    <w:uiPriority w:val="99"/>
    <w:rsid w:val="00052E1E"/>
    <w:pPr>
      <w:ind w:left="720" w:right="720"/>
    </w:pPr>
    <w:rPr>
      <w:rFonts w:ascii="Century Schoolbook" w:hAnsi="Century Schoolbook"/>
      <w:szCs w:val="20"/>
      <w:lang w:val="en-GB"/>
    </w:rPr>
  </w:style>
  <w:style w:type="character" w:styleId="FootnoteReference">
    <w:name w:val="footnote reference"/>
    <w:aliases w:val="Footnote Number"/>
    <w:basedOn w:val="DefaultParagraphFont"/>
    <w:uiPriority w:val="99"/>
    <w:qFormat/>
    <w:rsid w:val="00052E1E"/>
    <w:rPr>
      <w:rFonts w:cs="Times New Roman"/>
      <w:vertAlign w:val="superscript"/>
    </w:rPr>
  </w:style>
  <w:style w:type="paragraph" w:styleId="FootnoteText">
    <w:name w:val="footnote text"/>
    <w:aliases w:val="f"/>
    <w:basedOn w:val="Normal"/>
    <w:link w:val="FootnoteTextChar"/>
    <w:autoRedefine/>
    <w:uiPriority w:val="99"/>
    <w:qFormat/>
    <w:rsid w:val="001A52B5"/>
    <w:rPr>
      <w:sz w:val="22"/>
      <w:szCs w:val="22"/>
      <w:lang w:val="en-GB"/>
    </w:rPr>
  </w:style>
  <w:style w:type="character" w:customStyle="1" w:styleId="FootnoteTextChar">
    <w:name w:val="Footnote Text Char"/>
    <w:aliases w:val="f Char"/>
    <w:basedOn w:val="DefaultParagraphFont"/>
    <w:link w:val="FootnoteText"/>
    <w:uiPriority w:val="99"/>
    <w:locked/>
    <w:rsid w:val="001A52B5"/>
    <w:rPr>
      <w:rFonts w:ascii="Garamond" w:hAnsi="Garamond" w:cs="Arial"/>
      <w:color w:val="000000"/>
      <w:sz w:val="22"/>
      <w:szCs w:val="22"/>
      <w:lang w:eastAsia="en-US"/>
    </w:rPr>
  </w:style>
  <w:style w:type="paragraph" w:styleId="EndnoteText">
    <w:name w:val="endnote text"/>
    <w:basedOn w:val="Normal"/>
    <w:link w:val="EndnoteTextChar"/>
    <w:semiHidden/>
    <w:rsid w:val="00052E1E"/>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pPr>
    <w:rPr>
      <w:rFonts w:ascii="Times New Roman" w:hAnsi="Times New Roman" w:cs="Times New Roman"/>
      <w:color w:val="auto"/>
      <w:lang w:val="en-GB" w:eastAsia="en-GB"/>
    </w:rPr>
  </w:style>
  <w:style w:type="paragraph" w:styleId="Caption">
    <w:name w:val="caption"/>
    <w:basedOn w:val="Normal"/>
    <w:next w:val="Normal"/>
    <w:qFormat/>
    <w:rsid w:val="008B6B9A"/>
    <w:rPr>
      <w:rFonts w:ascii="Times New Roman" w:hAnsi="Times New Roman" w:cs="Times New Roman"/>
      <w:b/>
      <w:color w:val="auto"/>
      <w:szCs w:val="20"/>
      <w:lang w:val="en-GB"/>
    </w:rPr>
  </w:style>
  <w:style w:type="table" w:styleId="TableGrid">
    <w:name w:val="Table Grid"/>
    <w:basedOn w:val="TableNormal"/>
    <w:uiPriority w:val="99"/>
    <w:rsid w:val="008B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sid w:val="001D29A7"/>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574105"/>
    <w:pPr>
      <w:ind w:left="284" w:right="284"/>
    </w:pPr>
    <w:rPr>
      <w:rFonts w:ascii="Garamond" w:hAnsi="Garamond"/>
      <w:color w:val="auto"/>
      <w:sz w:val="22"/>
      <w:szCs w:val="24"/>
      <w:lang w:bidi="he-IL"/>
    </w:rPr>
  </w:style>
  <w:style w:type="character" w:customStyle="1" w:styleId="QuoteChar">
    <w:name w:val="Quote Char"/>
    <w:basedOn w:val="DefaultParagraphFont"/>
    <w:link w:val="Quote"/>
    <w:uiPriority w:val="29"/>
    <w:locked/>
    <w:rsid w:val="00574105"/>
    <w:rPr>
      <w:rFonts w:ascii="Garamond" w:hAnsi="Garamond" w:cs="Arial"/>
      <w:sz w:val="22"/>
      <w:szCs w:val="24"/>
      <w:lang w:eastAsia="en-US" w:bidi="he-IL"/>
    </w:rPr>
  </w:style>
  <w:style w:type="character" w:styleId="Strong">
    <w:name w:val="Strong"/>
    <w:basedOn w:val="DefaultParagraphFont"/>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basedOn w:val="DefaultParagraphFont"/>
    <w:link w:val="BodyText"/>
    <w:uiPriority w:val="99"/>
    <w:locked/>
    <w:rsid w:val="00E1732E"/>
    <w:rPr>
      <w:rFonts w:eastAsia="SimSun" w:cs="Times New Roman"/>
      <w:sz w:val="24"/>
      <w:szCs w:val="24"/>
      <w:lang w:eastAsia="zh-CN"/>
    </w:rPr>
  </w:style>
  <w:style w:type="paragraph" w:styleId="Subtitle">
    <w:name w:val="Subtitle"/>
    <w:basedOn w:val="Normal"/>
    <w:link w:val="SubtitleChar"/>
    <w:uiPriority w:val="11"/>
    <w:qFormat/>
    <w:rsid w:val="001D2280"/>
    <w:pPr>
      <w:jc w:val="center"/>
    </w:pPr>
    <w:rPr>
      <w:rFonts w:ascii="Times New Roman" w:hAnsi="Times New Roman" w:cs="Times New Roman"/>
      <w:b/>
      <w:bCs/>
      <w:color w:val="auto"/>
      <w:sz w:val="28"/>
      <w:lang w:val="en-GB"/>
    </w:rPr>
  </w:style>
  <w:style w:type="character" w:customStyle="1" w:styleId="SubtitleChar">
    <w:name w:val="Subtitle Char"/>
    <w:basedOn w:val="DefaultParagraphFont"/>
    <w:link w:val="Subtitle"/>
    <w:uiPriority w:val="11"/>
    <w:locked/>
    <w:rsid w:val="001D2280"/>
    <w:rPr>
      <w:rFonts w:cs="Times New Roman"/>
      <w:b/>
      <w:bCs/>
      <w:sz w:val="24"/>
      <w:szCs w:val="24"/>
      <w:lang w:eastAsia="en-US"/>
    </w:rPr>
  </w:style>
  <w:style w:type="paragraph" w:styleId="BodyTextIndent">
    <w:name w:val="Body Text Indent"/>
    <w:basedOn w:val="Normal"/>
    <w:link w:val="BodyTextIndentChar"/>
    <w:uiPriority w:val="99"/>
    <w:rsid w:val="005A6EC1"/>
    <w:pPr>
      <w:spacing w:after="120"/>
      <w:ind w:left="283"/>
    </w:pPr>
  </w:style>
  <w:style w:type="character" w:customStyle="1" w:styleId="BodyTextIndentChar">
    <w:name w:val="Body Text Indent Char"/>
    <w:basedOn w:val="DefaultParagraphFont"/>
    <w:link w:val="BodyTextIndent"/>
    <w:uiPriority w:val="99"/>
    <w:locked/>
    <w:rsid w:val="005A6EC1"/>
    <w:rPr>
      <w:rFonts w:ascii="Arial" w:hAnsi="Arial" w:cs="Arial"/>
      <w:color w:val="000000"/>
      <w:sz w:val="24"/>
      <w:szCs w:val="24"/>
      <w:lang w:val="en-US" w:eastAsia="en-US"/>
    </w:rPr>
  </w:style>
  <w:style w:type="paragraph" w:styleId="ListParagraph">
    <w:name w:val="List Paragraph"/>
    <w:basedOn w:val="Normal"/>
    <w:uiPriority w:val="34"/>
    <w:qFormat/>
    <w:rsid w:val="00F84A1A"/>
    <w:pPr>
      <w:spacing w:after="200" w:line="276" w:lineRule="auto"/>
      <w:ind w:left="720"/>
      <w:contextualSpacing/>
    </w:pPr>
    <w:rPr>
      <w:rFonts w:cs="Times New Roman"/>
      <w:color w:val="auto"/>
      <w:szCs w:val="22"/>
      <w:lang w:val="en-GB"/>
    </w:rPr>
  </w:style>
  <w:style w:type="paragraph" w:styleId="BodyTextIndent3">
    <w:name w:val="Body Text Indent 3"/>
    <w:basedOn w:val="Normal"/>
    <w:link w:val="BodyTextIndent3Char"/>
    <w:rsid w:val="00D37C5E"/>
    <w:pPr>
      <w:spacing w:after="120"/>
      <w:ind w:left="283"/>
    </w:pPr>
    <w:rPr>
      <w:sz w:val="16"/>
      <w:szCs w:val="16"/>
    </w:rPr>
  </w:style>
  <w:style w:type="character" w:customStyle="1" w:styleId="BodyTextIndent3Char">
    <w:name w:val="Body Text Indent 3 Char"/>
    <w:basedOn w:val="DefaultParagraphFont"/>
    <w:link w:val="BodyTextIndent3"/>
    <w:rsid w:val="00D37C5E"/>
    <w:rPr>
      <w:rFonts w:ascii="Garamond" w:hAnsi="Garamond" w:cs="Arial"/>
      <w:color w:val="000000"/>
      <w:sz w:val="16"/>
      <w:szCs w:val="16"/>
      <w:lang w:val="en-US" w:eastAsia="en-US"/>
    </w:rPr>
  </w:style>
  <w:style w:type="paragraph" w:styleId="BalloonText">
    <w:name w:val="Balloon Text"/>
    <w:basedOn w:val="Normal"/>
    <w:link w:val="BalloonTextChar"/>
    <w:rsid w:val="00BE5FE4"/>
    <w:rPr>
      <w:rFonts w:ascii="Tahoma" w:hAnsi="Tahoma" w:cs="Tahoma"/>
      <w:sz w:val="16"/>
      <w:szCs w:val="16"/>
    </w:rPr>
  </w:style>
  <w:style w:type="character" w:customStyle="1" w:styleId="BalloonTextChar">
    <w:name w:val="Balloon Text Char"/>
    <w:basedOn w:val="DefaultParagraphFont"/>
    <w:link w:val="BalloonText"/>
    <w:rsid w:val="00BE5FE4"/>
    <w:rPr>
      <w:rFonts w:ascii="Tahoma" w:hAnsi="Tahoma" w:cs="Tahoma"/>
      <w:color w:val="000000"/>
      <w:sz w:val="16"/>
      <w:szCs w:val="16"/>
      <w:lang w:val="en-US" w:eastAsia="en-US"/>
    </w:rPr>
  </w:style>
  <w:style w:type="character" w:styleId="CommentReference">
    <w:name w:val="annotation reference"/>
    <w:basedOn w:val="DefaultParagraphFont"/>
    <w:rsid w:val="00DC4965"/>
    <w:rPr>
      <w:sz w:val="16"/>
      <w:szCs w:val="16"/>
    </w:rPr>
  </w:style>
  <w:style w:type="character" w:customStyle="1" w:styleId="addmd1">
    <w:name w:val="addmd1"/>
    <w:basedOn w:val="DefaultParagraphFont"/>
    <w:rsid w:val="00CB1300"/>
    <w:rPr>
      <w:rFonts w:ascii="Arial" w:hAnsi="Arial" w:cs="Arial" w:hint="default"/>
      <w:color w:val="777777"/>
      <w:sz w:val="20"/>
      <w:szCs w:val="20"/>
    </w:rPr>
  </w:style>
  <w:style w:type="paragraph" w:customStyle="1" w:styleId="Default">
    <w:name w:val="Default"/>
    <w:rsid w:val="007F45F4"/>
    <w:pPr>
      <w:autoSpaceDE w:val="0"/>
      <w:autoSpaceDN w:val="0"/>
      <w:adjustRightInd w:val="0"/>
    </w:pPr>
    <w:rPr>
      <w:color w:val="000000"/>
      <w:sz w:val="24"/>
      <w:szCs w:val="24"/>
    </w:rPr>
  </w:style>
  <w:style w:type="paragraph" w:customStyle="1" w:styleId="ninepoint">
    <w:name w:val="ninepoint"/>
    <w:basedOn w:val="Normal"/>
    <w:rsid w:val="008636D8"/>
    <w:pPr>
      <w:spacing w:before="100" w:beforeAutospacing="1" w:after="100" w:afterAutospacing="1"/>
    </w:pPr>
    <w:rPr>
      <w:rFonts w:ascii="Times New Roman" w:hAnsi="Times New Roman" w:cs="Times New Roman"/>
      <w:lang w:val="en-GB" w:eastAsia="en-GB"/>
    </w:rPr>
  </w:style>
  <w:style w:type="character" w:customStyle="1" w:styleId="FootnoteCharacters">
    <w:name w:val="Footnote Characters"/>
    <w:basedOn w:val="DefaultParagraphFont"/>
    <w:rsid w:val="001B00F5"/>
    <w:rPr>
      <w:vertAlign w:val="superscript"/>
    </w:rPr>
  </w:style>
  <w:style w:type="paragraph" w:styleId="BodyText3">
    <w:name w:val="Body Text 3"/>
    <w:basedOn w:val="Normal"/>
    <w:link w:val="BodyText3Char"/>
    <w:rsid w:val="005A3425"/>
    <w:pPr>
      <w:spacing w:after="120"/>
    </w:pPr>
    <w:rPr>
      <w:sz w:val="16"/>
      <w:szCs w:val="16"/>
    </w:rPr>
  </w:style>
  <w:style w:type="character" w:customStyle="1" w:styleId="BodyText3Char">
    <w:name w:val="Body Text 3 Char"/>
    <w:basedOn w:val="DefaultParagraphFont"/>
    <w:link w:val="BodyText3"/>
    <w:rsid w:val="005A3425"/>
    <w:rPr>
      <w:rFonts w:ascii="Garamond" w:hAnsi="Garamond" w:cs="Arial"/>
      <w:color w:val="000000"/>
      <w:sz w:val="16"/>
      <w:szCs w:val="16"/>
      <w:lang w:val="en-US" w:eastAsia="en-US"/>
    </w:rPr>
  </w:style>
  <w:style w:type="character" w:customStyle="1" w:styleId="sup2">
    <w:name w:val="sup2"/>
    <w:basedOn w:val="DefaultParagraphFont"/>
    <w:rsid w:val="001E10B8"/>
    <w:rPr>
      <w:b/>
      <w:bCs/>
      <w:sz w:val="16"/>
      <w:szCs w:val="16"/>
    </w:rPr>
  </w:style>
  <w:style w:type="paragraph" w:styleId="NoSpacing">
    <w:name w:val="No Spacing"/>
    <w:uiPriority w:val="1"/>
    <w:qFormat/>
    <w:rsid w:val="0025459F"/>
    <w:pPr>
      <w:suppressAutoHyphens/>
    </w:pPr>
    <w:rPr>
      <w:sz w:val="24"/>
      <w:szCs w:val="24"/>
      <w:lang w:val="en-US" w:eastAsia="ar-SA"/>
    </w:rPr>
  </w:style>
  <w:style w:type="character" w:customStyle="1" w:styleId="sup1">
    <w:name w:val="sup1"/>
    <w:basedOn w:val="DefaultParagraphFont"/>
    <w:rsid w:val="0025459F"/>
    <w:rPr>
      <w:b/>
      <w:bCs/>
      <w:sz w:val="16"/>
      <w:szCs w:val="16"/>
    </w:rPr>
  </w:style>
  <w:style w:type="paragraph" w:styleId="BodyTextIndent2">
    <w:name w:val="Body Text Indent 2"/>
    <w:basedOn w:val="Normal"/>
    <w:link w:val="BodyTextIndent2Char"/>
    <w:rsid w:val="00B272DA"/>
    <w:pPr>
      <w:spacing w:after="120" w:line="480" w:lineRule="auto"/>
      <w:ind w:left="283"/>
    </w:pPr>
  </w:style>
  <w:style w:type="character" w:customStyle="1" w:styleId="BodyTextIndent2Char">
    <w:name w:val="Body Text Indent 2 Char"/>
    <w:basedOn w:val="DefaultParagraphFont"/>
    <w:link w:val="BodyTextIndent2"/>
    <w:rsid w:val="00B272DA"/>
    <w:rPr>
      <w:rFonts w:ascii="Garamond" w:hAnsi="Garamond" w:cs="Arial"/>
      <w:color w:val="000000"/>
      <w:sz w:val="24"/>
      <w:szCs w:val="24"/>
      <w:lang w:val="en-US" w:eastAsia="en-US"/>
    </w:rPr>
  </w:style>
  <w:style w:type="character" w:customStyle="1" w:styleId="addmd">
    <w:name w:val="addmd"/>
    <w:basedOn w:val="DefaultParagraphFont"/>
    <w:rsid w:val="00B272DA"/>
  </w:style>
  <w:style w:type="character" w:customStyle="1" w:styleId="hw">
    <w:name w:val="hw"/>
    <w:basedOn w:val="DefaultParagraphFont"/>
    <w:rsid w:val="002D19EB"/>
  </w:style>
  <w:style w:type="paragraph" w:customStyle="1" w:styleId="Tablesubtitle">
    <w:name w:val="Table subtitle"/>
    <w:basedOn w:val="Tabletext"/>
    <w:rsid w:val="009A10D3"/>
    <w:rPr>
      <w:b/>
      <w:bCs/>
      <w:sz w:val="20"/>
      <w:szCs w:val="20"/>
    </w:rPr>
  </w:style>
  <w:style w:type="paragraph" w:customStyle="1" w:styleId="Tabletext">
    <w:name w:val="Table text"/>
    <w:basedOn w:val="Normal"/>
    <w:rsid w:val="009A10D3"/>
    <w:pPr>
      <w:spacing w:before="20" w:after="20"/>
      <w:jc w:val="left"/>
    </w:pPr>
    <w:rPr>
      <w:rFonts w:ascii="Arial" w:eastAsia="PMingLiU" w:hAnsi="Arial"/>
      <w:color w:val="auto"/>
      <w:sz w:val="18"/>
      <w:szCs w:val="18"/>
    </w:rPr>
  </w:style>
  <w:style w:type="character" w:customStyle="1" w:styleId="smallcaps">
    <w:name w:val="smallcaps"/>
    <w:basedOn w:val="DefaultParagraphFont"/>
    <w:rsid w:val="00E740B2"/>
  </w:style>
  <w:style w:type="character" w:customStyle="1" w:styleId="attribute-value">
    <w:name w:val="attribute-value"/>
    <w:basedOn w:val="DefaultParagraphFont"/>
    <w:rsid w:val="00977687"/>
  </w:style>
  <w:style w:type="paragraph" w:styleId="Bibliography">
    <w:name w:val="Bibliography"/>
    <w:basedOn w:val="Normal"/>
    <w:next w:val="Normal"/>
    <w:uiPriority w:val="37"/>
    <w:unhideWhenUsed/>
    <w:rsid w:val="004637DC"/>
    <w:pPr>
      <w:jc w:val="left"/>
    </w:pPr>
    <w:rPr>
      <w:rFonts w:ascii="Times New Roman" w:hAnsi="Times New Roman" w:cs="Times New Roman"/>
      <w:color w:val="auto"/>
      <w:szCs w:val="20"/>
      <w:lang w:val="en-GB" w:eastAsia="en-GB"/>
    </w:rPr>
  </w:style>
  <w:style w:type="character" w:styleId="HTMLCite">
    <w:name w:val="HTML Cite"/>
    <w:basedOn w:val="DefaultParagraphFont"/>
    <w:uiPriority w:val="99"/>
    <w:unhideWhenUsed/>
    <w:rsid w:val="001F4806"/>
    <w:rPr>
      <w:i/>
      <w:iCs/>
    </w:rPr>
  </w:style>
  <w:style w:type="character" w:customStyle="1" w:styleId="sup">
    <w:name w:val="sup"/>
    <w:basedOn w:val="DefaultParagraphFont"/>
    <w:rsid w:val="000D67BC"/>
  </w:style>
  <w:style w:type="paragraph" w:customStyle="1" w:styleId="DefaultText">
    <w:name w:val="Default Text"/>
    <w:basedOn w:val="Normal"/>
    <w:rsid w:val="00E87803"/>
    <w:pPr>
      <w:jc w:val="left"/>
    </w:pPr>
    <w:rPr>
      <w:rFonts w:ascii="Times New Roman" w:hAnsi="Times New Roman" w:cs="Times New Roman"/>
      <w:snapToGrid w:val="0"/>
      <w:color w:val="auto"/>
      <w:szCs w:val="20"/>
    </w:rPr>
  </w:style>
  <w:style w:type="paragraph" w:customStyle="1" w:styleId="TableText0">
    <w:name w:val="Table Text"/>
    <w:basedOn w:val="Normal"/>
    <w:rsid w:val="00E87803"/>
    <w:pPr>
      <w:jc w:val="left"/>
    </w:pPr>
    <w:rPr>
      <w:rFonts w:ascii="Times New Roman" w:hAnsi="Times New Roman" w:cs="Times New Roman"/>
      <w:snapToGrid w:val="0"/>
      <w:color w:val="auto"/>
      <w:szCs w:val="20"/>
    </w:rPr>
  </w:style>
  <w:style w:type="paragraph" w:customStyle="1" w:styleId="Footnote">
    <w:name w:val="Footnote"/>
    <w:basedOn w:val="Normal"/>
    <w:rsid w:val="00E87803"/>
    <w:pPr>
      <w:spacing w:after="144"/>
    </w:pPr>
    <w:rPr>
      <w:rFonts w:ascii="Arial" w:hAnsi="Arial" w:cs="Times New Roman"/>
      <w:snapToGrid w:val="0"/>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2226">
      <w:bodyDiv w:val="1"/>
      <w:marLeft w:val="0"/>
      <w:marRight w:val="0"/>
      <w:marTop w:val="0"/>
      <w:marBottom w:val="0"/>
      <w:divBdr>
        <w:top w:val="none" w:sz="0" w:space="0" w:color="auto"/>
        <w:left w:val="none" w:sz="0" w:space="0" w:color="auto"/>
        <w:bottom w:val="none" w:sz="0" w:space="0" w:color="auto"/>
        <w:right w:val="none" w:sz="0" w:space="0" w:color="auto"/>
      </w:divBdr>
    </w:div>
    <w:div w:id="851379965">
      <w:bodyDiv w:val="1"/>
      <w:marLeft w:val="0"/>
      <w:marRight w:val="0"/>
      <w:marTop w:val="0"/>
      <w:marBottom w:val="0"/>
      <w:divBdr>
        <w:top w:val="none" w:sz="0" w:space="0" w:color="auto"/>
        <w:left w:val="none" w:sz="0" w:space="0" w:color="auto"/>
        <w:bottom w:val="none" w:sz="0" w:space="0" w:color="auto"/>
        <w:right w:val="none" w:sz="0" w:space="0" w:color="auto"/>
      </w:divBdr>
      <w:divsChild>
        <w:div w:id="445973962">
          <w:marLeft w:val="75"/>
          <w:marRight w:val="75"/>
          <w:marTop w:val="0"/>
          <w:marBottom w:val="0"/>
          <w:divBdr>
            <w:top w:val="none" w:sz="0" w:space="0" w:color="auto"/>
            <w:left w:val="none" w:sz="0" w:space="0" w:color="auto"/>
            <w:bottom w:val="none" w:sz="0" w:space="0" w:color="auto"/>
            <w:right w:val="none" w:sz="0" w:space="0" w:color="auto"/>
          </w:divBdr>
          <w:divsChild>
            <w:div w:id="136916929">
              <w:marLeft w:val="0"/>
              <w:marRight w:val="0"/>
              <w:marTop w:val="0"/>
              <w:marBottom w:val="0"/>
              <w:divBdr>
                <w:top w:val="none" w:sz="0" w:space="0" w:color="auto"/>
                <w:left w:val="single" w:sz="2" w:space="0" w:color="FFFFFF"/>
                <w:bottom w:val="none" w:sz="0" w:space="0" w:color="auto"/>
                <w:right w:val="single" w:sz="48" w:space="0" w:color="FFFFFF"/>
              </w:divBdr>
              <w:divsChild>
                <w:div w:id="573050544">
                  <w:marLeft w:val="-15"/>
                  <w:marRight w:val="-15"/>
                  <w:marTop w:val="0"/>
                  <w:marBottom w:val="0"/>
                  <w:divBdr>
                    <w:top w:val="dashed" w:sz="2" w:space="0" w:color="CCCCCC"/>
                    <w:left w:val="dashed" w:sz="6" w:space="0" w:color="CCCCCC"/>
                    <w:bottom w:val="dashed" w:sz="2" w:space="0" w:color="CCCCCC"/>
                    <w:right w:val="dashed" w:sz="6" w:space="0" w:color="CCCCCC"/>
                  </w:divBdr>
                  <w:divsChild>
                    <w:div w:id="2101556582">
                      <w:marLeft w:val="0"/>
                      <w:marRight w:val="-15"/>
                      <w:marTop w:val="0"/>
                      <w:marBottom w:val="0"/>
                      <w:divBdr>
                        <w:top w:val="none" w:sz="0" w:space="0" w:color="auto"/>
                        <w:left w:val="none" w:sz="0" w:space="0" w:color="auto"/>
                        <w:bottom w:val="none" w:sz="0" w:space="0" w:color="auto"/>
                        <w:right w:val="none" w:sz="0" w:space="0" w:color="auto"/>
                      </w:divBdr>
                      <w:divsChild>
                        <w:div w:id="548228585">
                          <w:marLeft w:val="-15"/>
                          <w:marRight w:val="0"/>
                          <w:marTop w:val="0"/>
                          <w:marBottom w:val="0"/>
                          <w:divBdr>
                            <w:top w:val="none" w:sz="0" w:space="0" w:color="auto"/>
                            <w:left w:val="none" w:sz="0" w:space="0" w:color="auto"/>
                            <w:bottom w:val="none" w:sz="0" w:space="0" w:color="auto"/>
                            <w:right w:val="none" w:sz="0" w:space="0" w:color="auto"/>
                          </w:divBdr>
                          <w:divsChild>
                            <w:div w:id="1737313306">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344112">
      <w:bodyDiv w:val="1"/>
      <w:marLeft w:val="0"/>
      <w:marRight w:val="0"/>
      <w:marTop w:val="0"/>
      <w:marBottom w:val="0"/>
      <w:divBdr>
        <w:top w:val="none" w:sz="0" w:space="0" w:color="auto"/>
        <w:left w:val="none" w:sz="0" w:space="0" w:color="auto"/>
        <w:bottom w:val="none" w:sz="0" w:space="0" w:color="auto"/>
        <w:right w:val="none" w:sz="0" w:space="0" w:color="auto"/>
      </w:divBdr>
    </w:div>
    <w:div w:id="1632403156">
      <w:bodyDiv w:val="1"/>
      <w:marLeft w:val="0"/>
      <w:marRight w:val="0"/>
      <w:marTop w:val="0"/>
      <w:marBottom w:val="0"/>
      <w:divBdr>
        <w:top w:val="none" w:sz="0" w:space="0" w:color="auto"/>
        <w:left w:val="none" w:sz="0" w:space="0" w:color="auto"/>
        <w:bottom w:val="none" w:sz="0" w:space="0" w:color="auto"/>
        <w:right w:val="none" w:sz="0" w:space="0" w:color="auto"/>
      </w:divBdr>
    </w:div>
    <w:div w:id="1759641757">
      <w:bodyDiv w:val="1"/>
      <w:marLeft w:val="0"/>
      <w:marRight w:val="0"/>
      <w:marTop w:val="0"/>
      <w:marBottom w:val="0"/>
      <w:divBdr>
        <w:top w:val="none" w:sz="0" w:space="0" w:color="auto"/>
        <w:left w:val="none" w:sz="0" w:space="0" w:color="auto"/>
        <w:bottom w:val="none" w:sz="0" w:space="0" w:color="auto"/>
        <w:right w:val="none" w:sz="0" w:space="0" w:color="auto"/>
      </w:divBdr>
    </w:div>
    <w:div w:id="1893149029">
      <w:bodyDiv w:val="1"/>
      <w:marLeft w:val="0"/>
      <w:marRight w:val="0"/>
      <w:marTop w:val="0"/>
      <w:marBottom w:val="0"/>
      <w:divBdr>
        <w:top w:val="none" w:sz="0" w:space="0" w:color="auto"/>
        <w:left w:val="none" w:sz="0" w:space="0" w:color="auto"/>
        <w:bottom w:val="none" w:sz="0" w:space="0" w:color="auto"/>
        <w:right w:val="none" w:sz="0" w:space="0" w:color="auto"/>
      </w:divBdr>
    </w:div>
    <w:div w:id="1954093957">
      <w:bodyDiv w:val="1"/>
      <w:marLeft w:val="0"/>
      <w:marRight w:val="0"/>
      <w:marTop w:val="0"/>
      <w:marBottom w:val="0"/>
      <w:divBdr>
        <w:top w:val="none" w:sz="0" w:space="0" w:color="auto"/>
        <w:left w:val="none" w:sz="0" w:space="0" w:color="auto"/>
        <w:bottom w:val="none" w:sz="0" w:space="0" w:color="auto"/>
        <w:right w:val="none" w:sz="0" w:space="0" w:color="auto"/>
      </w:divBdr>
    </w:div>
    <w:div w:id="1955357127">
      <w:bodyDiv w:val="1"/>
      <w:marLeft w:val="0"/>
      <w:marRight w:val="0"/>
      <w:marTop w:val="0"/>
      <w:marBottom w:val="0"/>
      <w:divBdr>
        <w:top w:val="none" w:sz="0" w:space="0" w:color="auto"/>
        <w:left w:val="none" w:sz="0" w:space="0" w:color="auto"/>
        <w:bottom w:val="none" w:sz="0" w:space="0" w:color="auto"/>
        <w:right w:val="none" w:sz="0" w:space="0" w:color="auto"/>
      </w:divBdr>
    </w:div>
    <w:div w:id="2045053920">
      <w:bodyDiv w:val="1"/>
      <w:marLeft w:val="0"/>
      <w:marRight w:val="0"/>
      <w:marTop w:val="0"/>
      <w:marBottom w:val="0"/>
      <w:divBdr>
        <w:top w:val="none" w:sz="0" w:space="0" w:color="auto"/>
        <w:left w:val="none" w:sz="0" w:space="0" w:color="auto"/>
        <w:bottom w:val="none" w:sz="0" w:space="0" w:color="auto"/>
        <w:right w:val="none" w:sz="0" w:space="0" w:color="auto"/>
      </w:divBdr>
    </w:div>
    <w:div w:id="21384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8.png"/><Relationship Id="rId4" Type="http://schemas.microsoft.com/office/2007/relationships/stylesWithEffects" Target="stylesWithEffects.xml"/><Relationship Id="rId9" Type="http://schemas.openxmlformats.org/officeDocument/2006/relationships/image" Target="media/image27.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hristadelphian-ejbi.org/extracts/Body.pdf"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820CA-8163-4506-A393-5241D33D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74</Pages>
  <Words>20757</Words>
  <Characters>118317</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Visual Perspectives</Company>
  <LinksUpToDate>false</LinksUpToDate>
  <CharactersWithSpaces>138797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Perry</dc:creator>
  <cp:lastModifiedBy>Perry</cp:lastModifiedBy>
  <cp:revision>106</cp:revision>
  <cp:lastPrinted>2011-01-09T06:18:00Z</cp:lastPrinted>
  <dcterms:created xsi:type="dcterms:W3CDTF">2010-11-06T16:01:00Z</dcterms:created>
  <dcterms:modified xsi:type="dcterms:W3CDTF">2011-03-18T17:02:00Z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